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11B8A1">
      <w:pPr>
        <w:rPr>
          <w:b/>
          <w:bCs/>
        </w:rPr>
      </w:pPr>
      <w:r>
        <w:rPr>
          <w:b/>
          <w:bCs/>
        </w:rPr>
        <w:t>Supplementary Table S1. Rationale for covariate selection in the multivariable Cox models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1B1FA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B10B94B">
            <w:pPr>
              <w:rPr>
                <w:vertAlign w:val="baseline"/>
              </w:rPr>
            </w:pPr>
            <w:r>
              <w:rPr>
                <w:b/>
                <w:bCs/>
                <w:vertAlign w:val="baseline"/>
              </w:rPr>
              <w:t>Covariate</w:t>
            </w:r>
          </w:p>
        </w:tc>
        <w:tc>
          <w:tcPr>
            <w:tcW w:w="2841" w:type="dxa"/>
          </w:tcPr>
          <w:p w14:paraId="3D4E1C7D">
            <w:pPr>
              <w:rPr>
                <w:vertAlign w:val="baseline"/>
              </w:rPr>
            </w:pPr>
            <w:r>
              <w:rPr>
                <w:b/>
                <w:bCs/>
                <w:vertAlign w:val="baseline"/>
              </w:rPr>
              <w:t>Selection rationale</w:t>
            </w:r>
          </w:p>
        </w:tc>
        <w:tc>
          <w:tcPr>
            <w:tcW w:w="2841" w:type="dxa"/>
          </w:tcPr>
          <w:p w14:paraId="567081F7">
            <w:pPr>
              <w:rPr>
                <w:vertAlign w:val="baseline"/>
              </w:rPr>
            </w:pPr>
            <w:r>
              <w:rPr>
                <w:b/>
                <w:bCs/>
                <w:vertAlign w:val="baseline"/>
              </w:rPr>
              <w:t>Method of selection</w:t>
            </w:r>
          </w:p>
        </w:tc>
      </w:tr>
      <w:tr w14:paraId="7E5D7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A76888F">
            <w:pPr>
              <w:rPr>
                <w:vertAlign w:val="baseline"/>
              </w:rPr>
            </w:pPr>
            <w:r>
              <w:rPr>
                <w:vertAlign w:val="baseline"/>
              </w:rPr>
              <w:t>Age</w:t>
            </w:r>
          </w:p>
        </w:tc>
        <w:tc>
          <w:tcPr>
            <w:tcW w:w="2841" w:type="dxa"/>
          </w:tcPr>
          <w:p w14:paraId="52EA31B8">
            <w:pPr>
              <w:rPr>
                <w:vertAlign w:val="baseline"/>
              </w:rPr>
            </w:pPr>
            <w:r>
              <w:rPr>
                <w:vertAlign w:val="baseline"/>
              </w:rPr>
              <w:t>Fundamental determinant of cardiovascular and AF-related risk</w:t>
            </w:r>
          </w:p>
        </w:tc>
        <w:tc>
          <w:tcPr>
            <w:tcW w:w="2841" w:type="dxa"/>
          </w:tcPr>
          <w:p w14:paraId="228A15C6">
            <w:pPr>
              <w:rPr>
                <w:vertAlign w:val="baseline"/>
              </w:rPr>
            </w:pPr>
            <w:r>
              <w:rPr>
                <w:vertAlign w:val="baseline"/>
              </w:rPr>
              <w:t>Previous studies and clinical relevance</w:t>
            </w:r>
          </w:p>
        </w:tc>
      </w:tr>
      <w:tr w14:paraId="61C8B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64FBF319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Sex</w:t>
            </w:r>
          </w:p>
        </w:tc>
        <w:tc>
          <w:tcPr>
            <w:tcW w:w="2841" w:type="dxa"/>
          </w:tcPr>
          <w:p w14:paraId="21531E79">
            <w:pPr>
              <w:rPr>
                <w:vertAlign w:val="baseline"/>
              </w:rPr>
            </w:pPr>
            <w:r>
              <w:rPr>
                <w:vertAlign w:val="baseline"/>
              </w:rPr>
              <w:t>Known modifier of AF and cardiovascular outcomes</w:t>
            </w:r>
          </w:p>
        </w:tc>
        <w:tc>
          <w:tcPr>
            <w:tcW w:w="2841" w:type="dxa"/>
          </w:tcPr>
          <w:p w14:paraId="31C8CBCB">
            <w:pPr>
              <w:rPr>
                <w:vertAlign w:val="baseline"/>
              </w:rPr>
            </w:pPr>
            <w:r>
              <w:rPr>
                <w:vertAlign w:val="baseline"/>
              </w:rPr>
              <w:t>Previous studies and clinical relevance</w:t>
            </w:r>
          </w:p>
        </w:tc>
      </w:tr>
      <w:tr w14:paraId="0A7B8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34265E9">
            <w:pPr>
              <w:rPr>
                <w:vertAlign w:val="baseline"/>
              </w:rPr>
            </w:pPr>
            <w:r>
              <w:rPr>
                <w:vertAlign w:val="baseline"/>
              </w:rPr>
              <w:t>BMI</w:t>
            </w:r>
          </w:p>
        </w:tc>
        <w:tc>
          <w:tcPr>
            <w:tcW w:w="2841" w:type="dxa"/>
          </w:tcPr>
          <w:p w14:paraId="27671795">
            <w:pPr>
              <w:rPr>
                <w:vertAlign w:val="baseline"/>
              </w:rPr>
            </w:pPr>
            <w:r>
              <w:rPr>
                <w:vertAlign w:val="baseline"/>
              </w:rPr>
              <w:t>Established association with cardiometabolic risk and AF outcomes</w:t>
            </w:r>
          </w:p>
        </w:tc>
        <w:tc>
          <w:tcPr>
            <w:tcW w:w="2841" w:type="dxa"/>
          </w:tcPr>
          <w:p w14:paraId="145299A0">
            <w:pPr>
              <w:rPr>
                <w:vertAlign w:val="baseline"/>
              </w:rPr>
            </w:pPr>
            <w:r>
              <w:rPr>
                <w:vertAlign w:val="baseline"/>
              </w:rPr>
              <w:t>Previous studies and clinical relevance</w:t>
            </w:r>
          </w:p>
        </w:tc>
      </w:tr>
      <w:tr w14:paraId="4D4E3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B251D05">
            <w:pPr>
              <w:rPr>
                <w:vertAlign w:val="baseline"/>
              </w:rPr>
            </w:pPr>
            <w:r>
              <w:rPr>
                <w:vertAlign w:val="baseline"/>
              </w:rPr>
              <w:t>HbA1c</w:t>
            </w:r>
          </w:p>
        </w:tc>
        <w:tc>
          <w:tcPr>
            <w:tcW w:w="2841" w:type="dxa"/>
          </w:tcPr>
          <w:p w14:paraId="77C61706">
            <w:pPr>
              <w:rPr>
                <w:vertAlign w:val="baseline"/>
              </w:rPr>
            </w:pPr>
            <w:r>
              <w:rPr>
                <w:vertAlign w:val="baseline"/>
              </w:rPr>
              <w:t>Marker of glycemic control associated with cardiovascular risk</w:t>
            </w:r>
          </w:p>
        </w:tc>
        <w:tc>
          <w:tcPr>
            <w:tcW w:w="2841" w:type="dxa"/>
          </w:tcPr>
          <w:p w14:paraId="755C53F9">
            <w:pPr>
              <w:rPr>
                <w:vertAlign w:val="baseline"/>
              </w:rPr>
            </w:pPr>
            <w:r>
              <w:rPr>
                <w:vertAlign w:val="baseline"/>
              </w:rPr>
              <w:t>Previous studies and clinical relevance</w:t>
            </w:r>
          </w:p>
        </w:tc>
      </w:tr>
      <w:tr w14:paraId="4F899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2F61CD44">
            <w:pPr>
              <w:rPr>
                <w:vertAlign w:val="baseline"/>
              </w:rPr>
            </w:pPr>
            <w:r>
              <w:rPr>
                <w:vertAlign w:val="baseline"/>
              </w:rPr>
              <w:t>Hypertension</w:t>
            </w:r>
          </w:p>
        </w:tc>
        <w:tc>
          <w:tcPr>
            <w:tcW w:w="2841" w:type="dxa"/>
          </w:tcPr>
          <w:p w14:paraId="6411FAB8">
            <w:pPr>
              <w:rPr>
                <w:vertAlign w:val="baseline"/>
              </w:rPr>
            </w:pPr>
            <w:r>
              <w:rPr>
                <w:vertAlign w:val="baseline"/>
              </w:rPr>
              <w:t>Common comorbidity and major cardiovascular risk factor</w:t>
            </w:r>
          </w:p>
        </w:tc>
        <w:tc>
          <w:tcPr>
            <w:tcW w:w="2841" w:type="dxa"/>
          </w:tcPr>
          <w:p w14:paraId="37EDED24">
            <w:pPr>
              <w:rPr>
                <w:vertAlign w:val="baseline"/>
              </w:rPr>
            </w:pPr>
            <w:r>
              <w:rPr>
                <w:vertAlign w:val="baseline"/>
              </w:rPr>
              <w:t>Previous studies and clinical relevance</w:t>
            </w:r>
          </w:p>
        </w:tc>
      </w:tr>
      <w:tr w14:paraId="2C945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11E52CB">
            <w:pPr>
              <w:rPr>
                <w:vertAlign w:val="baseline"/>
              </w:rPr>
            </w:pPr>
            <w:r>
              <w:rPr>
                <w:vertAlign w:val="baseline"/>
              </w:rPr>
              <w:t>Diabetes mellitus</w:t>
            </w:r>
          </w:p>
        </w:tc>
        <w:tc>
          <w:tcPr>
            <w:tcW w:w="2841" w:type="dxa"/>
          </w:tcPr>
          <w:p w14:paraId="700E4F55">
            <w:pPr>
              <w:rPr>
                <w:vertAlign w:val="baseline"/>
              </w:rPr>
            </w:pPr>
            <w:r>
              <w:rPr>
                <w:vertAlign w:val="baseline"/>
              </w:rPr>
              <w:t>Strong cardiometabolic risk factor</w:t>
            </w:r>
          </w:p>
        </w:tc>
        <w:tc>
          <w:tcPr>
            <w:tcW w:w="2841" w:type="dxa"/>
          </w:tcPr>
          <w:p w14:paraId="1C4D0E97">
            <w:pPr>
              <w:rPr>
                <w:vertAlign w:val="baseline"/>
              </w:rPr>
            </w:pPr>
            <w:r>
              <w:rPr>
                <w:vertAlign w:val="baseline"/>
              </w:rPr>
              <w:t>Previous studies and clinical relevance</w:t>
            </w:r>
          </w:p>
        </w:tc>
      </w:tr>
      <w:tr w14:paraId="657F3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0E1DEFEE">
            <w:pPr>
              <w:rPr>
                <w:vertAlign w:val="baseline"/>
              </w:rPr>
            </w:pPr>
            <w:r>
              <w:rPr>
                <w:vertAlign w:val="baseline"/>
              </w:rPr>
              <w:t>Coronary artery disease</w:t>
            </w:r>
          </w:p>
        </w:tc>
        <w:tc>
          <w:tcPr>
            <w:tcW w:w="2841" w:type="dxa"/>
          </w:tcPr>
          <w:p w14:paraId="5810D8FC">
            <w:pPr>
              <w:rPr>
                <w:vertAlign w:val="baseline"/>
              </w:rPr>
            </w:pPr>
            <w:r>
              <w:rPr>
                <w:vertAlign w:val="baseline"/>
              </w:rPr>
              <w:t>Underlying atherosclerosis increases MACE risk</w:t>
            </w:r>
          </w:p>
        </w:tc>
        <w:tc>
          <w:tcPr>
            <w:tcW w:w="2841" w:type="dxa"/>
          </w:tcPr>
          <w:p w14:paraId="79B86FC1">
            <w:pPr>
              <w:rPr>
                <w:vertAlign w:val="baseline"/>
              </w:rPr>
            </w:pPr>
            <w:r>
              <w:rPr>
                <w:vertAlign w:val="baseline"/>
              </w:rPr>
              <w:t>Previous studies and clinical relevance</w:t>
            </w:r>
          </w:p>
        </w:tc>
      </w:tr>
      <w:tr w14:paraId="4E69B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442AE8B">
            <w:pPr>
              <w:rPr>
                <w:vertAlign w:val="baseline"/>
              </w:rPr>
            </w:pPr>
            <w:r>
              <w:rPr>
                <w:vertAlign w:val="baseline"/>
              </w:rPr>
              <w:t>Heart failure</w:t>
            </w:r>
          </w:p>
        </w:tc>
        <w:tc>
          <w:tcPr>
            <w:tcW w:w="2841" w:type="dxa"/>
          </w:tcPr>
          <w:p w14:paraId="6AF73045">
            <w:pPr>
              <w:rPr>
                <w:vertAlign w:val="baseline"/>
              </w:rPr>
            </w:pPr>
            <w:r>
              <w:rPr>
                <w:vertAlign w:val="baseline"/>
              </w:rPr>
              <w:t>Major driver of prognosis in AF</w:t>
            </w:r>
          </w:p>
        </w:tc>
        <w:tc>
          <w:tcPr>
            <w:tcW w:w="2841" w:type="dxa"/>
          </w:tcPr>
          <w:p w14:paraId="1E790D6D">
            <w:pPr>
              <w:rPr>
                <w:vertAlign w:val="baseline"/>
              </w:rPr>
            </w:pPr>
            <w:r>
              <w:rPr>
                <w:vertAlign w:val="baseline"/>
              </w:rPr>
              <w:t>Previous studies and clinical relevance</w:t>
            </w:r>
          </w:p>
        </w:tc>
      </w:tr>
      <w:tr w14:paraId="72B2C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4E79338">
            <w:pPr>
              <w:rPr>
                <w:vertAlign w:val="baseline"/>
              </w:rPr>
            </w:pPr>
            <w:r>
              <w:rPr>
                <w:vertAlign w:val="baseline"/>
              </w:rPr>
              <w:t>Prior stroke</w:t>
            </w:r>
          </w:p>
        </w:tc>
        <w:tc>
          <w:tcPr>
            <w:tcW w:w="2841" w:type="dxa"/>
          </w:tcPr>
          <w:p w14:paraId="1B4D2354">
            <w:pPr>
              <w:rPr>
                <w:vertAlign w:val="baseline"/>
              </w:rPr>
            </w:pPr>
            <w:r>
              <w:rPr>
                <w:vertAlign w:val="baseline"/>
              </w:rPr>
              <w:t>High-risk subgroup for recurrent thromboembolic events</w:t>
            </w:r>
          </w:p>
        </w:tc>
        <w:tc>
          <w:tcPr>
            <w:tcW w:w="2841" w:type="dxa"/>
          </w:tcPr>
          <w:p w14:paraId="03E1C482">
            <w:pPr>
              <w:rPr>
                <w:vertAlign w:val="baseline"/>
              </w:rPr>
            </w:pPr>
            <w:r>
              <w:rPr>
                <w:vertAlign w:val="baseline"/>
              </w:rPr>
              <w:t>Previous studies and clinical relevance</w:t>
            </w:r>
          </w:p>
        </w:tc>
      </w:tr>
      <w:tr w14:paraId="479DB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EE10134">
            <w:pPr>
              <w:rPr>
                <w:vertAlign w:val="baseline"/>
              </w:rPr>
            </w:pPr>
            <w:r>
              <w:rPr>
                <w:vertAlign w:val="baseline"/>
              </w:rPr>
              <w:t>Chronic kidney disease</w:t>
            </w:r>
          </w:p>
        </w:tc>
        <w:tc>
          <w:tcPr>
            <w:tcW w:w="2841" w:type="dxa"/>
          </w:tcPr>
          <w:p w14:paraId="4542B510">
            <w:pPr>
              <w:rPr>
                <w:vertAlign w:val="baseline"/>
              </w:rPr>
            </w:pPr>
            <w:r>
              <w:rPr>
                <w:vertAlign w:val="baseline"/>
              </w:rPr>
              <w:t>Renal dysfunction increases cardiovascular and bleeding risk</w:t>
            </w:r>
          </w:p>
        </w:tc>
        <w:tc>
          <w:tcPr>
            <w:tcW w:w="2841" w:type="dxa"/>
          </w:tcPr>
          <w:p w14:paraId="22C784F1">
            <w:pPr>
              <w:rPr>
                <w:vertAlign w:val="baseline"/>
              </w:rPr>
            </w:pPr>
            <w:r>
              <w:rPr>
                <w:vertAlign w:val="baseline"/>
              </w:rPr>
              <w:t>Previous studies and clinical relevance</w:t>
            </w:r>
          </w:p>
        </w:tc>
      </w:tr>
      <w:tr w14:paraId="15284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FCA8758">
            <w:pPr>
              <w:rPr>
                <w:vertAlign w:val="baseline"/>
              </w:rPr>
            </w:pPr>
            <w:r>
              <w:rPr>
                <w:vertAlign w:val="baseline"/>
              </w:rPr>
              <w:t>Anticoagulant use</w:t>
            </w:r>
          </w:p>
        </w:tc>
        <w:tc>
          <w:tcPr>
            <w:tcW w:w="2841" w:type="dxa"/>
          </w:tcPr>
          <w:p w14:paraId="1CEEAD99">
            <w:pPr>
              <w:rPr>
                <w:vertAlign w:val="baseline"/>
              </w:rPr>
            </w:pPr>
            <w:r>
              <w:rPr>
                <w:vertAlign w:val="baseline"/>
              </w:rPr>
              <w:t>Key therapeutic determinant of stroke and MACE risk in AF</w:t>
            </w:r>
          </w:p>
        </w:tc>
        <w:tc>
          <w:tcPr>
            <w:tcW w:w="2841" w:type="dxa"/>
          </w:tcPr>
          <w:p w14:paraId="48A257D8">
            <w:pPr>
              <w:rPr>
                <w:vertAlign w:val="baseline"/>
              </w:rPr>
            </w:pPr>
            <w:r>
              <w:rPr>
                <w:vertAlign w:val="baseline"/>
              </w:rPr>
              <w:t>Clinical guidelines and clinical experience</w:t>
            </w:r>
          </w:p>
        </w:tc>
      </w:tr>
      <w:tr w14:paraId="22DD2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5ED1A08">
            <w:pPr>
              <w:rPr>
                <w:vertAlign w:val="baseline"/>
              </w:rPr>
            </w:pPr>
            <w:r>
              <w:rPr>
                <w:vertAlign w:val="baseline"/>
              </w:rPr>
              <w:t>Platelet count</w:t>
            </w:r>
          </w:p>
        </w:tc>
        <w:tc>
          <w:tcPr>
            <w:tcW w:w="2841" w:type="dxa"/>
          </w:tcPr>
          <w:p w14:paraId="0FE8846F">
            <w:pPr>
              <w:rPr>
                <w:vertAlign w:val="baseline"/>
              </w:rPr>
            </w:pPr>
            <w:r>
              <w:rPr>
                <w:vertAlign w:val="baseline"/>
              </w:rPr>
              <w:t>Related to thrombotic and inflammatory pathways</w:t>
            </w:r>
          </w:p>
        </w:tc>
        <w:tc>
          <w:tcPr>
            <w:tcW w:w="2841" w:type="dxa"/>
          </w:tcPr>
          <w:p w14:paraId="7D71CC9A">
            <w:pPr>
              <w:rPr>
                <w:vertAlign w:val="baseline"/>
              </w:rPr>
            </w:pPr>
            <w:r>
              <w:rPr>
                <w:vertAlign w:val="baseline"/>
              </w:rPr>
              <w:t>Biological plausibility and clinical relevance</w:t>
            </w:r>
          </w:p>
        </w:tc>
      </w:tr>
      <w:tr w14:paraId="383A1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0C2AECD">
            <w:pPr>
              <w:rPr>
                <w:vertAlign w:val="baseline"/>
              </w:rPr>
            </w:pPr>
            <w:r>
              <w:rPr>
                <w:vertAlign w:val="baseline"/>
              </w:rPr>
              <w:t>Serum creatinine</w:t>
            </w:r>
          </w:p>
        </w:tc>
        <w:tc>
          <w:tcPr>
            <w:tcW w:w="2841" w:type="dxa"/>
          </w:tcPr>
          <w:p w14:paraId="09AF5C48">
            <w:pPr>
              <w:rPr>
                <w:vertAlign w:val="baseline"/>
              </w:rPr>
            </w:pPr>
            <w:r>
              <w:rPr>
                <w:vertAlign w:val="baseline"/>
              </w:rPr>
              <w:t>Indicator of renal function and strong predictor of AF outcomes</w:t>
            </w:r>
          </w:p>
        </w:tc>
        <w:tc>
          <w:tcPr>
            <w:tcW w:w="2841" w:type="dxa"/>
          </w:tcPr>
          <w:p w14:paraId="60555252">
            <w:pPr>
              <w:rPr>
                <w:vertAlign w:val="baseline"/>
              </w:rPr>
            </w:pPr>
            <w:r>
              <w:rPr>
                <w:vertAlign w:val="baseline"/>
              </w:rPr>
              <w:t>Previous studies and clinical relevance</w:t>
            </w:r>
          </w:p>
        </w:tc>
      </w:tr>
      <w:tr w14:paraId="5D260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7D2EAF5">
            <w:pPr>
              <w:rPr>
                <w:vertAlign w:val="baseline"/>
              </w:rPr>
            </w:pPr>
            <w:r>
              <w:rPr>
                <w:vertAlign w:val="baseline"/>
              </w:rPr>
              <w:t>Hematocrit</w:t>
            </w:r>
          </w:p>
        </w:tc>
        <w:tc>
          <w:tcPr>
            <w:tcW w:w="2841" w:type="dxa"/>
          </w:tcPr>
          <w:p w14:paraId="4BBE6AC8">
            <w:pPr>
              <w:rPr>
                <w:vertAlign w:val="baseline"/>
              </w:rPr>
            </w:pPr>
            <w:r>
              <w:rPr>
                <w:vertAlign w:val="baseline"/>
              </w:rPr>
              <w:t>Influences blood viscosity, oxygen delivery, and thrombotic risk</w:t>
            </w:r>
          </w:p>
        </w:tc>
        <w:tc>
          <w:tcPr>
            <w:tcW w:w="2841" w:type="dxa"/>
          </w:tcPr>
          <w:p w14:paraId="77C69A64">
            <w:pPr>
              <w:rPr>
                <w:vertAlign w:val="baseline"/>
              </w:rPr>
            </w:pPr>
            <w:r>
              <w:rPr>
                <w:vertAlign w:val="baseline"/>
              </w:rPr>
              <w:t>Biological plausibility</w:t>
            </w:r>
          </w:p>
        </w:tc>
      </w:tr>
      <w:tr w14:paraId="69DE4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E996A4F">
            <w:pPr>
              <w:rPr>
                <w:vertAlign w:val="baseline"/>
              </w:rPr>
            </w:pPr>
            <w:r>
              <w:rPr>
                <w:vertAlign w:val="baseline"/>
              </w:rPr>
              <w:t>LVEF</w:t>
            </w:r>
          </w:p>
        </w:tc>
        <w:tc>
          <w:tcPr>
            <w:tcW w:w="2841" w:type="dxa"/>
          </w:tcPr>
          <w:p w14:paraId="458CC94D">
            <w:pPr>
              <w:rPr>
                <w:vertAlign w:val="baseline"/>
              </w:rPr>
            </w:pPr>
            <w:r>
              <w:rPr>
                <w:vertAlign w:val="baseline"/>
              </w:rPr>
              <w:t>Measure of systolic function, prognostic in AF and heart failure</w:t>
            </w:r>
          </w:p>
        </w:tc>
        <w:tc>
          <w:tcPr>
            <w:tcW w:w="2841" w:type="dxa"/>
          </w:tcPr>
          <w:p w14:paraId="5C0B4F0B">
            <w:pPr>
              <w:rPr>
                <w:vertAlign w:val="baseline"/>
              </w:rPr>
            </w:pPr>
            <w:r>
              <w:rPr>
                <w:vertAlign w:val="baseline"/>
              </w:rPr>
              <w:t>Previous studies and clinical experience</w:t>
            </w:r>
          </w:p>
        </w:tc>
      </w:tr>
      <w:tr w14:paraId="1B6A0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3C8B106">
            <w:pPr>
              <w:rPr>
                <w:vertAlign w:val="baseline"/>
              </w:rPr>
            </w:pPr>
            <w:r>
              <w:rPr>
                <w:vertAlign w:val="baseline"/>
              </w:rPr>
              <w:t>LAID</w:t>
            </w:r>
          </w:p>
        </w:tc>
        <w:tc>
          <w:tcPr>
            <w:tcW w:w="2841" w:type="dxa"/>
          </w:tcPr>
          <w:p w14:paraId="70DFD62A">
            <w:pPr>
              <w:rPr>
                <w:vertAlign w:val="baseline"/>
              </w:rPr>
            </w:pPr>
            <w:r>
              <w:rPr>
                <w:vertAlign w:val="baseline"/>
              </w:rPr>
              <w:t>Marker of atrial remodeling associated with AF burden and progression</w:t>
            </w:r>
          </w:p>
        </w:tc>
        <w:tc>
          <w:tcPr>
            <w:tcW w:w="2841" w:type="dxa"/>
          </w:tcPr>
          <w:p w14:paraId="48A4B520">
            <w:pPr>
              <w:rPr>
                <w:vertAlign w:val="baseline"/>
              </w:rPr>
            </w:pPr>
            <w:r>
              <w:rPr>
                <w:vertAlign w:val="baseline"/>
              </w:rPr>
              <w:t>Previous studies and biological plausibility</w:t>
            </w:r>
          </w:p>
        </w:tc>
      </w:tr>
    </w:tbl>
    <w:p w14:paraId="25DA57E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E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2025-12-06T15:46:28Z</dcterms:created>
  <dc:creator>Administrator.DESKTOP-FVQKJ4J</dc:creator>
  <cp:lastModifiedBy>Léon</cp:lastModifiedBy>
  <dcterms:modified xsi:type="dcterms:W3CDTF">2025-12-06T15:46:45Z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eyJoZGlkIjoiZDZkOGRkOGFiOTQ5MGM5ZGRjOGFhNmIxZTRlMWFiY2IiLCJ1c2VySWQiOiIyNjQ2NDY2MzkifQ==</vt:lpwstr>
  </property>
  <property fmtid="{D5CDD505-2E9C-101B-9397-08002B2CF9AE}" pid="4" name="ICV">
    <vt:lpwstr>73A437285CA545B7B6943EF35AC7A734_12</vt:lpwstr>
  </property>
</Properties>
</file>