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7BE93">
      <w:pPr>
        <w:rPr>
          <w:b/>
          <w:bCs/>
        </w:rPr>
      </w:pPr>
      <w:r>
        <w:rPr>
          <w:b/>
          <w:bCs/>
        </w:rPr>
        <w:t>Supplementary Table S</w:t>
      </w: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>. E-values for the associations between CMI, TyG and 3-year MACE in fully adjusted Cox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0164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E9815E0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Exposure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b/>
                <w:bCs/>
                <w:vertAlign w:val="baseline"/>
              </w:rPr>
              <w:t>&amp;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b/>
                <w:bCs/>
                <w:vertAlign w:val="baseline"/>
              </w:rPr>
              <w:t>coding</w:t>
            </w:r>
          </w:p>
        </w:tc>
        <w:tc>
          <w:tcPr>
            <w:tcW w:w="1704" w:type="dxa"/>
          </w:tcPr>
          <w:p w14:paraId="153962F5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Model</w:t>
            </w:r>
          </w:p>
        </w:tc>
        <w:tc>
          <w:tcPr>
            <w:tcW w:w="1704" w:type="dxa"/>
          </w:tcPr>
          <w:p w14:paraId="05DEAF62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HR (95% CI)</w:t>
            </w:r>
          </w:p>
        </w:tc>
        <w:tc>
          <w:tcPr>
            <w:tcW w:w="1705" w:type="dxa"/>
          </w:tcPr>
          <w:p w14:paraId="106EEDE0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E-value (point)</w:t>
            </w:r>
          </w:p>
        </w:tc>
        <w:tc>
          <w:tcPr>
            <w:tcW w:w="1705" w:type="dxa"/>
          </w:tcPr>
          <w:p w14:paraId="6FA438B2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lang w:val="en-US" w:eastAsia="zh-CN"/>
              </w:rPr>
              <w:t>E-value (lower CI)</w:t>
            </w:r>
          </w:p>
        </w:tc>
      </w:tr>
      <w:tr w14:paraId="6D3DF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5592704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CMI, per unit increase</w:t>
            </w:r>
          </w:p>
        </w:tc>
        <w:tc>
          <w:tcPr>
            <w:tcW w:w="1704" w:type="dxa"/>
          </w:tcPr>
          <w:p w14:paraId="0BA66A76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Fully adjusted Cox model (Model 3)</w:t>
            </w:r>
          </w:p>
        </w:tc>
        <w:tc>
          <w:tcPr>
            <w:tcW w:w="1704" w:type="dxa"/>
          </w:tcPr>
          <w:p w14:paraId="4EAB7ED9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3.25 (1.89–5.58)</w:t>
            </w:r>
          </w:p>
        </w:tc>
        <w:tc>
          <w:tcPr>
            <w:tcW w:w="1705" w:type="dxa"/>
          </w:tcPr>
          <w:p w14:paraId="3FBED095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5.95</w:t>
            </w:r>
          </w:p>
        </w:tc>
        <w:tc>
          <w:tcPr>
            <w:tcW w:w="1705" w:type="dxa"/>
          </w:tcPr>
          <w:p w14:paraId="2B07525E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3.19</w:t>
            </w:r>
          </w:p>
        </w:tc>
      </w:tr>
      <w:tr w14:paraId="759D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75F8CC7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TyG, per unit increase</w:t>
            </w:r>
          </w:p>
        </w:tc>
        <w:tc>
          <w:tcPr>
            <w:tcW w:w="1704" w:type="dxa"/>
          </w:tcPr>
          <w:p w14:paraId="46434FAA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Fully adjusted Cox model (Model 3)</w:t>
            </w:r>
          </w:p>
        </w:tc>
        <w:tc>
          <w:tcPr>
            <w:tcW w:w="1704" w:type="dxa"/>
          </w:tcPr>
          <w:p w14:paraId="4B516ED5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4.52 (1.83–11.12)</w:t>
            </w:r>
          </w:p>
        </w:tc>
        <w:tc>
          <w:tcPr>
            <w:tcW w:w="1705" w:type="dxa"/>
          </w:tcPr>
          <w:p w14:paraId="159F4BC7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8.50</w:t>
            </w:r>
          </w:p>
        </w:tc>
        <w:tc>
          <w:tcPr>
            <w:tcW w:w="1705" w:type="dxa"/>
          </w:tcPr>
          <w:p w14:paraId="27500A34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3.07</w:t>
            </w:r>
          </w:p>
        </w:tc>
      </w:tr>
      <w:tr w14:paraId="397E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0569AAC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CMI, tertile 3 vs tertile 1</w:t>
            </w:r>
          </w:p>
        </w:tc>
        <w:tc>
          <w:tcPr>
            <w:tcW w:w="1704" w:type="dxa"/>
          </w:tcPr>
          <w:p w14:paraId="3C3655B7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Fully adjusted Cox model (Model 3)</w:t>
            </w:r>
          </w:p>
        </w:tc>
        <w:tc>
          <w:tcPr>
            <w:tcW w:w="1704" w:type="dxa"/>
          </w:tcPr>
          <w:p w14:paraId="2A456504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2.68 (1.12–6.40)</w:t>
            </w:r>
          </w:p>
        </w:tc>
        <w:tc>
          <w:tcPr>
            <w:tcW w:w="1705" w:type="dxa"/>
          </w:tcPr>
          <w:p w14:paraId="74E8BFB0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4.80</w:t>
            </w:r>
          </w:p>
        </w:tc>
        <w:tc>
          <w:tcPr>
            <w:tcW w:w="1705" w:type="dxa"/>
          </w:tcPr>
          <w:p w14:paraId="4C3E323B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1.49</w:t>
            </w:r>
          </w:p>
        </w:tc>
      </w:tr>
      <w:tr w14:paraId="4BA0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EEFC460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TyG, tertile 3 vs tertile 1</w:t>
            </w:r>
          </w:p>
        </w:tc>
        <w:tc>
          <w:tcPr>
            <w:tcW w:w="1704" w:type="dxa"/>
          </w:tcPr>
          <w:p w14:paraId="289B4BC2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Fully adjusted Cox model (Model 3)</w:t>
            </w:r>
          </w:p>
        </w:tc>
        <w:tc>
          <w:tcPr>
            <w:tcW w:w="1704" w:type="dxa"/>
          </w:tcPr>
          <w:p w14:paraId="18CD0DC8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4.34 (1.58–11.93)</w:t>
            </w:r>
          </w:p>
        </w:tc>
        <w:tc>
          <w:tcPr>
            <w:tcW w:w="1705" w:type="dxa"/>
          </w:tcPr>
          <w:p w14:paraId="008F8DEE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8.15</w:t>
            </w:r>
          </w:p>
        </w:tc>
        <w:tc>
          <w:tcPr>
            <w:tcW w:w="1705" w:type="dxa"/>
          </w:tcPr>
          <w:p w14:paraId="0235469B">
            <w:pPr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  <w:vertAlign w:val="baseline"/>
                <w:lang w:val="en-US" w:eastAsia="zh-CN"/>
              </w:rPr>
              <w:t>2.54</w:t>
            </w:r>
          </w:p>
        </w:tc>
      </w:tr>
    </w:tbl>
    <w:p w14:paraId="4C6614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2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2025-12-06T15:47:38Z</dcterms:created>
  <dc:creator>Administrator.DESKTOP-FVQKJ4J</dc:creator>
  <cp:lastModifiedBy>Léon</cp:lastModifiedBy>
  <dcterms:modified xsi:type="dcterms:W3CDTF">2025-12-06T15:47:49Z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eyJoZGlkIjoiZDZkOGRkOGFiOTQ5MGM5ZGRjOGFhNmIxZTRlMWFiY2IiLCJ1c2VySWQiOiIyNjQ2NDY2MzkifQ==</vt:lpwstr>
  </property>
  <property fmtid="{D5CDD505-2E9C-101B-9397-08002B2CF9AE}" pid="4" name="ICV">
    <vt:lpwstr>61AE43D3BCC34233966090050A87C7E0_12</vt:lpwstr>
  </property>
</Properties>
</file>