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46B38">
      <w:pPr>
        <w:spacing w:line="360" w:lineRule="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Supplemental Digital Content.</w:t>
      </w:r>
    </w:p>
    <w:p w14:paraId="0C6CDC7E">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S1.</w:t>
      </w:r>
      <w:r>
        <w:rPr>
          <w:rFonts w:hint="eastAsia" w:ascii="Times New Roman" w:hAnsi="Times New Roman" w:cs="Times New Roman"/>
          <w:sz w:val="24"/>
          <w:szCs w:val="24"/>
          <w:lang w:val="en-US" w:eastAsia="zh-CN"/>
        </w:rPr>
        <w:t xml:space="preserve"> Flowchart illustrating the participant selection process for this study.</w:t>
      </w:r>
    </w:p>
    <w:p w14:paraId="54828702">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S2.</w:t>
      </w:r>
      <w:r>
        <w:rPr>
          <w:rFonts w:hint="eastAsia" w:ascii="Times New Roman" w:hAnsi="Times New Roman" w:cs="Times New Roman"/>
          <w:sz w:val="24"/>
          <w:szCs w:val="24"/>
          <w:lang w:val="en-US" w:eastAsia="zh-CN"/>
        </w:rPr>
        <w:t xml:space="preserve"> Forest plot of association between fatty acids and IA risk. Odds ratios (ORs) and 95% confidence intervals (CIs) were adjusted for age, sex, body mass index, education, smoking status, alcohol consumption, history of diabetes, hypertension, coronary artery disease, and ischemic stroke.</w:t>
      </w:r>
    </w:p>
    <w:p w14:paraId="3827D09D">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w:t>
      </w:r>
      <w:r>
        <w:rPr>
          <w:rFonts w:hint="default" w:ascii="Times New Roman" w:hAnsi="Times New Roman" w:cs="Times New Roman"/>
          <w:b/>
          <w:bCs/>
          <w:sz w:val="24"/>
          <w:szCs w:val="24"/>
          <w:lang w:val="en-US" w:eastAsia="zh-CN"/>
        </w:rPr>
        <w:t xml:space="preserve"> </w:t>
      </w:r>
      <w:r>
        <w:rPr>
          <w:rFonts w:hint="eastAsia" w:ascii="Times New Roman" w:hAnsi="Times New Roman" w:cs="Times New Roman"/>
          <w:b/>
          <w:bCs/>
          <w:sz w:val="24"/>
          <w:szCs w:val="24"/>
          <w:lang w:val="en-US" w:eastAsia="zh-CN"/>
        </w:rPr>
        <w:t>S3</w:t>
      </w:r>
      <w:r>
        <w:rPr>
          <w:rFonts w:hint="default" w:ascii="Times New Roman" w:hAnsi="Times New Roman" w:cs="Times New Roman"/>
          <w:b/>
          <w:bCs/>
          <w:sz w:val="24"/>
          <w:szCs w:val="24"/>
          <w:lang w:val="en-US" w:eastAsia="zh-CN"/>
        </w:rPr>
        <w:t>.</w:t>
      </w:r>
      <w:r>
        <w:rPr>
          <w:rFonts w:hint="eastAsia" w:ascii="Times New Roman" w:hAnsi="Times New Roman" w:cs="Times New Roman"/>
          <w:sz w:val="24"/>
          <w:szCs w:val="24"/>
          <w:lang w:val="en-US" w:eastAsia="zh-CN"/>
        </w:rPr>
        <w:t xml:space="preserve"> Association between fatty acids and IA risk across different age groups. Odds ratios (ORs) and 95% confidence intervals (CIs) were adjusted for age, sex, body mass index, education, smoking status, alcohol consumption, history of diabetes, hypertension, coronary artery disease, and ischemic stroke.</w:t>
      </w:r>
    </w:p>
    <w:p w14:paraId="44EF9724">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S4.</w:t>
      </w:r>
      <w:r>
        <w:rPr>
          <w:rFonts w:hint="eastAsia" w:ascii="Times New Roman" w:hAnsi="Times New Roman" w:cs="Times New Roman"/>
          <w:sz w:val="24"/>
          <w:szCs w:val="24"/>
          <w:lang w:val="en-US" w:eastAsia="zh-CN"/>
        </w:rPr>
        <w:t xml:space="preserve"> Association between fatty acids and IA risk across different sex. Odds ratios (ORs) and 95% confidence intervals (CIs) were adjusted for age, sex, body mass index, education, smoking status, alcohol consumption, history of diabetes, hypertension, coronary artery disease, and ischemic stroke.</w:t>
      </w:r>
    </w:p>
    <w:p w14:paraId="333DA31C">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S5.</w:t>
      </w:r>
      <w:r>
        <w:rPr>
          <w:rFonts w:hint="eastAsia" w:ascii="Times New Roman" w:hAnsi="Times New Roman" w:cs="Times New Roman"/>
          <w:sz w:val="24"/>
          <w:szCs w:val="24"/>
          <w:lang w:val="en-US" w:eastAsia="zh-CN"/>
        </w:rPr>
        <w:t xml:space="preserve"> Potential non-linear relationship between total MUFA and IA risk assessed by a restricted cubic spline model. The solid red line indicates adjusted ORs for IA risk, and the dashed line indicates 95% CIs. Adjustments were made for age, sex, BMI, education, smoking status, alcohol consumption, diabetes, hypertension, coronary artery disease, and stroke.</w:t>
      </w:r>
    </w:p>
    <w:p w14:paraId="6FBE6ABB">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S6.</w:t>
      </w:r>
      <w:r>
        <w:rPr>
          <w:rFonts w:hint="eastAsia" w:ascii="Times New Roman" w:hAnsi="Times New Roman" w:cs="Times New Roman"/>
          <w:sz w:val="24"/>
          <w:szCs w:val="24"/>
          <w:lang w:val="en-US" w:eastAsia="zh-CN"/>
        </w:rPr>
        <w:t xml:space="preserve"> Forest plot of association between fatty acids and IA rupture. Odds ratios (ORs) and 95% confidence intervals (CIs) were adjusted for age, sex, body mass index, education, smoking status, alcohol consumption, history of diabetes, hypertension, coronary artery disease, and ischemic stroke.</w:t>
      </w:r>
    </w:p>
    <w:p w14:paraId="68B5D23A">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S7.</w:t>
      </w:r>
      <w:r>
        <w:rPr>
          <w:rFonts w:hint="eastAsia" w:ascii="Times New Roman" w:hAnsi="Times New Roman" w:cs="Times New Roman"/>
          <w:sz w:val="24"/>
          <w:szCs w:val="24"/>
          <w:lang w:val="en-US" w:eastAsia="zh-CN"/>
        </w:rPr>
        <w:t xml:space="preserve"> Association between fatty acids and IA rupture across different age group. Odds ratios (ORs) and 95% confidence intervals (CIs) were adjusted for age, sex, body mass index, education, smoking status, alcohol consumption, history of diabetes, hypertension, coronary artery disease, and ischemic stroke.</w:t>
      </w:r>
    </w:p>
    <w:p w14:paraId="1E141C01">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S8.</w:t>
      </w:r>
      <w:r>
        <w:rPr>
          <w:rFonts w:hint="eastAsia" w:ascii="Times New Roman" w:hAnsi="Times New Roman" w:cs="Times New Roman"/>
          <w:sz w:val="24"/>
          <w:szCs w:val="24"/>
          <w:lang w:val="en-US" w:eastAsia="zh-CN"/>
        </w:rPr>
        <w:t xml:space="preserve"> Association between fatty acids and IA rupture across different sex. Odds ratios (ORs) and 95% confidence intervals (CIs) were adjusted for age, sex, body mass index, education, smoking status, alcohol consumption, history of diabetes, hypertension, coronary artery disease, and ischemic stroke.</w:t>
      </w:r>
    </w:p>
    <w:p w14:paraId="1C7D91D5">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S9.</w:t>
      </w:r>
      <w:r>
        <w:rPr>
          <w:rFonts w:hint="eastAsia" w:ascii="Times New Roman" w:hAnsi="Times New Roman" w:cs="Times New Roman"/>
          <w:sz w:val="24"/>
          <w:szCs w:val="24"/>
          <w:lang w:val="en-US" w:eastAsia="zh-CN"/>
        </w:rPr>
        <w:t xml:space="preserve"> Calibration plots of rupture risk models incorporating fatty acids. A: Calibration performance of the PHASES+FA, ELAPSS+FA, and UCAS+FA models in the training set. B: Calibration performance of the same models in the independent test set. The diagonal grey line represents perfect calibration, whereas the colored line indicates model-predicted probabilities.</w:t>
      </w:r>
    </w:p>
    <w:p w14:paraId="4A423B4A">
      <w:pPr>
        <w:spacing w:line="360" w:lineRule="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Figure S10.</w:t>
      </w:r>
      <w:r>
        <w:rPr>
          <w:rFonts w:hint="eastAsia" w:ascii="Times New Roman" w:hAnsi="Times New Roman" w:cs="Times New Roman"/>
          <w:sz w:val="24"/>
          <w:szCs w:val="24"/>
          <w:lang w:val="en-US" w:eastAsia="zh-CN"/>
        </w:rPr>
        <w:t xml:space="preserve"> Decision Curve Analysis for predicting intracranial aneurysm risk. The DCA compares the net benefit of different models in predicting the risk of intracranial aneurysm rupture. The x-axis represents the threshold probability, or the probability at which a decision to treat is made, and the y-axis represents the net benefit, which accounts for both true positives and false positives. The curve indicates the model's performance across different threshold values, with higher net benefits suggesting better predictive accuracy. The horizontal line represents the "treat-all" strategy, while the diagonal line represents the "treat-none" strategy.</w:t>
      </w:r>
    </w:p>
    <w:p w14:paraId="054BAE10">
      <w:pPr>
        <w:spacing w:line="36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 xml:space="preserve">Table S1. </w:t>
      </w:r>
      <w:r>
        <w:rPr>
          <w:rFonts w:hint="eastAsia" w:ascii="Times New Roman" w:hAnsi="Times New Roman" w:cs="Times New Roman"/>
          <w:b w:val="0"/>
          <w:bCs w:val="0"/>
          <w:sz w:val="24"/>
          <w:szCs w:val="24"/>
          <w:lang w:val="en-US" w:eastAsia="zh-CN"/>
        </w:rPr>
        <w:t>Baseline characteristics of the training and test sets.</w:t>
      </w:r>
    </w:p>
    <w:p w14:paraId="7FA366CB">
      <w:pPr>
        <w:spacing w:line="36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Table S2.</w:t>
      </w:r>
      <w:r>
        <w:rPr>
          <w:rFonts w:hint="eastAsia" w:ascii="Times New Roman" w:hAnsi="Times New Roman" w:cs="Times New Roman"/>
          <w:b w:val="0"/>
          <w:bCs w:val="0"/>
          <w:sz w:val="24"/>
          <w:szCs w:val="24"/>
          <w:lang w:val="en-US" w:eastAsia="zh-CN"/>
        </w:rPr>
        <w:t xml:space="preserve"> Association of high vs. low tertile fatty acid levels with intracranial aneurysm presence.</w:t>
      </w:r>
    </w:p>
    <w:p w14:paraId="4C53FF64">
      <w:pPr>
        <w:spacing w:line="36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Table S3.</w:t>
      </w:r>
      <w:r>
        <w:rPr>
          <w:rFonts w:hint="eastAsia" w:ascii="Times New Roman" w:hAnsi="Times New Roman" w:cs="Times New Roman"/>
          <w:b w:val="0"/>
          <w:bCs w:val="0"/>
          <w:sz w:val="24"/>
          <w:szCs w:val="24"/>
          <w:lang w:val="en-US" w:eastAsia="zh-CN"/>
        </w:rPr>
        <w:t xml:space="preserve"> Association between fatty acid levels and the presence of intracranial aneurysms in participants without metabolic or cardiovascular comorbidities (diabetes, coronary artery disease, and ischemic stroke).</w:t>
      </w:r>
    </w:p>
    <w:p w14:paraId="17AC1710">
      <w:pPr>
        <w:spacing w:line="36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Table S4.</w:t>
      </w:r>
      <w:r>
        <w:rPr>
          <w:rFonts w:hint="eastAsia" w:ascii="Times New Roman" w:hAnsi="Times New Roman" w:cs="Times New Roman"/>
          <w:b w:val="0"/>
          <w:bCs w:val="0"/>
          <w:sz w:val="24"/>
          <w:szCs w:val="24"/>
          <w:lang w:val="en-US" w:eastAsia="zh-CN"/>
        </w:rPr>
        <w:t xml:space="preserve"> Association of high vs. low tertile fatty acid levels with intracranial aneurysm rupture.</w:t>
      </w:r>
    </w:p>
    <w:p w14:paraId="7705B8D5">
      <w:pPr>
        <w:spacing w:line="36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Table S5.</w:t>
      </w:r>
      <w:r>
        <w:rPr>
          <w:rFonts w:hint="eastAsia" w:ascii="Times New Roman" w:hAnsi="Times New Roman" w:cs="Times New Roman"/>
          <w:b w:val="0"/>
          <w:bCs w:val="0"/>
          <w:sz w:val="24"/>
          <w:szCs w:val="24"/>
          <w:lang w:val="en-US" w:eastAsia="zh-CN"/>
        </w:rPr>
        <w:t xml:space="preserve"> Association between fatty acid levels and the rupture of intracranial aneurysms in participants without metabolic or cardiovascular comorbidities (diabetes, coronary artery disease, and ischemic stroke).</w:t>
      </w:r>
      <w:bookmarkStart w:id="0" w:name="_GoBack"/>
      <w:bookmarkEnd w:id="0"/>
    </w:p>
    <w:p w14:paraId="51363623">
      <w:pPr>
        <w:spacing w:line="360" w:lineRule="auto"/>
        <w:rPr>
          <w:rFonts w:hint="eastAsia"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Table S6.</w:t>
      </w:r>
      <w:r>
        <w:rPr>
          <w:rFonts w:hint="eastAsia" w:ascii="Times New Roman" w:hAnsi="Times New Roman" w:cs="Times New Roman"/>
          <w:b w:val="0"/>
          <w:bCs w:val="0"/>
          <w:sz w:val="24"/>
          <w:szCs w:val="24"/>
          <w:lang w:val="en-US" w:eastAsia="zh-CN"/>
        </w:rPr>
        <w:t xml:space="preserve"> Comparative analysis of discrimination improvement for aneurysm rupture between traditional risk models and FA-integrated models in the training and test sets.</w:t>
      </w:r>
    </w:p>
    <w:p w14:paraId="7C3DC872">
      <w:pPr>
        <w:spacing w:line="360" w:lineRule="auto"/>
        <w:rPr>
          <w:rFonts w:hint="eastAsia" w:ascii="Times New Roman" w:hAnsi="Times New Roman" w:cs="Times New Roman"/>
          <w:sz w:val="20"/>
          <w:szCs w:val="20"/>
          <w:lang w:val="en-US" w:eastAsia="zh-CN"/>
        </w:rPr>
      </w:pPr>
      <w:r>
        <w:rPr>
          <w:rFonts w:hint="eastAsia" w:ascii="Times New Roman" w:hAnsi="Times New Roman" w:cs="Times New Roman"/>
          <w:b/>
          <w:bCs/>
          <w:sz w:val="24"/>
          <w:szCs w:val="24"/>
          <w:lang w:val="en-US" w:eastAsia="zh-CN"/>
        </w:rPr>
        <w:t>Table S7.</w:t>
      </w:r>
      <w:r>
        <w:rPr>
          <w:rFonts w:hint="eastAsia" w:ascii="Times New Roman" w:hAnsi="Times New Roman" w:cs="Times New Roman"/>
          <w:b w:val="0"/>
          <w:bCs w:val="0"/>
          <w:sz w:val="24"/>
          <w:szCs w:val="24"/>
          <w:lang w:val="en-US" w:eastAsia="zh-CN"/>
        </w:rPr>
        <w:t xml:space="preserve"> Calibration of models in training and test sets.</w:t>
      </w:r>
      <w:r>
        <w:rPr>
          <w:rFonts w:hint="eastAsia" w:ascii="Times New Roman" w:hAnsi="Times New Roman" w:cs="Times New Roman"/>
          <w:sz w:val="20"/>
          <w:szCs w:val="20"/>
          <w:lang w:val="en-US" w:eastAsia="zh-CN"/>
        </w:rPr>
        <w:br w:type="page"/>
      </w:r>
    </w:p>
    <w:p w14:paraId="3E4E1D39">
      <w:pPr>
        <w:rPr>
          <w:rFonts w:hint="default" w:ascii="Times New Roman" w:hAnsi="Times New Roman" w:cs="Times New Roman" w:eastAsiaTheme="minorEastAsia"/>
          <w:sz w:val="20"/>
          <w:szCs w:val="20"/>
          <w:lang w:val="en-US" w:eastAsia="zh-CN"/>
        </w:rPr>
      </w:pPr>
      <w:r>
        <w:rPr>
          <w:rFonts w:hint="default" w:ascii="Times New Roman" w:hAnsi="Times New Roman" w:cs="Times New Roman" w:eastAsiaTheme="minorEastAsia"/>
          <w:b/>
          <w:bCs/>
          <w:sz w:val="20"/>
          <w:szCs w:val="20"/>
          <w:lang w:eastAsia="zh-CN"/>
        </w:rPr>
        <w:drawing>
          <wp:anchor distT="0" distB="0" distL="114300" distR="114300" simplePos="0" relativeHeight="251659264" behindDoc="0" locked="0" layoutInCell="1" allowOverlap="1">
            <wp:simplePos x="0" y="0"/>
            <wp:positionH relativeFrom="column">
              <wp:posOffset>-852170</wp:posOffset>
            </wp:positionH>
            <wp:positionV relativeFrom="paragraph">
              <wp:posOffset>176530</wp:posOffset>
            </wp:positionV>
            <wp:extent cx="10186035" cy="4686300"/>
            <wp:effectExtent l="0" t="0" r="12065" b="0"/>
            <wp:wrapNone/>
            <wp:docPr id="1" name="图片 1" descr="Figure S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_00"/>
                    <pic:cNvPicPr>
                      <a:picLocks noChangeAspect="1"/>
                    </pic:cNvPicPr>
                  </pic:nvPicPr>
                  <pic:blipFill>
                    <a:blip r:embed="rId4"/>
                    <a:stretch>
                      <a:fillRect/>
                    </a:stretch>
                  </pic:blipFill>
                  <pic:spPr>
                    <a:xfrm>
                      <a:off x="0" y="0"/>
                      <a:ext cx="10186035" cy="4686300"/>
                    </a:xfrm>
                    <a:prstGeom prst="rect">
                      <a:avLst/>
                    </a:prstGeom>
                  </pic:spPr>
                </pic:pic>
              </a:graphicData>
            </a:graphic>
          </wp:anchor>
        </w:drawing>
      </w:r>
      <w:r>
        <w:rPr>
          <w:rFonts w:hint="eastAsia" w:ascii="Times New Roman" w:hAnsi="Times New Roman" w:cs="Times New Roman"/>
          <w:b/>
          <w:bCs/>
          <w:sz w:val="20"/>
          <w:szCs w:val="20"/>
          <w:lang w:val="en-US" w:eastAsia="zh-CN"/>
        </w:rPr>
        <w:t>Figure S1.</w:t>
      </w:r>
      <w:r>
        <w:rPr>
          <w:rFonts w:hint="eastAsia" w:ascii="Times New Roman" w:hAnsi="Times New Roman" w:cs="Times New Roman"/>
          <w:sz w:val="20"/>
          <w:szCs w:val="20"/>
          <w:lang w:val="en-US" w:eastAsia="zh-CN"/>
        </w:rPr>
        <w:t xml:space="preserve"> Flowchart illustrating the participant selection process for this study.</w:t>
      </w:r>
    </w:p>
    <w:p w14:paraId="12FCB1FF">
      <w:pPr>
        <w:rPr>
          <w:rFonts w:hint="eastAsia" w:eastAsiaTheme="minorEastAsia"/>
          <w:lang w:eastAsia="zh-CN"/>
        </w:rPr>
      </w:pPr>
    </w:p>
    <w:p w14:paraId="1882724E">
      <w:pPr>
        <w:rPr>
          <w:rFonts w:hint="eastAsia" w:eastAsiaTheme="minorEastAsia"/>
          <w:lang w:eastAsia="zh-CN"/>
        </w:rPr>
      </w:pPr>
    </w:p>
    <w:p w14:paraId="2202E04D">
      <w:pPr>
        <w:rPr>
          <w:rFonts w:hint="eastAsia" w:eastAsiaTheme="minorEastAsia"/>
          <w:lang w:eastAsia="zh-CN"/>
        </w:rPr>
      </w:pPr>
    </w:p>
    <w:p w14:paraId="4432B73F">
      <w:pPr>
        <w:rPr>
          <w:rFonts w:hint="eastAsia" w:eastAsiaTheme="minorEastAsia"/>
          <w:lang w:eastAsia="zh-CN"/>
        </w:rPr>
      </w:pPr>
    </w:p>
    <w:p w14:paraId="6D05915D">
      <w:pPr>
        <w:rPr>
          <w:rFonts w:hint="eastAsia" w:eastAsiaTheme="minorEastAsia"/>
          <w:lang w:eastAsia="zh-CN"/>
        </w:rPr>
      </w:pPr>
    </w:p>
    <w:p w14:paraId="525CA351">
      <w:pPr>
        <w:rPr>
          <w:rFonts w:hint="eastAsia" w:eastAsiaTheme="minorEastAsia"/>
          <w:lang w:eastAsia="zh-CN"/>
        </w:rPr>
      </w:pPr>
    </w:p>
    <w:p w14:paraId="6DEF34D1">
      <w:pPr>
        <w:rPr>
          <w:rFonts w:hint="eastAsia" w:eastAsiaTheme="minorEastAsia"/>
          <w:lang w:eastAsia="zh-CN"/>
        </w:rPr>
      </w:pPr>
    </w:p>
    <w:p w14:paraId="00773DA6">
      <w:pPr>
        <w:rPr>
          <w:rFonts w:hint="eastAsia" w:eastAsiaTheme="minorEastAsia"/>
          <w:lang w:eastAsia="zh-CN"/>
        </w:rPr>
      </w:pPr>
    </w:p>
    <w:p w14:paraId="23C49F94">
      <w:pPr>
        <w:rPr>
          <w:rFonts w:hint="eastAsia" w:eastAsiaTheme="minorEastAsia"/>
          <w:lang w:eastAsia="zh-CN"/>
        </w:rPr>
      </w:pPr>
    </w:p>
    <w:p w14:paraId="4693CB2D">
      <w:pPr>
        <w:rPr>
          <w:rFonts w:hint="eastAsia" w:eastAsiaTheme="minorEastAsia"/>
          <w:lang w:eastAsia="zh-CN"/>
        </w:rPr>
      </w:pPr>
    </w:p>
    <w:p w14:paraId="28CED611">
      <w:pPr>
        <w:rPr>
          <w:rFonts w:hint="eastAsia" w:eastAsiaTheme="minorEastAsia"/>
          <w:lang w:eastAsia="zh-CN"/>
        </w:rPr>
      </w:pPr>
    </w:p>
    <w:p w14:paraId="1DE7182C">
      <w:pPr>
        <w:rPr>
          <w:rFonts w:hint="eastAsia" w:eastAsiaTheme="minorEastAsia"/>
          <w:lang w:eastAsia="zh-CN"/>
        </w:rPr>
      </w:pPr>
    </w:p>
    <w:p w14:paraId="69B191DA">
      <w:pPr>
        <w:rPr>
          <w:rFonts w:hint="eastAsia" w:eastAsiaTheme="minorEastAsia"/>
          <w:lang w:eastAsia="zh-CN"/>
        </w:rPr>
      </w:pPr>
    </w:p>
    <w:p w14:paraId="1553DBD3">
      <w:pPr>
        <w:rPr>
          <w:rFonts w:hint="eastAsia" w:eastAsiaTheme="minorEastAsia"/>
          <w:lang w:eastAsia="zh-CN"/>
        </w:rPr>
      </w:pPr>
    </w:p>
    <w:p w14:paraId="3A198DBE">
      <w:pPr>
        <w:rPr>
          <w:rFonts w:hint="eastAsia" w:eastAsiaTheme="minorEastAsia"/>
          <w:lang w:eastAsia="zh-CN"/>
        </w:rPr>
      </w:pPr>
    </w:p>
    <w:p w14:paraId="018517EF">
      <w:pPr>
        <w:rPr>
          <w:rFonts w:hint="eastAsia" w:eastAsiaTheme="minorEastAsia"/>
          <w:lang w:eastAsia="zh-CN"/>
        </w:rPr>
      </w:pPr>
    </w:p>
    <w:p w14:paraId="49C06FE6">
      <w:pPr>
        <w:rPr>
          <w:rFonts w:hint="eastAsia" w:eastAsiaTheme="minorEastAsia"/>
          <w:lang w:eastAsia="zh-CN"/>
        </w:rPr>
      </w:pPr>
    </w:p>
    <w:p w14:paraId="57D04349">
      <w:pPr>
        <w:rPr>
          <w:rFonts w:hint="eastAsia" w:eastAsiaTheme="minorEastAsia"/>
          <w:lang w:eastAsia="zh-CN"/>
        </w:rPr>
      </w:pPr>
    </w:p>
    <w:p w14:paraId="444F3EE3">
      <w:pPr>
        <w:rPr>
          <w:rFonts w:hint="eastAsia" w:eastAsiaTheme="minorEastAsia"/>
          <w:lang w:eastAsia="zh-CN"/>
        </w:rPr>
      </w:pPr>
    </w:p>
    <w:p w14:paraId="1436214F">
      <w:pPr>
        <w:rPr>
          <w:rFonts w:hint="eastAsia" w:eastAsiaTheme="minorEastAsia"/>
          <w:lang w:eastAsia="zh-CN"/>
        </w:rPr>
      </w:pPr>
    </w:p>
    <w:p w14:paraId="71AEE0EA">
      <w:pPr>
        <w:rPr>
          <w:rFonts w:hint="eastAsia" w:eastAsiaTheme="minorEastAsia"/>
          <w:lang w:eastAsia="zh-CN"/>
        </w:rPr>
      </w:pPr>
    </w:p>
    <w:p w14:paraId="22F9D66F">
      <w:pPr>
        <w:rPr>
          <w:rFonts w:hint="eastAsia" w:eastAsiaTheme="minorEastAsia"/>
          <w:lang w:eastAsia="zh-CN"/>
        </w:rPr>
      </w:pPr>
    </w:p>
    <w:p w14:paraId="5F4E5DF5">
      <w:pPr>
        <w:rPr>
          <w:rFonts w:hint="eastAsia" w:eastAsiaTheme="minorEastAsia"/>
          <w:lang w:eastAsia="zh-CN"/>
        </w:rPr>
      </w:pPr>
    </w:p>
    <w:p w14:paraId="5767C757">
      <w:pPr>
        <w:rPr>
          <w:rFonts w:hint="eastAsia" w:eastAsiaTheme="minorEastAsia"/>
          <w:lang w:eastAsia="zh-CN"/>
        </w:rPr>
      </w:pPr>
    </w:p>
    <w:p w14:paraId="017D32DE">
      <w:pPr>
        <w:rPr>
          <w:rFonts w:hint="eastAsia" w:eastAsiaTheme="minorEastAsia"/>
          <w:lang w:eastAsia="zh-CN"/>
        </w:rPr>
        <w:sectPr>
          <w:pgSz w:w="16838" w:h="11906" w:orient="landscape"/>
          <w:pgMar w:top="1800" w:right="1440" w:bottom="1800" w:left="1440" w:header="851" w:footer="992" w:gutter="0"/>
          <w:cols w:space="425" w:num="1"/>
          <w:docGrid w:type="lines" w:linePitch="312" w:charSpace="0"/>
        </w:sectPr>
      </w:pPr>
    </w:p>
    <w:p w14:paraId="18451CB0">
      <w:pPr>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Figure S2.</w:t>
      </w:r>
      <w:r>
        <w:rPr>
          <w:rFonts w:hint="eastAsia" w:ascii="Times New Roman" w:hAnsi="Times New Roman" w:cs="Times New Roman"/>
          <w:sz w:val="20"/>
          <w:szCs w:val="20"/>
          <w:lang w:val="en-US" w:eastAsia="zh-CN"/>
        </w:rPr>
        <w:t xml:space="preserve"> Forest plot of association between fatty acids and IA risk. Odds ratios (ORs) and 95% confidence intervals (CIs) were adjusted for age, sex, body mass index, education, smoking status, alcohol consumption, history of diabetes, hypertension, coronary artery disease, and ischemic stroke.</w:t>
      </w:r>
    </w:p>
    <w:p w14:paraId="5AE568AE">
      <w:pPr>
        <w:keepNext w:val="0"/>
        <w:keepLines w:val="0"/>
        <w:widowControl/>
        <w:suppressLineNumbers w:val="0"/>
        <w:jc w:val="center"/>
        <w:textAlignment w:val="cente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drawing>
          <wp:inline distT="0" distB="0" distL="114300" distR="114300">
            <wp:extent cx="3905885" cy="4108450"/>
            <wp:effectExtent l="0" t="0" r="5715" b="6350"/>
            <wp:docPr id="17" name="图片 17" descr="forest_new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orest_new_01"/>
                    <pic:cNvPicPr>
                      <a:picLocks noChangeAspect="1"/>
                    </pic:cNvPicPr>
                  </pic:nvPicPr>
                  <pic:blipFill>
                    <a:blip r:embed="rId5"/>
                    <a:srcRect t="3316" b="3207"/>
                    <a:stretch>
                      <a:fillRect/>
                    </a:stretch>
                  </pic:blipFill>
                  <pic:spPr>
                    <a:xfrm>
                      <a:off x="0" y="0"/>
                      <a:ext cx="3905885" cy="4108450"/>
                    </a:xfrm>
                    <a:prstGeom prst="rect">
                      <a:avLst/>
                    </a:prstGeom>
                  </pic:spPr>
                </pic:pic>
              </a:graphicData>
            </a:graphic>
          </wp:inline>
        </w:drawing>
      </w:r>
    </w:p>
    <w:p w14:paraId="3FF63E97">
      <w:pPr>
        <w:keepNext w:val="0"/>
        <w:keepLines w:val="0"/>
        <w:widowControl/>
        <w:suppressLineNumbers w:val="0"/>
        <w:jc w:val="left"/>
        <w:textAlignment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ORs and 95% CIs represent the OR per one standard deviation increase in the respective fatty acid level.</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0"/>
          <w:szCs w:val="20"/>
          <w:lang w:val="en-US" w:eastAsia="zh-CN"/>
        </w:rPr>
        <w:t xml:space="preserve">Abbreviation: SFA, saturated fatty acid; MUFA, monounsaturated fatty acid; PUFA, polyunsaturated fatty acid; TFA, trans fatty acid; FA, fatty acid; AA, arachidonic acid, C20:4n-6; </w:t>
      </w:r>
      <w:r>
        <w:rPr>
          <w:rFonts w:hint="default" w:ascii="Times New Roman" w:hAnsi="Times New Roman" w:eastAsia="宋体" w:cs="Times New Roman"/>
          <w:b w:val="0"/>
          <w:i w:val="0"/>
          <w:iCs w:val="0"/>
          <w:color w:val="000000"/>
          <w:kern w:val="0"/>
          <w:sz w:val="20"/>
          <w:szCs w:val="20"/>
          <w:u w:val="none"/>
          <w:lang w:val="en-US" w:eastAsia="zh-CN" w:bidi="ar"/>
        </w:rPr>
        <w:t>EPA</w:t>
      </w:r>
      <w:r>
        <w:rPr>
          <w:rFonts w:hint="eastAsia" w:ascii="Times New Roman" w:hAnsi="Times New Roman" w:eastAsia="宋体" w:cs="Times New Roman"/>
          <w:b w:val="0"/>
          <w:i w:val="0"/>
          <w:iCs w:val="0"/>
          <w:color w:val="000000"/>
          <w:kern w:val="0"/>
          <w:sz w:val="20"/>
          <w:szCs w:val="20"/>
          <w:u w:val="none"/>
          <w:lang w:val="en-US" w:eastAsia="zh-CN" w:bidi="ar"/>
        </w:rPr>
        <w:t xml:space="preserve">, eicosapentaenoic acid, C20:5n-3; DHA, docosahexaenoic acid, C22:6n3; ALA, </w:t>
      </w:r>
      <w:r>
        <w:rPr>
          <w:rFonts w:hint="default" w:ascii="Times New Roman" w:hAnsi="Times New Roman" w:eastAsia="宋体" w:cs="Times New Roman"/>
          <w:b w:val="0"/>
          <w:i w:val="0"/>
          <w:iCs w:val="0"/>
          <w:color w:val="000000"/>
          <w:kern w:val="0"/>
          <w:sz w:val="20"/>
          <w:szCs w:val="20"/>
          <w:u w:val="none"/>
          <w:lang w:val="en-US" w:eastAsia="zh-CN" w:bidi="ar"/>
        </w:rPr>
        <w:t>α-linolenic acid</w:t>
      </w:r>
      <w:r>
        <w:rPr>
          <w:rFonts w:hint="eastAsia" w:ascii="Times New Roman" w:hAnsi="Times New Roman" w:eastAsia="宋体" w:cs="Times New Roman"/>
          <w:b w:val="0"/>
          <w:i w:val="0"/>
          <w:iCs w:val="0"/>
          <w:color w:val="000000"/>
          <w:kern w:val="0"/>
          <w:sz w:val="20"/>
          <w:szCs w:val="20"/>
          <w:u w:val="none"/>
          <w:lang w:val="en-US" w:eastAsia="zh-CN" w:bidi="ar"/>
        </w:rPr>
        <w:t>, C18:3n-3; OA, oleic acid, C18:1.</w:t>
      </w:r>
    </w:p>
    <w:p w14:paraId="542C30A3">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1E2DA476">
      <w:pPr>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Figure</w:t>
      </w:r>
      <w:r>
        <w:rPr>
          <w:rFonts w:hint="default" w:ascii="Times New Roman" w:hAnsi="Times New Roman" w:cs="Times New Roman"/>
          <w:b/>
          <w:bCs/>
          <w:sz w:val="20"/>
          <w:szCs w:val="20"/>
          <w:lang w:val="en-US" w:eastAsia="zh-CN"/>
        </w:rPr>
        <w:t xml:space="preserve"> </w:t>
      </w:r>
      <w:r>
        <w:rPr>
          <w:rFonts w:hint="eastAsia" w:ascii="Times New Roman" w:hAnsi="Times New Roman" w:cs="Times New Roman"/>
          <w:b/>
          <w:bCs/>
          <w:sz w:val="20"/>
          <w:szCs w:val="20"/>
          <w:lang w:val="en-US" w:eastAsia="zh-CN"/>
        </w:rPr>
        <w:t>S3</w:t>
      </w:r>
      <w:r>
        <w:rPr>
          <w:rFonts w:hint="default" w:ascii="Times New Roman" w:hAnsi="Times New Roman" w:cs="Times New Roman"/>
          <w:b/>
          <w:bCs/>
          <w:sz w:val="20"/>
          <w:szCs w:val="20"/>
          <w:lang w:val="en-US" w:eastAsia="zh-CN"/>
        </w:rPr>
        <w:t>.</w:t>
      </w:r>
      <w:r>
        <w:rPr>
          <w:rFonts w:hint="eastAsia" w:ascii="Times New Roman" w:hAnsi="Times New Roman" w:cs="Times New Roman"/>
          <w:sz w:val="20"/>
          <w:szCs w:val="20"/>
          <w:lang w:val="en-US" w:eastAsia="zh-CN"/>
        </w:rPr>
        <w:t xml:space="preserve"> Association between fatty acids and IA risk across different age groups. Odds ratios (ORs) and 95% confidence intervals (CIs) were adjusted for age, sex, body mass index, education, smoking status, alcohol consumption, history of diabetes, hypertension, coronary artery disease, and ischemic stroke.</w:t>
      </w:r>
    </w:p>
    <w:p w14:paraId="015EB859">
      <w:pPr>
        <w:rPr>
          <w:rFonts w:hint="eastAsia" w:ascii="Times New Roman" w:hAnsi="Times New Roman" w:cs="Times New Roman"/>
          <w:sz w:val="20"/>
          <w:szCs w:val="20"/>
          <w:lang w:val="en-US" w:eastAsia="zh-CN"/>
        </w:rPr>
      </w:pPr>
      <w:r>
        <w:rPr>
          <w:rFonts w:hint="default" w:ascii="Times New Roman" w:hAnsi="Times New Roman" w:cs="Times New Roman"/>
          <w:sz w:val="20"/>
          <w:szCs w:val="20"/>
          <w:lang w:val="en-US" w:eastAsia="zh-CN"/>
        </w:rPr>
        <w:drawing>
          <wp:anchor distT="0" distB="0" distL="114300" distR="114300" simplePos="0" relativeHeight="251660288" behindDoc="1" locked="0" layoutInCell="1" allowOverlap="1">
            <wp:simplePos x="0" y="0"/>
            <wp:positionH relativeFrom="column">
              <wp:posOffset>782955</wp:posOffset>
            </wp:positionH>
            <wp:positionV relativeFrom="paragraph">
              <wp:posOffset>22225</wp:posOffset>
            </wp:positionV>
            <wp:extent cx="6946265" cy="4115435"/>
            <wp:effectExtent l="0" t="0" r="635" b="12065"/>
            <wp:wrapNone/>
            <wp:docPr id="2" name="图片 2" descr="Figure S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_00"/>
                    <pic:cNvPicPr>
                      <a:picLocks noChangeAspect="1"/>
                    </pic:cNvPicPr>
                  </pic:nvPicPr>
                  <pic:blipFill>
                    <a:blip r:embed="rId6"/>
                    <a:stretch>
                      <a:fillRect/>
                    </a:stretch>
                  </pic:blipFill>
                  <pic:spPr>
                    <a:xfrm>
                      <a:off x="0" y="0"/>
                      <a:ext cx="6946265" cy="4115435"/>
                    </a:xfrm>
                    <a:prstGeom prst="rect">
                      <a:avLst/>
                    </a:prstGeom>
                  </pic:spPr>
                </pic:pic>
              </a:graphicData>
            </a:graphic>
          </wp:anchor>
        </w:drawing>
      </w:r>
    </w:p>
    <w:p w14:paraId="3CCC461C">
      <w:pPr>
        <w:rPr>
          <w:rFonts w:hint="eastAsia" w:ascii="Times New Roman" w:hAnsi="Times New Roman" w:cs="Times New Roman"/>
          <w:sz w:val="20"/>
          <w:szCs w:val="20"/>
          <w:lang w:val="en-US" w:eastAsia="zh-CN"/>
        </w:rPr>
      </w:pPr>
    </w:p>
    <w:p w14:paraId="42242D85">
      <w:pPr>
        <w:rPr>
          <w:rFonts w:hint="eastAsia" w:ascii="Times New Roman" w:hAnsi="Times New Roman" w:cs="Times New Roman"/>
          <w:sz w:val="20"/>
          <w:szCs w:val="20"/>
          <w:lang w:val="en-US" w:eastAsia="zh-CN"/>
        </w:rPr>
      </w:pPr>
    </w:p>
    <w:p w14:paraId="354D55E5">
      <w:pPr>
        <w:rPr>
          <w:rFonts w:hint="eastAsia" w:ascii="Times New Roman" w:hAnsi="Times New Roman" w:cs="Times New Roman"/>
          <w:sz w:val="20"/>
          <w:szCs w:val="20"/>
          <w:lang w:val="en-US" w:eastAsia="zh-CN"/>
        </w:rPr>
      </w:pPr>
    </w:p>
    <w:p w14:paraId="16469B22">
      <w:pPr>
        <w:rPr>
          <w:rFonts w:hint="eastAsia" w:ascii="Times New Roman" w:hAnsi="Times New Roman" w:cs="Times New Roman"/>
          <w:sz w:val="20"/>
          <w:szCs w:val="20"/>
          <w:lang w:val="en-US" w:eastAsia="zh-CN"/>
        </w:rPr>
      </w:pPr>
    </w:p>
    <w:p w14:paraId="0FBAD9BA">
      <w:pPr>
        <w:rPr>
          <w:rFonts w:hint="eastAsia" w:ascii="Times New Roman" w:hAnsi="Times New Roman" w:cs="Times New Roman"/>
          <w:sz w:val="20"/>
          <w:szCs w:val="20"/>
          <w:lang w:val="en-US" w:eastAsia="zh-CN"/>
        </w:rPr>
      </w:pPr>
    </w:p>
    <w:p w14:paraId="27DB7E30">
      <w:pPr>
        <w:rPr>
          <w:rFonts w:hint="eastAsia" w:ascii="Times New Roman" w:hAnsi="Times New Roman" w:cs="Times New Roman"/>
          <w:sz w:val="20"/>
          <w:szCs w:val="20"/>
          <w:lang w:val="en-US" w:eastAsia="zh-CN"/>
        </w:rPr>
      </w:pPr>
    </w:p>
    <w:p w14:paraId="69B701BC">
      <w:pPr>
        <w:rPr>
          <w:rFonts w:hint="eastAsia" w:ascii="Times New Roman" w:hAnsi="Times New Roman" w:cs="Times New Roman"/>
          <w:sz w:val="20"/>
          <w:szCs w:val="20"/>
          <w:lang w:val="en-US" w:eastAsia="zh-CN"/>
        </w:rPr>
      </w:pPr>
    </w:p>
    <w:p w14:paraId="2A3216A3">
      <w:pPr>
        <w:rPr>
          <w:rFonts w:hint="eastAsia" w:ascii="Times New Roman" w:hAnsi="Times New Roman" w:cs="Times New Roman"/>
          <w:sz w:val="20"/>
          <w:szCs w:val="20"/>
          <w:lang w:val="en-US" w:eastAsia="zh-CN"/>
        </w:rPr>
      </w:pPr>
    </w:p>
    <w:p w14:paraId="117D92A5">
      <w:pPr>
        <w:rPr>
          <w:rFonts w:hint="eastAsia" w:ascii="Times New Roman" w:hAnsi="Times New Roman" w:cs="Times New Roman"/>
          <w:sz w:val="20"/>
          <w:szCs w:val="20"/>
          <w:lang w:val="en-US" w:eastAsia="zh-CN"/>
        </w:rPr>
      </w:pPr>
    </w:p>
    <w:p w14:paraId="6619ADBE">
      <w:pPr>
        <w:rPr>
          <w:rFonts w:hint="eastAsia" w:ascii="Times New Roman" w:hAnsi="Times New Roman" w:cs="Times New Roman"/>
          <w:sz w:val="20"/>
          <w:szCs w:val="20"/>
          <w:lang w:val="en-US" w:eastAsia="zh-CN"/>
        </w:rPr>
      </w:pPr>
    </w:p>
    <w:p w14:paraId="22CDFCED">
      <w:pPr>
        <w:rPr>
          <w:rFonts w:hint="eastAsia" w:ascii="Times New Roman" w:hAnsi="Times New Roman" w:cs="Times New Roman"/>
          <w:sz w:val="20"/>
          <w:szCs w:val="20"/>
          <w:lang w:val="en-US" w:eastAsia="zh-CN"/>
        </w:rPr>
      </w:pPr>
    </w:p>
    <w:p w14:paraId="3E1B1FB2">
      <w:pPr>
        <w:rPr>
          <w:rFonts w:hint="eastAsia" w:ascii="Times New Roman" w:hAnsi="Times New Roman" w:cs="Times New Roman"/>
          <w:sz w:val="20"/>
          <w:szCs w:val="20"/>
          <w:lang w:val="en-US" w:eastAsia="zh-CN"/>
        </w:rPr>
      </w:pPr>
    </w:p>
    <w:p w14:paraId="00236A27">
      <w:pPr>
        <w:rPr>
          <w:rFonts w:hint="eastAsia" w:ascii="Times New Roman" w:hAnsi="Times New Roman" w:cs="Times New Roman"/>
          <w:sz w:val="20"/>
          <w:szCs w:val="20"/>
          <w:lang w:val="en-US" w:eastAsia="zh-CN"/>
        </w:rPr>
      </w:pPr>
    </w:p>
    <w:p w14:paraId="664C0567">
      <w:pPr>
        <w:rPr>
          <w:rFonts w:hint="eastAsia" w:ascii="Times New Roman" w:hAnsi="Times New Roman" w:cs="Times New Roman"/>
          <w:sz w:val="20"/>
          <w:szCs w:val="20"/>
          <w:lang w:val="en-US" w:eastAsia="zh-CN"/>
        </w:rPr>
      </w:pPr>
    </w:p>
    <w:p w14:paraId="19A79F9E">
      <w:pPr>
        <w:rPr>
          <w:rFonts w:hint="eastAsia" w:ascii="Times New Roman" w:hAnsi="Times New Roman" w:cs="Times New Roman"/>
          <w:sz w:val="20"/>
          <w:szCs w:val="20"/>
          <w:lang w:val="en-US" w:eastAsia="zh-CN"/>
        </w:rPr>
      </w:pPr>
    </w:p>
    <w:p w14:paraId="3B4C1D0C">
      <w:pPr>
        <w:rPr>
          <w:rFonts w:hint="eastAsia" w:ascii="Times New Roman" w:hAnsi="Times New Roman" w:cs="Times New Roman"/>
          <w:sz w:val="20"/>
          <w:szCs w:val="20"/>
          <w:lang w:val="en-US" w:eastAsia="zh-CN"/>
        </w:rPr>
      </w:pPr>
    </w:p>
    <w:p w14:paraId="77B9BD82">
      <w:pPr>
        <w:rPr>
          <w:rFonts w:hint="eastAsia" w:ascii="Times New Roman" w:hAnsi="Times New Roman" w:cs="Times New Roman"/>
          <w:sz w:val="20"/>
          <w:szCs w:val="20"/>
          <w:lang w:val="en-US" w:eastAsia="zh-CN"/>
        </w:rPr>
      </w:pPr>
    </w:p>
    <w:p w14:paraId="36E187C7">
      <w:pPr>
        <w:rPr>
          <w:rFonts w:hint="eastAsia" w:ascii="Times New Roman" w:hAnsi="Times New Roman" w:cs="Times New Roman"/>
          <w:sz w:val="20"/>
          <w:szCs w:val="20"/>
          <w:lang w:val="en-US" w:eastAsia="zh-CN"/>
        </w:rPr>
      </w:pPr>
    </w:p>
    <w:p w14:paraId="132C0AFA">
      <w:pPr>
        <w:keepNext w:val="0"/>
        <w:keepLines w:val="0"/>
        <w:widowControl/>
        <w:suppressLineNumbers w:val="0"/>
        <w:jc w:val="left"/>
        <w:textAlignment w:val="center"/>
        <w:rPr>
          <w:rFonts w:hint="eastAsia" w:ascii="Times New Roman" w:hAnsi="Times New Roman" w:cs="Times New Roman"/>
          <w:sz w:val="20"/>
          <w:szCs w:val="20"/>
          <w:lang w:val="en-US" w:eastAsia="zh-CN"/>
        </w:rPr>
      </w:pPr>
    </w:p>
    <w:p w14:paraId="37179DF6">
      <w:pPr>
        <w:keepNext w:val="0"/>
        <w:keepLines w:val="0"/>
        <w:widowControl/>
        <w:suppressLineNumbers w:val="0"/>
        <w:jc w:val="left"/>
        <w:textAlignment w:val="center"/>
        <w:rPr>
          <w:rFonts w:hint="eastAsia" w:ascii="Times New Roman" w:hAnsi="Times New Roman" w:cs="Times New Roman"/>
          <w:sz w:val="20"/>
          <w:szCs w:val="20"/>
          <w:lang w:val="en-US" w:eastAsia="zh-CN"/>
        </w:rPr>
      </w:pPr>
    </w:p>
    <w:p w14:paraId="3FEDAF57">
      <w:pPr>
        <w:keepNext w:val="0"/>
        <w:keepLines w:val="0"/>
        <w:widowControl/>
        <w:suppressLineNumbers w:val="0"/>
        <w:jc w:val="left"/>
        <w:textAlignment w:val="center"/>
        <w:rPr>
          <w:rFonts w:hint="eastAsia"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cs="Times New Roman"/>
          <w:sz w:val="20"/>
          <w:szCs w:val="20"/>
          <w:lang w:val="en-US" w:eastAsia="zh-CN"/>
        </w:rPr>
        <w:t xml:space="preserve">ORs and 95% CIs represent the OR per one standard deviation increase in the respective fatty acid level. Abbreviation: SFA, saturated fatty acid; MUFA, monounsaturated fatty acid; PUFA, polyunsaturated fatty acid; TFA, trans fatty acid; FA, fatty acid; AA, arachidonic acid, C20:4n-6; </w:t>
      </w:r>
      <w:r>
        <w:rPr>
          <w:rFonts w:hint="default" w:ascii="Times New Roman" w:hAnsi="Times New Roman" w:eastAsia="宋体" w:cs="Times New Roman"/>
          <w:b w:val="0"/>
          <w:i w:val="0"/>
          <w:iCs w:val="0"/>
          <w:color w:val="000000"/>
          <w:kern w:val="0"/>
          <w:sz w:val="20"/>
          <w:szCs w:val="20"/>
          <w:u w:val="none"/>
          <w:lang w:val="en-US" w:eastAsia="zh-CN" w:bidi="ar"/>
        </w:rPr>
        <w:t>EPA</w:t>
      </w:r>
      <w:r>
        <w:rPr>
          <w:rFonts w:hint="eastAsia" w:ascii="Times New Roman" w:hAnsi="Times New Roman" w:eastAsia="宋体" w:cs="Times New Roman"/>
          <w:b w:val="0"/>
          <w:i w:val="0"/>
          <w:iCs w:val="0"/>
          <w:color w:val="000000"/>
          <w:kern w:val="0"/>
          <w:sz w:val="20"/>
          <w:szCs w:val="20"/>
          <w:u w:val="none"/>
          <w:lang w:val="en-US" w:eastAsia="zh-CN" w:bidi="ar"/>
        </w:rPr>
        <w:t xml:space="preserve">, eicosapentaenoic acid, C20:5n-3; DHA, docosahexaenoic acid, C22:6n3; ALA, </w:t>
      </w:r>
      <w:r>
        <w:rPr>
          <w:rFonts w:hint="default" w:ascii="Times New Roman" w:hAnsi="Times New Roman" w:eastAsia="宋体" w:cs="Times New Roman"/>
          <w:b w:val="0"/>
          <w:i w:val="0"/>
          <w:iCs w:val="0"/>
          <w:color w:val="000000"/>
          <w:kern w:val="0"/>
          <w:sz w:val="20"/>
          <w:szCs w:val="20"/>
          <w:u w:val="none"/>
          <w:lang w:val="en-US" w:eastAsia="zh-CN" w:bidi="ar"/>
        </w:rPr>
        <w:t>α-linolenic acid</w:t>
      </w:r>
      <w:r>
        <w:rPr>
          <w:rFonts w:hint="eastAsia" w:ascii="Times New Roman" w:hAnsi="Times New Roman" w:eastAsia="宋体" w:cs="Times New Roman"/>
          <w:b w:val="0"/>
          <w:i w:val="0"/>
          <w:iCs w:val="0"/>
          <w:color w:val="000000"/>
          <w:kern w:val="0"/>
          <w:sz w:val="20"/>
          <w:szCs w:val="20"/>
          <w:u w:val="none"/>
          <w:lang w:val="en-US" w:eastAsia="zh-CN" w:bidi="ar"/>
        </w:rPr>
        <w:t>, C18:3n-3; OA, oleic acid, C18:1.</w:t>
      </w:r>
    </w:p>
    <w:p w14:paraId="771A81E9">
      <w:pPr>
        <w:rPr>
          <w:rFonts w:hint="eastAsia"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val="0"/>
          <w:i w:val="0"/>
          <w:iCs w:val="0"/>
          <w:color w:val="000000"/>
          <w:kern w:val="0"/>
          <w:sz w:val="20"/>
          <w:szCs w:val="20"/>
          <w:u w:val="none"/>
          <w:lang w:val="en-US" w:eastAsia="zh-CN" w:bidi="ar"/>
        </w:rPr>
        <w:br w:type="page"/>
      </w:r>
    </w:p>
    <w:p w14:paraId="3BF4C5B1">
      <w:pPr>
        <w:rPr>
          <w:rFonts w:hint="eastAsia"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drawing>
          <wp:anchor distT="0" distB="0" distL="114300" distR="114300" simplePos="0" relativeHeight="251660288" behindDoc="1" locked="0" layoutInCell="1" allowOverlap="1">
            <wp:simplePos x="0" y="0"/>
            <wp:positionH relativeFrom="column">
              <wp:posOffset>931545</wp:posOffset>
            </wp:positionH>
            <wp:positionV relativeFrom="paragraph">
              <wp:posOffset>251460</wp:posOffset>
            </wp:positionV>
            <wp:extent cx="6777990" cy="4293235"/>
            <wp:effectExtent l="0" t="0" r="3810" b="12065"/>
            <wp:wrapNone/>
            <wp:docPr id="3" name="图片 3" descr="Figure S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_00"/>
                    <pic:cNvPicPr>
                      <a:picLocks noChangeAspect="1"/>
                    </pic:cNvPicPr>
                  </pic:nvPicPr>
                  <pic:blipFill>
                    <a:blip r:embed="rId7"/>
                    <a:stretch>
                      <a:fillRect/>
                    </a:stretch>
                  </pic:blipFill>
                  <pic:spPr>
                    <a:xfrm>
                      <a:off x="0" y="0"/>
                      <a:ext cx="6777990" cy="4293235"/>
                    </a:xfrm>
                    <a:prstGeom prst="rect">
                      <a:avLst/>
                    </a:prstGeom>
                  </pic:spPr>
                </pic:pic>
              </a:graphicData>
            </a:graphic>
          </wp:anchor>
        </w:drawing>
      </w:r>
      <w:r>
        <w:rPr>
          <w:rFonts w:hint="eastAsia" w:ascii="Times New Roman" w:hAnsi="Times New Roman" w:cs="Times New Roman"/>
          <w:b/>
          <w:bCs/>
          <w:sz w:val="20"/>
          <w:szCs w:val="20"/>
          <w:lang w:val="en-US" w:eastAsia="zh-CN"/>
        </w:rPr>
        <w:t>Figure S4.</w:t>
      </w:r>
      <w:r>
        <w:rPr>
          <w:rFonts w:hint="eastAsia" w:ascii="Times New Roman" w:hAnsi="Times New Roman" w:cs="Times New Roman"/>
          <w:sz w:val="20"/>
          <w:szCs w:val="20"/>
          <w:lang w:val="en-US" w:eastAsia="zh-CN"/>
        </w:rPr>
        <w:t xml:space="preserve"> Association between fatty acids and IA risk across different sex. Odds ratios (ORs) and 95% confidence intervals (CIs) were adjusted for  age, sex, body mass index, education, smoking status, alcohol consumption, history of diabetes, hypertension, coronary artery disease, and ischemic stroke.</w:t>
      </w:r>
    </w:p>
    <w:p w14:paraId="47BE7A29">
      <w:pPr>
        <w:rPr>
          <w:rFonts w:hint="default" w:ascii="Times New Roman" w:hAnsi="Times New Roman" w:cs="Times New Roman"/>
          <w:sz w:val="20"/>
          <w:szCs w:val="20"/>
          <w:lang w:val="en-US" w:eastAsia="zh-CN"/>
        </w:rPr>
      </w:pPr>
    </w:p>
    <w:p w14:paraId="32E9ACA5">
      <w:pPr>
        <w:rPr>
          <w:rFonts w:hint="default" w:ascii="Times New Roman" w:hAnsi="Times New Roman" w:cs="Times New Roman"/>
          <w:sz w:val="20"/>
          <w:szCs w:val="20"/>
          <w:lang w:val="en-US" w:eastAsia="zh-CN"/>
        </w:rPr>
      </w:pPr>
    </w:p>
    <w:p w14:paraId="04865A5F">
      <w:pPr>
        <w:rPr>
          <w:rFonts w:hint="default" w:ascii="Times New Roman" w:hAnsi="Times New Roman" w:cs="Times New Roman"/>
          <w:sz w:val="20"/>
          <w:szCs w:val="20"/>
          <w:lang w:val="en-US" w:eastAsia="zh-CN"/>
        </w:rPr>
      </w:pPr>
    </w:p>
    <w:p w14:paraId="5AB0385F">
      <w:pPr>
        <w:rPr>
          <w:rFonts w:hint="default" w:ascii="Times New Roman" w:hAnsi="Times New Roman" w:cs="Times New Roman"/>
          <w:sz w:val="20"/>
          <w:szCs w:val="20"/>
          <w:lang w:val="en-US" w:eastAsia="zh-CN"/>
        </w:rPr>
      </w:pPr>
    </w:p>
    <w:p w14:paraId="39485B33">
      <w:pPr>
        <w:rPr>
          <w:rFonts w:hint="default" w:ascii="Times New Roman" w:hAnsi="Times New Roman" w:cs="Times New Roman"/>
          <w:sz w:val="20"/>
          <w:szCs w:val="20"/>
          <w:lang w:val="en-US" w:eastAsia="zh-CN"/>
        </w:rPr>
      </w:pPr>
    </w:p>
    <w:p w14:paraId="2EC3CA3C">
      <w:pPr>
        <w:rPr>
          <w:rFonts w:hint="default" w:ascii="Times New Roman" w:hAnsi="Times New Roman" w:cs="Times New Roman"/>
          <w:sz w:val="20"/>
          <w:szCs w:val="20"/>
          <w:lang w:val="en-US" w:eastAsia="zh-CN"/>
        </w:rPr>
      </w:pPr>
    </w:p>
    <w:p w14:paraId="1F45B31C">
      <w:pPr>
        <w:rPr>
          <w:rFonts w:hint="default" w:ascii="Times New Roman" w:hAnsi="Times New Roman" w:cs="Times New Roman"/>
          <w:sz w:val="20"/>
          <w:szCs w:val="20"/>
          <w:lang w:val="en-US" w:eastAsia="zh-CN"/>
        </w:rPr>
      </w:pPr>
    </w:p>
    <w:p w14:paraId="4CFA711F">
      <w:pPr>
        <w:rPr>
          <w:rFonts w:hint="default" w:ascii="Times New Roman" w:hAnsi="Times New Roman" w:cs="Times New Roman"/>
          <w:sz w:val="20"/>
          <w:szCs w:val="20"/>
          <w:lang w:val="en-US" w:eastAsia="zh-CN"/>
        </w:rPr>
      </w:pPr>
    </w:p>
    <w:p w14:paraId="2601EA4E">
      <w:pPr>
        <w:rPr>
          <w:rFonts w:hint="default" w:ascii="Times New Roman" w:hAnsi="Times New Roman" w:cs="Times New Roman"/>
          <w:sz w:val="20"/>
          <w:szCs w:val="20"/>
          <w:lang w:val="en-US" w:eastAsia="zh-CN"/>
        </w:rPr>
      </w:pPr>
    </w:p>
    <w:p w14:paraId="51865EC3">
      <w:pPr>
        <w:rPr>
          <w:rFonts w:hint="default" w:ascii="Times New Roman" w:hAnsi="Times New Roman" w:cs="Times New Roman"/>
          <w:sz w:val="20"/>
          <w:szCs w:val="20"/>
          <w:lang w:val="en-US" w:eastAsia="zh-CN"/>
        </w:rPr>
      </w:pPr>
    </w:p>
    <w:p w14:paraId="2DF03B45">
      <w:pPr>
        <w:rPr>
          <w:rFonts w:hint="default" w:ascii="Times New Roman" w:hAnsi="Times New Roman" w:cs="Times New Roman"/>
          <w:sz w:val="20"/>
          <w:szCs w:val="20"/>
          <w:lang w:val="en-US" w:eastAsia="zh-CN"/>
        </w:rPr>
      </w:pPr>
    </w:p>
    <w:p w14:paraId="70286E5D">
      <w:pPr>
        <w:rPr>
          <w:rFonts w:hint="default" w:ascii="Times New Roman" w:hAnsi="Times New Roman" w:cs="Times New Roman"/>
          <w:sz w:val="20"/>
          <w:szCs w:val="20"/>
          <w:lang w:val="en-US" w:eastAsia="zh-CN"/>
        </w:rPr>
      </w:pPr>
    </w:p>
    <w:p w14:paraId="3D1929FA">
      <w:pPr>
        <w:rPr>
          <w:rFonts w:hint="default" w:ascii="Times New Roman" w:hAnsi="Times New Roman" w:cs="Times New Roman"/>
          <w:sz w:val="20"/>
          <w:szCs w:val="20"/>
          <w:lang w:val="en-US" w:eastAsia="zh-CN"/>
        </w:rPr>
      </w:pPr>
    </w:p>
    <w:p w14:paraId="154B6FA6">
      <w:pPr>
        <w:rPr>
          <w:rFonts w:hint="default" w:ascii="Times New Roman" w:hAnsi="Times New Roman" w:cs="Times New Roman"/>
          <w:sz w:val="20"/>
          <w:szCs w:val="20"/>
          <w:lang w:val="en-US" w:eastAsia="zh-CN"/>
        </w:rPr>
      </w:pPr>
    </w:p>
    <w:p w14:paraId="3B48BD78">
      <w:pPr>
        <w:rPr>
          <w:rFonts w:hint="default" w:ascii="Times New Roman" w:hAnsi="Times New Roman" w:cs="Times New Roman"/>
          <w:sz w:val="20"/>
          <w:szCs w:val="20"/>
          <w:lang w:val="en-US" w:eastAsia="zh-CN"/>
        </w:rPr>
      </w:pPr>
    </w:p>
    <w:p w14:paraId="68DB0E87">
      <w:pPr>
        <w:rPr>
          <w:rFonts w:hint="default" w:ascii="Times New Roman" w:hAnsi="Times New Roman" w:cs="Times New Roman"/>
          <w:sz w:val="20"/>
          <w:szCs w:val="20"/>
          <w:lang w:val="en-US" w:eastAsia="zh-CN"/>
        </w:rPr>
      </w:pPr>
    </w:p>
    <w:p w14:paraId="5FFA1024">
      <w:pPr>
        <w:rPr>
          <w:rFonts w:hint="default" w:ascii="Times New Roman" w:hAnsi="Times New Roman" w:cs="Times New Roman"/>
          <w:sz w:val="20"/>
          <w:szCs w:val="20"/>
          <w:lang w:val="en-US" w:eastAsia="zh-CN"/>
        </w:rPr>
      </w:pPr>
    </w:p>
    <w:p w14:paraId="6F9A5C6B">
      <w:pPr>
        <w:rPr>
          <w:rFonts w:hint="default" w:ascii="Times New Roman" w:hAnsi="Times New Roman" w:cs="Times New Roman"/>
          <w:sz w:val="20"/>
          <w:szCs w:val="20"/>
          <w:lang w:val="en-US" w:eastAsia="zh-CN"/>
        </w:rPr>
      </w:pPr>
    </w:p>
    <w:p w14:paraId="6D2067C4">
      <w:pPr>
        <w:rPr>
          <w:rFonts w:hint="default" w:ascii="Times New Roman" w:hAnsi="Times New Roman" w:cs="Times New Roman"/>
          <w:sz w:val="20"/>
          <w:szCs w:val="20"/>
          <w:lang w:val="en-US" w:eastAsia="zh-CN"/>
        </w:rPr>
      </w:pPr>
    </w:p>
    <w:p w14:paraId="60BD8B56">
      <w:pPr>
        <w:rPr>
          <w:rFonts w:hint="default" w:ascii="Times New Roman" w:hAnsi="Times New Roman" w:cs="Times New Roman"/>
          <w:sz w:val="20"/>
          <w:szCs w:val="20"/>
          <w:lang w:val="en-US" w:eastAsia="zh-CN"/>
        </w:rPr>
      </w:pPr>
    </w:p>
    <w:p w14:paraId="7D635109">
      <w:pPr>
        <w:keepNext w:val="0"/>
        <w:keepLines w:val="0"/>
        <w:widowControl/>
        <w:suppressLineNumbers w:val="0"/>
        <w:jc w:val="left"/>
        <w:textAlignment w:val="center"/>
        <w:rPr>
          <w:rFonts w:hint="eastAsia" w:ascii="Times New Roman" w:hAnsi="Times New Roman" w:cs="Times New Roman"/>
          <w:sz w:val="20"/>
          <w:szCs w:val="20"/>
          <w:lang w:val="en-US" w:eastAsia="zh-CN"/>
        </w:rPr>
      </w:pPr>
    </w:p>
    <w:p w14:paraId="1AD5F1A6">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22"/>
          <w:szCs w:val="22"/>
          <w:u w:val="none"/>
          <w:lang w:val="en-US" w:eastAsia="zh-CN" w:bidi="ar"/>
        </w:rPr>
      </w:pPr>
      <w:r>
        <w:rPr>
          <w:rFonts w:hint="eastAsia" w:ascii="Times New Roman" w:hAnsi="Times New Roman" w:cs="Times New Roman"/>
          <w:sz w:val="20"/>
          <w:szCs w:val="20"/>
          <w:lang w:val="en-US" w:eastAsia="zh-CN"/>
        </w:rPr>
        <w:t xml:space="preserve">ORs and 95% CIs represent the OR per one standard deviation increase in the respective fatty acid level. Abbreviation: SFA, saturated fatty acid; MUFA, monounsaturated fatty acid; PUFA, polyunsaturated fatty acid; TFA, trans fatty acid; FA, fatty acid; AA, arachidonic acid, C20:4n-6; </w:t>
      </w:r>
      <w:r>
        <w:rPr>
          <w:rFonts w:hint="default" w:ascii="Times New Roman" w:hAnsi="Times New Roman" w:eastAsia="宋体" w:cs="Times New Roman"/>
          <w:b w:val="0"/>
          <w:i w:val="0"/>
          <w:iCs w:val="0"/>
          <w:color w:val="000000"/>
          <w:kern w:val="0"/>
          <w:sz w:val="20"/>
          <w:szCs w:val="20"/>
          <w:u w:val="none"/>
          <w:lang w:val="en-US" w:eastAsia="zh-CN" w:bidi="ar"/>
        </w:rPr>
        <w:t>EPA</w:t>
      </w:r>
      <w:r>
        <w:rPr>
          <w:rFonts w:hint="eastAsia" w:ascii="Times New Roman" w:hAnsi="Times New Roman" w:eastAsia="宋体" w:cs="Times New Roman"/>
          <w:b w:val="0"/>
          <w:i w:val="0"/>
          <w:iCs w:val="0"/>
          <w:color w:val="000000"/>
          <w:kern w:val="0"/>
          <w:sz w:val="20"/>
          <w:szCs w:val="20"/>
          <w:u w:val="none"/>
          <w:lang w:val="en-US" w:eastAsia="zh-CN" w:bidi="ar"/>
        </w:rPr>
        <w:t xml:space="preserve">, eicosapentaenoic acid, C20:5n-3; DHA, docosahexaenoic acid, C22:6n3; ALA, </w:t>
      </w:r>
      <w:r>
        <w:rPr>
          <w:rFonts w:hint="default" w:ascii="Times New Roman" w:hAnsi="Times New Roman" w:eastAsia="宋体" w:cs="Times New Roman"/>
          <w:b w:val="0"/>
          <w:i w:val="0"/>
          <w:iCs w:val="0"/>
          <w:color w:val="000000"/>
          <w:kern w:val="0"/>
          <w:sz w:val="20"/>
          <w:szCs w:val="20"/>
          <w:u w:val="none"/>
          <w:lang w:val="en-US" w:eastAsia="zh-CN" w:bidi="ar"/>
        </w:rPr>
        <w:t>α-linolenic acid</w:t>
      </w:r>
      <w:r>
        <w:rPr>
          <w:rFonts w:hint="eastAsia" w:ascii="Times New Roman" w:hAnsi="Times New Roman" w:eastAsia="宋体" w:cs="Times New Roman"/>
          <w:b w:val="0"/>
          <w:i w:val="0"/>
          <w:iCs w:val="0"/>
          <w:color w:val="000000"/>
          <w:kern w:val="0"/>
          <w:sz w:val="20"/>
          <w:szCs w:val="20"/>
          <w:u w:val="none"/>
          <w:lang w:val="en-US" w:eastAsia="zh-CN" w:bidi="ar"/>
        </w:rPr>
        <w:t>, C18:3n-3; OA, oleic acid, C18:1.</w:t>
      </w:r>
    </w:p>
    <w:p w14:paraId="0CC0F056">
      <w:pPr>
        <w:widowControl/>
        <w:spacing w:line="240" w:lineRule="auto"/>
        <w:jc w:val="left"/>
        <w:textAlignment w:val="center"/>
        <w:rPr>
          <w:rFonts w:hint="default" w:ascii="Times New Roman" w:hAnsi="Times New Roman" w:cs="Times New Roman"/>
          <w:sz w:val="20"/>
          <w:szCs w:val="20"/>
        </w:rPr>
      </w:pPr>
      <w:r>
        <w:rPr>
          <w:rFonts w:hint="default" w:ascii="Times New Roman" w:hAnsi="Times New Roman" w:cs="Times New Roman"/>
          <w:b/>
          <w:bCs/>
          <w:sz w:val="20"/>
          <w:szCs w:val="20"/>
        </w:rPr>
        <w:t xml:space="preserve">Figure </w:t>
      </w:r>
      <w:r>
        <w:rPr>
          <w:rFonts w:hint="eastAsia" w:ascii="Times New Roman" w:hAnsi="Times New Roman" w:cs="Times New Roman"/>
          <w:b/>
          <w:bCs/>
          <w:sz w:val="20"/>
          <w:szCs w:val="20"/>
          <w:lang w:val="en-US" w:eastAsia="zh-CN"/>
        </w:rPr>
        <w:t>S5</w:t>
      </w:r>
      <w:r>
        <w:rPr>
          <w:rFonts w:hint="default" w:ascii="Times New Roman" w:hAnsi="Times New Roman" w:cs="Times New Roman"/>
          <w:b/>
          <w:bCs/>
          <w:sz w:val="20"/>
          <w:szCs w:val="20"/>
        </w:rPr>
        <w:t>.</w:t>
      </w:r>
      <w:r>
        <w:rPr>
          <w:rFonts w:hint="default" w:ascii="Times New Roman" w:hAnsi="Times New Roman" w:cs="Times New Roman"/>
          <w:sz w:val="20"/>
          <w:szCs w:val="20"/>
        </w:rPr>
        <w:t xml:space="preserve"> Potential non-linear relationship between total MUFA and IA risk assessed by a restricted cubic spline model.</w:t>
      </w:r>
      <w:r>
        <w:rPr>
          <w:rFonts w:hint="eastAsia" w:ascii="Times New Roman" w:hAnsi="Times New Roman" w:cs="Times New Roman"/>
          <w:sz w:val="20"/>
          <w:szCs w:val="20"/>
          <w:lang w:val="en-US" w:eastAsia="zh-CN"/>
        </w:rPr>
        <w:t xml:space="preserve"> </w:t>
      </w:r>
      <w:r>
        <w:rPr>
          <w:rFonts w:hint="default" w:ascii="Times New Roman" w:hAnsi="Times New Roman" w:cs="Times New Roman"/>
          <w:sz w:val="20"/>
          <w:szCs w:val="20"/>
        </w:rPr>
        <w:t>The solid red line indicates adjusted ORs for IA risk</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and the dashed line indicates 95% CIs. Adjustments were made for age</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sex</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BMI</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education</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smoking status</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alcohol consumption</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diabetes</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hypertension</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coronary artery disease</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and stroke.</w:t>
      </w:r>
    </w:p>
    <w:p w14:paraId="2B0B1CD3">
      <w:pPr>
        <w:spacing w:line="480" w:lineRule="auto"/>
        <w:jc w:val="center"/>
        <w:rPr>
          <w:rFonts w:hint="eastAsia" w:ascii="Times New Roman" w:hAnsi="Times New Roman" w:cs="Times New Roman" w:eastAsiaTheme="minorEastAsia"/>
          <w:sz w:val="20"/>
          <w:szCs w:val="20"/>
          <w:lang w:eastAsia="zh-CN"/>
        </w:rPr>
      </w:pPr>
      <w:r>
        <w:rPr>
          <w:rFonts w:hint="eastAsia" w:ascii="Times New Roman" w:hAnsi="Times New Roman" w:cs="Times New Roman" w:eastAsiaTheme="minorEastAsia"/>
          <w:sz w:val="20"/>
          <w:szCs w:val="20"/>
          <w:lang w:eastAsia="zh-CN"/>
        </w:rPr>
        <w:drawing>
          <wp:inline distT="0" distB="0" distL="114300" distR="114300">
            <wp:extent cx="3060065" cy="2494280"/>
            <wp:effectExtent l="0" t="0" r="635" b="7620"/>
            <wp:docPr id="4" name="图片 4" descr="Figure 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2_00"/>
                    <pic:cNvPicPr>
                      <a:picLocks noChangeAspect="1"/>
                    </pic:cNvPicPr>
                  </pic:nvPicPr>
                  <pic:blipFill>
                    <a:blip r:embed="rId8"/>
                    <a:stretch>
                      <a:fillRect/>
                    </a:stretch>
                  </pic:blipFill>
                  <pic:spPr>
                    <a:xfrm>
                      <a:off x="0" y="0"/>
                      <a:ext cx="3060065" cy="2494280"/>
                    </a:xfrm>
                    <a:prstGeom prst="rect">
                      <a:avLst/>
                    </a:prstGeom>
                  </pic:spPr>
                </pic:pic>
              </a:graphicData>
            </a:graphic>
          </wp:inline>
        </w:drawing>
      </w:r>
    </w:p>
    <w:p w14:paraId="639423DA">
      <w:pPr>
        <w:spacing w:line="480" w:lineRule="auto"/>
        <w:rPr>
          <w:rFonts w:hint="default" w:ascii="Times New Roman" w:hAnsi="Times New Roman" w:cs="Times New Roman"/>
          <w:sz w:val="20"/>
          <w:szCs w:val="20"/>
        </w:rPr>
      </w:pPr>
      <w:r>
        <w:rPr>
          <w:rFonts w:hint="default" w:ascii="Times New Roman" w:hAnsi="Times New Roman" w:cs="Times New Roman"/>
          <w:sz w:val="20"/>
          <w:szCs w:val="20"/>
        </w:rPr>
        <w:t>Abbreviations: MUFA</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monounsaturated fatty acid; OR</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odd ratio; CI</w:t>
      </w:r>
      <w:r>
        <w:rPr>
          <w:rFonts w:hint="eastAsia" w:ascii="Times New Roman" w:hAnsi="Times New Roman" w:cs="Times New Roman"/>
          <w:sz w:val="20"/>
          <w:szCs w:val="20"/>
          <w:lang w:eastAsia="zh-CN"/>
        </w:rPr>
        <w:t>,</w:t>
      </w:r>
      <w:r>
        <w:rPr>
          <w:rFonts w:hint="default" w:ascii="Times New Roman" w:hAnsi="Times New Roman" w:cs="Times New Roman"/>
          <w:sz w:val="20"/>
          <w:szCs w:val="20"/>
        </w:rPr>
        <w:t xml:space="preserve"> confidence interval.</w:t>
      </w:r>
    </w:p>
    <w:p w14:paraId="10605D76">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2EFEC696">
      <w:pPr>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Figure S6.</w:t>
      </w:r>
      <w:r>
        <w:rPr>
          <w:rFonts w:hint="eastAsia" w:ascii="Times New Roman" w:hAnsi="Times New Roman" w:cs="Times New Roman"/>
          <w:sz w:val="20"/>
          <w:szCs w:val="20"/>
          <w:lang w:val="en-US" w:eastAsia="zh-CN"/>
        </w:rPr>
        <w:t xml:space="preserve"> Forest plot of association between fatty acids and IA rupture. Odds ratios (ORs) and 95% confidence intervals (CIs) were adjusted for age, sex, body mass index, education, smoking status, alcohol consumption, history of diabetes, hypertension, coronary artery disease, and ischemic stroke.</w:t>
      </w:r>
    </w:p>
    <w:p w14:paraId="195545EB">
      <w:pPr>
        <w:keepNext w:val="0"/>
        <w:keepLines w:val="0"/>
        <w:widowControl/>
        <w:suppressLineNumbers w:val="0"/>
        <w:jc w:val="center"/>
        <w:textAlignment w:val="cente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drawing>
          <wp:inline distT="0" distB="0" distL="114300" distR="114300">
            <wp:extent cx="3869055" cy="4080510"/>
            <wp:effectExtent l="0" t="0" r="4445" b="8890"/>
            <wp:docPr id="19" name="图片 19" descr="forest_new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orest_new2_01"/>
                    <pic:cNvPicPr>
                      <a:picLocks noChangeAspect="1"/>
                    </pic:cNvPicPr>
                  </pic:nvPicPr>
                  <pic:blipFill>
                    <a:blip r:embed="rId9"/>
                    <a:srcRect t="3325" b="2951"/>
                    <a:stretch>
                      <a:fillRect/>
                    </a:stretch>
                  </pic:blipFill>
                  <pic:spPr>
                    <a:xfrm>
                      <a:off x="0" y="0"/>
                      <a:ext cx="3869055" cy="4080510"/>
                    </a:xfrm>
                    <a:prstGeom prst="rect">
                      <a:avLst/>
                    </a:prstGeom>
                  </pic:spPr>
                </pic:pic>
              </a:graphicData>
            </a:graphic>
          </wp:inline>
        </w:drawing>
      </w:r>
    </w:p>
    <w:p w14:paraId="59B555ED">
      <w:pPr>
        <w:keepNext w:val="0"/>
        <w:keepLines w:val="0"/>
        <w:widowControl/>
        <w:suppressLineNumbers w:val="0"/>
        <w:jc w:val="left"/>
        <w:textAlignment w:val="center"/>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 xml:space="preserve">ORs and 95% CIs represent the OR per one standard deviation increase in the respective fatty acid level. Abbreviation: SFA, saturated fatty acid; MUFA, monounsaturated fatty acid; PUFA, polyunsaturated fatty acid; TFA, trans fatty acid; FA, fatty acid; AA, arachidonic acid, C20:4n-6; </w:t>
      </w:r>
      <w:r>
        <w:rPr>
          <w:rFonts w:hint="default" w:ascii="Times New Roman" w:hAnsi="Times New Roman" w:eastAsia="宋体" w:cs="Times New Roman"/>
          <w:b w:val="0"/>
          <w:i w:val="0"/>
          <w:iCs w:val="0"/>
          <w:color w:val="000000"/>
          <w:kern w:val="0"/>
          <w:sz w:val="20"/>
          <w:szCs w:val="20"/>
          <w:u w:val="none"/>
          <w:lang w:val="en-US" w:eastAsia="zh-CN" w:bidi="ar"/>
        </w:rPr>
        <w:t>EPA</w:t>
      </w:r>
      <w:r>
        <w:rPr>
          <w:rFonts w:hint="eastAsia" w:ascii="Times New Roman" w:hAnsi="Times New Roman" w:eastAsia="宋体" w:cs="Times New Roman"/>
          <w:b w:val="0"/>
          <w:i w:val="0"/>
          <w:iCs w:val="0"/>
          <w:color w:val="000000"/>
          <w:kern w:val="0"/>
          <w:sz w:val="20"/>
          <w:szCs w:val="20"/>
          <w:u w:val="none"/>
          <w:lang w:val="en-US" w:eastAsia="zh-CN" w:bidi="ar"/>
        </w:rPr>
        <w:t xml:space="preserve">, eicosapentaenoic acid, C20:5n-3; DHA, docosahexaenoic acid, C22:6n3; ALA, </w:t>
      </w:r>
      <w:r>
        <w:rPr>
          <w:rFonts w:hint="default" w:ascii="Times New Roman" w:hAnsi="Times New Roman" w:eastAsia="宋体" w:cs="Times New Roman"/>
          <w:b w:val="0"/>
          <w:i w:val="0"/>
          <w:iCs w:val="0"/>
          <w:color w:val="000000"/>
          <w:kern w:val="0"/>
          <w:sz w:val="20"/>
          <w:szCs w:val="20"/>
          <w:u w:val="none"/>
          <w:lang w:val="en-US" w:eastAsia="zh-CN" w:bidi="ar"/>
        </w:rPr>
        <w:t>α-linolenic acid</w:t>
      </w:r>
      <w:r>
        <w:rPr>
          <w:rFonts w:hint="eastAsia" w:ascii="Times New Roman" w:hAnsi="Times New Roman" w:eastAsia="宋体" w:cs="Times New Roman"/>
          <w:b w:val="0"/>
          <w:i w:val="0"/>
          <w:iCs w:val="0"/>
          <w:color w:val="000000"/>
          <w:kern w:val="0"/>
          <w:sz w:val="20"/>
          <w:szCs w:val="20"/>
          <w:u w:val="none"/>
          <w:lang w:val="en-US" w:eastAsia="zh-CN" w:bidi="ar"/>
        </w:rPr>
        <w:t>, C18:3n-3; OA, oleic acid, C18:1.</w:t>
      </w:r>
    </w:p>
    <w:p w14:paraId="634AA00E">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4F13217D">
      <w:pPr>
        <w:rPr>
          <w:rFonts w:hint="eastAsia"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drawing>
          <wp:anchor distT="0" distB="0" distL="114300" distR="114300" simplePos="0" relativeHeight="251660288" behindDoc="1" locked="0" layoutInCell="1" allowOverlap="1">
            <wp:simplePos x="0" y="0"/>
            <wp:positionH relativeFrom="column">
              <wp:posOffset>962660</wp:posOffset>
            </wp:positionH>
            <wp:positionV relativeFrom="paragraph">
              <wp:posOffset>358140</wp:posOffset>
            </wp:positionV>
            <wp:extent cx="7089140" cy="4200525"/>
            <wp:effectExtent l="0" t="0" r="10160" b="3175"/>
            <wp:wrapNone/>
            <wp:docPr id="5" name="图片 5" descr="Figure S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4_00"/>
                    <pic:cNvPicPr>
                      <a:picLocks noChangeAspect="1"/>
                    </pic:cNvPicPr>
                  </pic:nvPicPr>
                  <pic:blipFill>
                    <a:blip r:embed="rId10"/>
                    <a:stretch>
                      <a:fillRect/>
                    </a:stretch>
                  </pic:blipFill>
                  <pic:spPr>
                    <a:xfrm>
                      <a:off x="0" y="0"/>
                      <a:ext cx="7089140" cy="4200525"/>
                    </a:xfrm>
                    <a:prstGeom prst="rect">
                      <a:avLst/>
                    </a:prstGeom>
                  </pic:spPr>
                </pic:pic>
              </a:graphicData>
            </a:graphic>
          </wp:anchor>
        </w:drawing>
      </w:r>
      <w:r>
        <w:rPr>
          <w:rFonts w:hint="eastAsia" w:ascii="Times New Roman" w:hAnsi="Times New Roman" w:cs="Times New Roman"/>
          <w:b/>
          <w:bCs/>
          <w:sz w:val="20"/>
          <w:szCs w:val="20"/>
          <w:lang w:val="en-US" w:eastAsia="zh-CN"/>
        </w:rPr>
        <w:t>Figure S7.</w:t>
      </w:r>
      <w:r>
        <w:rPr>
          <w:rFonts w:hint="eastAsia" w:ascii="Times New Roman" w:hAnsi="Times New Roman" w:cs="Times New Roman"/>
          <w:sz w:val="20"/>
          <w:szCs w:val="20"/>
          <w:lang w:val="en-US" w:eastAsia="zh-CN"/>
        </w:rPr>
        <w:t xml:space="preserve"> Association between fatty acids and IA rupture across different age group. Odds ratios (ORs) and 95% confidence intervals (CIs) were adjusted for age, sex, body mass index, education, smoking status, alcohol consumption, history of diabetes, hypertension, coronary artery disease, and ischemic stroke.</w:t>
      </w:r>
    </w:p>
    <w:p w14:paraId="4063DABA">
      <w:pPr>
        <w:rPr>
          <w:rFonts w:hint="eastAsia" w:ascii="Times New Roman" w:hAnsi="Times New Roman" w:cs="Times New Roman"/>
          <w:sz w:val="20"/>
          <w:szCs w:val="20"/>
          <w:lang w:val="en-US" w:eastAsia="zh-CN"/>
        </w:rPr>
      </w:pPr>
    </w:p>
    <w:p w14:paraId="23B8CBDD">
      <w:pPr>
        <w:rPr>
          <w:rFonts w:hint="eastAsia" w:ascii="Times New Roman" w:hAnsi="Times New Roman" w:cs="Times New Roman"/>
          <w:sz w:val="20"/>
          <w:szCs w:val="20"/>
          <w:lang w:val="en-US" w:eastAsia="zh-CN"/>
        </w:rPr>
      </w:pPr>
    </w:p>
    <w:p w14:paraId="60A7C0B0">
      <w:pPr>
        <w:rPr>
          <w:rFonts w:hint="eastAsia" w:ascii="Times New Roman" w:hAnsi="Times New Roman" w:cs="Times New Roman"/>
          <w:sz w:val="20"/>
          <w:szCs w:val="20"/>
          <w:lang w:val="en-US" w:eastAsia="zh-CN"/>
        </w:rPr>
      </w:pPr>
    </w:p>
    <w:p w14:paraId="18C4E9BF">
      <w:pPr>
        <w:rPr>
          <w:rFonts w:hint="eastAsia" w:ascii="Times New Roman" w:hAnsi="Times New Roman" w:cs="Times New Roman"/>
          <w:sz w:val="20"/>
          <w:szCs w:val="20"/>
          <w:lang w:val="en-US" w:eastAsia="zh-CN"/>
        </w:rPr>
      </w:pPr>
    </w:p>
    <w:p w14:paraId="2DF091B7">
      <w:pPr>
        <w:rPr>
          <w:rFonts w:hint="default" w:ascii="Times New Roman" w:hAnsi="Times New Roman" w:cs="Times New Roman"/>
          <w:sz w:val="20"/>
          <w:szCs w:val="20"/>
          <w:lang w:val="en-US" w:eastAsia="zh-CN"/>
        </w:rPr>
      </w:pPr>
    </w:p>
    <w:p w14:paraId="0CBFD4F1">
      <w:pPr>
        <w:rPr>
          <w:rFonts w:hint="default" w:ascii="Times New Roman" w:hAnsi="Times New Roman" w:cs="Times New Roman"/>
          <w:sz w:val="20"/>
          <w:szCs w:val="20"/>
          <w:lang w:val="en-US" w:eastAsia="zh-CN"/>
        </w:rPr>
      </w:pPr>
    </w:p>
    <w:p w14:paraId="0705EB86">
      <w:pPr>
        <w:rPr>
          <w:rFonts w:hint="default" w:ascii="Times New Roman" w:hAnsi="Times New Roman" w:cs="Times New Roman"/>
          <w:sz w:val="20"/>
          <w:szCs w:val="20"/>
          <w:lang w:val="en-US" w:eastAsia="zh-CN"/>
        </w:rPr>
      </w:pPr>
    </w:p>
    <w:p w14:paraId="7796843A">
      <w:pPr>
        <w:rPr>
          <w:rFonts w:hint="default" w:ascii="Times New Roman" w:hAnsi="Times New Roman" w:cs="Times New Roman"/>
          <w:sz w:val="20"/>
          <w:szCs w:val="20"/>
          <w:lang w:val="en-US" w:eastAsia="zh-CN"/>
        </w:rPr>
      </w:pPr>
    </w:p>
    <w:p w14:paraId="72DC2792">
      <w:pPr>
        <w:rPr>
          <w:rFonts w:hint="default" w:ascii="Times New Roman" w:hAnsi="Times New Roman" w:cs="Times New Roman"/>
          <w:sz w:val="20"/>
          <w:szCs w:val="20"/>
          <w:lang w:val="en-US" w:eastAsia="zh-CN"/>
        </w:rPr>
      </w:pPr>
    </w:p>
    <w:p w14:paraId="4495341D">
      <w:pPr>
        <w:rPr>
          <w:rFonts w:hint="default" w:ascii="Times New Roman" w:hAnsi="Times New Roman" w:cs="Times New Roman"/>
          <w:sz w:val="20"/>
          <w:szCs w:val="20"/>
          <w:lang w:val="en-US" w:eastAsia="zh-CN"/>
        </w:rPr>
      </w:pPr>
    </w:p>
    <w:p w14:paraId="2112453E">
      <w:pPr>
        <w:rPr>
          <w:rFonts w:hint="default" w:ascii="Times New Roman" w:hAnsi="Times New Roman" w:cs="Times New Roman"/>
          <w:sz w:val="20"/>
          <w:szCs w:val="20"/>
          <w:lang w:val="en-US" w:eastAsia="zh-CN"/>
        </w:rPr>
      </w:pPr>
    </w:p>
    <w:p w14:paraId="3DE36B5C">
      <w:pPr>
        <w:rPr>
          <w:rFonts w:hint="default" w:ascii="Times New Roman" w:hAnsi="Times New Roman" w:cs="Times New Roman"/>
          <w:sz w:val="20"/>
          <w:szCs w:val="20"/>
          <w:lang w:val="en-US" w:eastAsia="zh-CN"/>
        </w:rPr>
      </w:pPr>
    </w:p>
    <w:p w14:paraId="4AE9DB27">
      <w:pPr>
        <w:rPr>
          <w:rFonts w:hint="default" w:ascii="Times New Roman" w:hAnsi="Times New Roman" w:cs="Times New Roman"/>
          <w:sz w:val="20"/>
          <w:szCs w:val="20"/>
          <w:lang w:val="en-US" w:eastAsia="zh-CN"/>
        </w:rPr>
      </w:pPr>
    </w:p>
    <w:p w14:paraId="6D021026">
      <w:pPr>
        <w:rPr>
          <w:rFonts w:hint="default" w:ascii="Times New Roman" w:hAnsi="Times New Roman" w:cs="Times New Roman"/>
          <w:sz w:val="20"/>
          <w:szCs w:val="20"/>
          <w:lang w:val="en-US" w:eastAsia="zh-CN"/>
        </w:rPr>
      </w:pPr>
    </w:p>
    <w:p w14:paraId="65CC9379">
      <w:pPr>
        <w:rPr>
          <w:rFonts w:hint="default" w:ascii="Times New Roman" w:hAnsi="Times New Roman" w:cs="Times New Roman"/>
          <w:sz w:val="20"/>
          <w:szCs w:val="20"/>
          <w:lang w:val="en-US" w:eastAsia="zh-CN"/>
        </w:rPr>
      </w:pPr>
    </w:p>
    <w:p w14:paraId="53992D92">
      <w:pPr>
        <w:rPr>
          <w:rFonts w:hint="default" w:ascii="Times New Roman" w:hAnsi="Times New Roman" w:cs="Times New Roman"/>
          <w:sz w:val="20"/>
          <w:szCs w:val="20"/>
          <w:lang w:val="en-US" w:eastAsia="zh-CN"/>
        </w:rPr>
      </w:pPr>
    </w:p>
    <w:p w14:paraId="2A46A86B">
      <w:pPr>
        <w:rPr>
          <w:rFonts w:hint="default" w:ascii="Times New Roman" w:hAnsi="Times New Roman" w:cs="Times New Roman"/>
          <w:sz w:val="20"/>
          <w:szCs w:val="20"/>
          <w:lang w:val="en-US" w:eastAsia="zh-CN"/>
        </w:rPr>
      </w:pPr>
    </w:p>
    <w:p w14:paraId="2AC8FA84">
      <w:pPr>
        <w:rPr>
          <w:rFonts w:hint="default" w:ascii="Times New Roman" w:hAnsi="Times New Roman" w:cs="Times New Roman"/>
          <w:sz w:val="20"/>
          <w:szCs w:val="20"/>
          <w:lang w:val="en-US" w:eastAsia="zh-CN"/>
        </w:rPr>
      </w:pPr>
    </w:p>
    <w:p w14:paraId="2761B5C5">
      <w:pPr>
        <w:rPr>
          <w:rFonts w:hint="default" w:ascii="Times New Roman" w:hAnsi="Times New Roman" w:cs="Times New Roman"/>
          <w:sz w:val="20"/>
          <w:szCs w:val="20"/>
          <w:lang w:val="en-US" w:eastAsia="zh-CN"/>
        </w:rPr>
      </w:pPr>
    </w:p>
    <w:p w14:paraId="7AF60D95">
      <w:pPr>
        <w:rPr>
          <w:rFonts w:hint="default" w:ascii="Times New Roman" w:hAnsi="Times New Roman" w:cs="Times New Roman"/>
          <w:sz w:val="20"/>
          <w:szCs w:val="20"/>
          <w:lang w:val="en-US" w:eastAsia="zh-CN"/>
        </w:rPr>
      </w:pPr>
    </w:p>
    <w:p w14:paraId="33557B97">
      <w:pPr>
        <w:rPr>
          <w:rFonts w:hint="default" w:ascii="Times New Roman" w:hAnsi="Times New Roman" w:cs="Times New Roman"/>
          <w:sz w:val="20"/>
          <w:szCs w:val="20"/>
          <w:lang w:val="en-US" w:eastAsia="zh-CN"/>
        </w:rPr>
      </w:pPr>
    </w:p>
    <w:p w14:paraId="18461E88">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22"/>
          <w:szCs w:val="22"/>
          <w:u w:val="none"/>
          <w:lang w:val="en-US" w:eastAsia="zh-CN" w:bidi="ar"/>
        </w:rPr>
      </w:pPr>
      <w:r>
        <w:rPr>
          <w:rFonts w:hint="eastAsia" w:ascii="Times New Roman" w:hAnsi="Times New Roman" w:cs="Times New Roman"/>
          <w:sz w:val="20"/>
          <w:szCs w:val="20"/>
          <w:lang w:val="en-US" w:eastAsia="zh-CN"/>
        </w:rPr>
        <w:t xml:space="preserve">ORs and 95% CIs represent the OR per one standard deviation increase in the respective fatty acid level. Abbreviation: SFA, saturated fatty acid; MUFA, monounsaturated fatty acid; PUFA, polyunsaturated fatty acid; TFA, trans fatty acid; FA, fatty acid; AA, arachidonic acid, C20:4n-6; </w:t>
      </w:r>
      <w:r>
        <w:rPr>
          <w:rFonts w:hint="default" w:ascii="Times New Roman" w:hAnsi="Times New Roman" w:eastAsia="宋体" w:cs="Times New Roman"/>
          <w:b w:val="0"/>
          <w:i w:val="0"/>
          <w:iCs w:val="0"/>
          <w:color w:val="000000"/>
          <w:kern w:val="0"/>
          <w:sz w:val="20"/>
          <w:szCs w:val="20"/>
          <w:u w:val="none"/>
          <w:lang w:val="en-US" w:eastAsia="zh-CN" w:bidi="ar"/>
        </w:rPr>
        <w:t>EPA</w:t>
      </w:r>
      <w:r>
        <w:rPr>
          <w:rFonts w:hint="eastAsia" w:ascii="Times New Roman" w:hAnsi="Times New Roman" w:eastAsia="宋体" w:cs="Times New Roman"/>
          <w:b w:val="0"/>
          <w:i w:val="0"/>
          <w:iCs w:val="0"/>
          <w:color w:val="000000"/>
          <w:kern w:val="0"/>
          <w:sz w:val="20"/>
          <w:szCs w:val="20"/>
          <w:u w:val="none"/>
          <w:lang w:val="en-US" w:eastAsia="zh-CN" w:bidi="ar"/>
        </w:rPr>
        <w:t xml:space="preserve">, eicosapentaenoic acid, C20:5n-3; DHA, docosahexaenoic acid, C22:6n3; ALA, </w:t>
      </w:r>
      <w:r>
        <w:rPr>
          <w:rFonts w:hint="default" w:ascii="Times New Roman" w:hAnsi="Times New Roman" w:eastAsia="宋体" w:cs="Times New Roman"/>
          <w:b w:val="0"/>
          <w:i w:val="0"/>
          <w:iCs w:val="0"/>
          <w:color w:val="000000"/>
          <w:kern w:val="0"/>
          <w:sz w:val="20"/>
          <w:szCs w:val="20"/>
          <w:u w:val="none"/>
          <w:lang w:val="en-US" w:eastAsia="zh-CN" w:bidi="ar"/>
        </w:rPr>
        <w:t>α-linolenic acid</w:t>
      </w:r>
      <w:r>
        <w:rPr>
          <w:rFonts w:hint="eastAsia" w:ascii="Times New Roman" w:hAnsi="Times New Roman" w:eastAsia="宋体" w:cs="Times New Roman"/>
          <w:b w:val="0"/>
          <w:i w:val="0"/>
          <w:iCs w:val="0"/>
          <w:color w:val="000000"/>
          <w:kern w:val="0"/>
          <w:sz w:val="20"/>
          <w:szCs w:val="20"/>
          <w:u w:val="none"/>
          <w:lang w:val="en-US" w:eastAsia="zh-CN" w:bidi="ar"/>
        </w:rPr>
        <w:t>, C18:3n-3; OA, oleic acid, C18:1.</w:t>
      </w:r>
    </w:p>
    <w:p w14:paraId="2F350DF9">
      <w:pPr>
        <w:rPr>
          <w:rFonts w:hint="eastAsia" w:ascii="Times New Roman" w:hAnsi="Times New Roman" w:cs="Times New Roman"/>
          <w:sz w:val="20"/>
          <w:szCs w:val="20"/>
          <w:lang w:val="en-US" w:eastAsia="zh-CN"/>
        </w:rPr>
      </w:pPr>
      <w:r>
        <w:rPr>
          <w:rFonts w:hint="default" w:ascii="Times New Roman" w:hAnsi="Times New Roman" w:cs="Times New Roman"/>
          <w:b/>
          <w:bCs/>
          <w:sz w:val="20"/>
          <w:szCs w:val="20"/>
          <w:lang w:val="en-US" w:eastAsia="zh-CN"/>
        </w:rPr>
        <w:drawing>
          <wp:anchor distT="0" distB="0" distL="114300" distR="114300" simplePos="0" relativeHeight="251660288" behindDoc="1" locked="0" layoutInCell="1" allowOverlap="1">
            <wp:simplePos x="0" y="0"/>
            <wp:positionH relativeFrom="column">
              <wp:posOffset>875030</wp:posOffset>
            </wp:positionH>
            <wp:positionV relativeFrom="paragraph">
              <wp:posOffset>262255</wp:posOffset>
            </wp:positionV>
            <wp:extent cx="7041515" cy="4342765"/>
            <wp:effectExtent l="0" t="0" r="6985" b="635"/>
            <wp:wrapNone/>
            <wp:docPr id="7" name="图片 7" descr="Figure S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5_00"/>
                    <pic:cNvPicPr>
                      <a:picLocks noChangeAspect="1"/>
                    </pic:cNvPicPr>
                  </pic:nvPicPr>
                  <pic:blipFill>
                    <a:blip r:embed="rId11"/>
                    <a:stretch>
                      <a:fillRect/>
                    </a:stretch>
                  </pic:blipFill>
                  <pic:spPr>
                    <a:xfrm>
                      <a:off x="0" y="0"/>
                      <a:ext cx="7041515" cy="4342765"/>
                    </a:xfrm>
                    <a:prstGeom prst="rect">
                      <a:avLst/>
                    </a:prstGeom>
                  </pic:spPr>
                </pic:pic>
              </a:graphicData>
            </a:graphic>
          </wp:anchor>
        </w:drawing>
      </w:r>
      <w:r>
        <w:rPr>
          <w:rFonts w:hint="eastAsia" w:ascii="Times New Roman" w:hAnsi="Times New Roman" w:cs="Times New Roman"/>
          <w:b/>
          <w:bCs/>
          <w:sz w:val="20"/>
          <w:szCs w:val="20"/>
          <w:lang w:val="en-US" w:eastAsia="zh-CN"/>
        </w:rPr>
        <w:t>Figure S8.</w:t>
      </w:r>
      <w:r>
        <w:rPr>
          <w:rFonts w:hint="eastAsia" w:ascii="Times New Roman" w:hAnsi="Times New Roman" w:cs="Times New Roman"/>
          <w:sz w:val="20"/>
          <w:szCs w:val="20"/>
          <w:lang w:val="en-US" w:eastAsia="zh-CN"/>
        </w:rPr>
        <w:t xml:space="preserve"> Association between fatty acids and IA rupture across different sex. Odds ratios (ORs) and 95% confidence intervals (CIs) were adjusted for age, sex, body mass index, education, smoking status, alcohol consumption, history of diabetes, hypertension, coronary artery disease, and ischemic stroke.</w:t>
      </w:r>
    </w:p>
    <w:p w14:paraId="0E6A3318">
      <w:pPr>
        <w:rPr>
          <w:rFonts w:hint="default" w:ascii="Times New Roman" w:hAnsi="Times New Roman" w:cs="Times New Roman"/>
          <w:sz w:val="20"/>
          <w:szCs w:val="20"/>
          <w:lang w:val="en-US" w:eastAsia="zh-CN"/>
        </w:rPr>
      </w:pPr>
    </w:p>
    <w:p w14:paraId="66EA2B92">
      <w:pPr>
        <w:rPr>
          <w:rFonts w:hint="default" w:ascii="Times New Roman" w:hAnsi="Times New Roman" w:cs="Times New Roman"/>
          <w:sz w:val="20"/>
          <w:szCs w:val="20"/>
          <w:lang w:val="en-US" w:eastAsia="zh-CN"/>
        </w:rPr>
      </w:pPr>
    </w:p>
    <w:p w14:paraId="52D9D896">
      <w:pPr>
        <w:rPr>
          <w:rFonts w:hint="default" w:ascii="Times New Roman" w:hAnsi="Times New Roman" w:cs="Times New Roman"/>
          <w:sz w:val="20"/>
          <w:szCs w:val="20"/>
          <w:lang w:val="en-US" w:eastAsia="zh-CN"/>
        </w:rPr>
      </w:pPr>
    </w:p>
    <w:p w14:paraId="3EF288EC">
      <w:pPr>
        <w:rPr>
          <w:rFonts w:hint="default" w:ascii="Times New Roman" w:hAnsi="Times New Roman" w:cs="Times New Roman"/>
          <w:sz w:val="20"/>
          <w:szCs w:val="20"/>
          <w:lang w:val="en-US" w:eastAsia="zh-CN"/>
        </w:rPr>
      </w:pPr>
    </w:p>
    <w:p w14:paraId="6B5369BD">
      <w:pPr>
        <w:rPr>
          <w:rFonts w:hint="default" w:ascii="Times New Roman" w:hAnsi="Times New Roman" w:cs="Times New Roman"/>
          <w:sz w:val="20"/>
          <w:szCs w:val="20"/>
          <w:lang w:val="en-US" w:eastAsia="zh-CN"/>
        </w:rPr>
      </w:pPr>
    </w:p>
    <w:p w14:paraId="5470A8E6">
      <w:pPr>
        <w:rPr>
          <w:rFonts w:hint="default" w:ascii="Times New Roman" w:hAnsi="Times New Roman" w:cs="Times New Roman"/>
          <w:sz w:val="20"/>
          <w:szCs w:val="20"/>
          <w:lang w:val="en-US" w:eastAsia="zh-CN"/>
        </w:rPr>
      </w:pPr>
    </w:p>
    <w:p w14:paraId="0A49960E">
      <w:pPr>
        <w:rPr>
          <w:rFonts w:hint="default" w:ascii="Times New Roman" w:hAnsi="Times New Roman" w:cs="Times New Roman"/>
          <w:sz w:val="20"/>
          <w:szCs w:val="20"/>
          <w:lang w:val="en-US" w:eastAsia="zh-CN"/>
        </w:rPr>
      </w:pPr>
    </w:p>
    <w:p w14:paraId="4E1F5150">
      <w:pPr>
        <w:rPr>
          <w:rFonts w:hint="default" w:ascii="Times New Roman" w:hAnsi="Times New Roman" w:cs="Times New Roman"/>
          <w:sz w:val="20"/>
          <w:szCs w:val="20"/>
          <w:lang w:val="en-US" w:eastAsia="zh-CN"/>
        </w:rPr>
      </w:pPr>
    </w:p>
    <w:p w14:paraId="727C27D0">
      <w:pPr>
        <w:rPr>
          <w:rFonts w:hint="default" w:ascii="Times New Roman" w:hAnsi="Times New Roman" w:cs="Times New Roman"/>
          <w:sz w:val="20"/>
          <w:szCs w:val="20"/>
          <w:lang w:val="en-US" w:eastAsia="zh-CN"/>
        </w:rPr>
      </w:pPr>
    </w:p>
    <w:p w14:paraId="6177ED18">
      <w:pPr>
        <w:rPr>
          <w:rFonts w:hint="default" w:ascii="Times New Roman" w:hAnsi="Times New Roman" w:cs="Times New Roman"/>
          <w:sz w:val="20"/>
          <w:szCs w:val="20"/>
          <w:lang w:val="en-US" w:eastAsia="zh-CN"/>
        </w:rPr>
      </w:pPr>
    </w:p>
    <w:p w14:paraId="3A6A9F2C">
      <w:pPr>
        <w:rPr>
          <w:rFonts w:hint="default" w:ascii="Times New Roman" w:hAnsi="Times New Roman" w:cs="Times New Roman"/>
          <w:sz w:val="20"/>
          <w:szCs w:val="20"/>
          <w:lang w:val="en-US" w:eastAsia="zh-CN"/>
        </w:rPr>
      </w:pPr>
    </w:p>
    <w:p w14:paraId="5A61BAF3">
      <w:pPr>
        <w:rPr>
          <w:rFonts w:hint="default" w:ascii="Times New Roman" w:hAnsi="Times New Roman" w:cs="Times New Roman"/>
          <w:sz w:val="20"/>
          <w:szCs w:val="20"/>
          <w:lang w:val="en-US" w:eastAsia="zh-CN"/>
        </w:rPr>
      </w:pPr>
    </w:p>
    <w:p w14:paraId="4B93E8CC">
      <w:pPr>
        <w:rPr>
          <w:rFonts w:hint="default" w:ascii="Times New Roman" w:hAnsi="Times New Roman" w:cs="Times New Roman"/>
          <w:sz w:val="20"/>
          <w:szCs w:val="20"/>
          <w:lang w:val="en-US" w:eastAsia="zh-CN"/>
        </w:rPr>
      </w:pPr>
    </w:p>
    <w:p w14:paraId="5904B690">
      <w:pPr>
        <w:rPr>
          <w:rFonts w:hint="default" w:ascii="Times New Roman" w:hAnsi="Times New Roman" w:cs="Times New Roman"/>
          <w:sz w:val="20"/>
          <w:szCs w:val="20"/>
          <w:lang w:val="en-US" w:eastAsia="zh-CN"/>
        </w:rPr>
      </w:pPr>
    </w:p>
    <w:p w14:paraId="3552D816">
      <w:pPr>
        <w:rPr>
          <w:rFonts w:hint="default" w:ascii="Times New Roman" w:hAnsi="Times New Roman" w:cs="Times New Roman"/>
          <w:sz w:val="20"/>
          <w:szCs w:val="20"/>
          <w:lang w:val="en-US" w:eastAsia="zh-CN"/>
        </w:rPr>
      </w:pPr>
    </w:p>
    <w:p w14:paraId="654F993B">
      <w:pPr>
        <w:rPr>
          <w:rFonts w:hint="default" w:ascii="Times New Roman" w:hAnsi="Times New Roman" w:cs="Times New Roman"/>
          <w:sz w:val="20"/>
          <w:szCs w:val="20"/>
          <w:lang w:val="en-US" w:eastAsia="zh-CN"/>
        </w:rPr>
      </w:pPr>
    </w:p>
    <w:p w14:paraId="2F2BCCCC">
      <w:pPr>
        <w:rPr>
          <w:rFonts w:hint="default" w:ascii="Times New Roman" w:hAnsi="Times New Roman" w:cs="Times New Roman"/>
          <w:sz w:val="20"/>
          <w:szCs w:val="20"/>
          <w:lang w:val="en-US" w:eastAsia="zh-CN"/>
        </w:rPr>
      </w:pPr>
    </w:p>
    <w:p w14:paraId="1290841C">
      <w:pPr>
        <w:rPr>
          <w:rFonts w:hint="default" w:ascii="Times New Roman" w:hAnsi="Times New Roman" w:cs="Times New Roman"/>
          <w:sz w:val="20"/>
          <w:szCs w:val="20"/>
          <w:lang w:val="en-US" w:eastAsia="zh-CN"/>
        </w:rPr>
      </w:pPr>
    </w:p>
    <w:p w14:paraId="6D0BB7F6">
      <w:pPr>
        <w:rPr>
          <w:rFonts w:hint="default" w:ascii="Times New Roman" w:hAnsi="Times New Roman" w:cs="Times New Roman"/>
          <w:sz w:val="20"/>
          <w:szCs w:val="20"/>
          <w:lang w:val="en-US" w:eastAsia="zh-CN"/>
        </w:rPr>
      </w:pPr>
    </w:p>
    <w:p w14:paraId="1C100F99">
      <w:pPr>
        <w:rPr>
          <w:rFonts w:hint="default" w:ascii="Times New Roman" w:hAnsi="Times New Roman" w:cs="Times New Roman"/>
          <w:sz w:val="20"/>
          <w:szCs w:val="20"/>
          <w:lang w:val="en-US" w:eastAsia="zh-CN"/>
        </w:rPr>
      </w:pPr>
    </w:p>
    <w:p w14:paraId="105BC864">
      <w:pPr>
        <w:rPr>
          <w:rFonts w:hint="default" w:ascii="Times New Roman" w:hAnsi="Times New Roman" w:cs="Times New Roman"/>
          <w:sz w:val="20"/>
          <w:szCs w:val="20"/>
          <w:lang w:val="en-US" w:eastAsia="zh-CN"/>
        </w:rPr>
      </w:pPr>
    </w:p>
    <w:p w14:paraId="1DF29C1D">
      <w:pPr>
        <w:keepNext w:val="0"/>
        <w:keepLines w:val="0"/>
        <w:widowControl/>
        <w:suppressLineNumbers w:val="0"/>
        <w:jc w:val="left"/>
        <w:textAlignment w:val="center"/>
        <w:rPr>
          <w:rFonts w:hint="eastAsia"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cs="Times New Roman"/>
          <w:sz w:val="20"/>
          <w:szCs w:val="20"/>
          <w:lang w:val="en-US" w:eastAsia="zh-CN"/>
        </w:rPr>
        <w:t xml:space="preserve">ORs and 95% CIs represent the OR per one standard deviation increase in the respective fatty acid level. Abbreviation: SFA, saturated fatty acid; MUFA, monounsaturated fatty acid; PUFA, polyunsaturated fatty acid; TFA, trans fatty acid; FA, fatty acid; AA, arachidonic acid, C20:4n-6; </w:t>
      </w:r>
      <w:r>
        <w:rPr>
          <w:rFonts w:hint="default" w:ascii="Times New Roman" w:hAnsi="Times New Roman" w:eastAsia="宋体" w:cs="Times New Roman"/>
          <w:b w:val="0"/>
          <w:i w:val="0"/>
          <w:iCs w:val="0"/>
          <w:color w:val="000000"/>
          <w:kern w:val="0"/>
          <w:sz w:val="20"/>
          <w:szCs w:val="20"/>
          <w:u w:val="none"/>
          <w:lang w:val="en-US" w:eastAsia="zh-CN" w:bidi="ar"/>
        </w:rPr>
        <w:t>EPA</w:t>
      </w:r>
      <w:r>
        <w:rPr>
          <w:rFonts w:hint="eastAsia" w:ascii="Times New Roman" w:hAnsi="Times New Roman" w:eastAsia="宋体" w:cs="Times New Roman"/>
          <w:b w:val="0"/>
          <w:i w:val="0"/>
          <w:iCs w:val="0"/>
          <w:color w:val="000000"/>
          <w:kern w:val="0"/>
          <w:sz w:val="20"/>
          <w:szCs w:val="20"/>
          <w:u w:val="none"/>
          <w:lang w:val="en-US" w:eastAsia="zh-CN" w:bidi="ar"/>
        </w:rPr>
        <w:t xml:space="preserve">, eicosapentaenoic acid, C20:5n-3; DHA, docosahexaenoic acid, C22:6n3; ALA, </w:t>
      </w:r>
      <w:r>
        <w:rPr>
          <w:rFonts w:hint="default" w:ascii="Times New Roman" w:hAnsi="Times New Roman" w:eastAsia="宋体" w:cs="Times New Roman"/>
          <w:b w:val="0"/>
          <w:i w:val="0"/>
          <w:iCs w:val="0"/>
          <w:color w:val="000000"/>
          <w:kern w:val="0"/>
          <w:sz w:val="20"/>
          <w:szCs w:val="20"/>
          <w:u w:val="none"/>
          <w:lang w:val="en-US" w:eastAsia="zh-CN" w:bidi="ar"/>
        </w:rPr>
        <w:t>α-linolenic acid</w:t>
      </w:r>
      <w:r>
        <w:rPr>
          <w:rFonts w:hint="eastAsia" w:ascii="Times New Roman" w:hAnsi="Times New Roman" w:eastAsia="宋体" w:cs="Times New Roman"/>
          <w:b w:val="0"/>
          <w:i w:val="0"/>
          <w:iCs w:val="0"/>
          <w:color w:val="000000"/>
          <w:kern w:val="0"/>
          <w:sz w:val="20"/>
          <w:szCs w:val="20"/>
          <w:u w:val="none"/>
          <w:lang w:val="en-US" w:eastAsia="zh-CN" w:bidi="ar"/>
        </w:rPr>
        <w:t>, C18:3n-3; OA, oleic acid, C18:1.</w:t>
      </w:r>
    </w:p>
    <w:p w14:paraId="14D91D33">
      <w:pPr>
        <w:rPr>
          <w:rFonts w:hint="eastAsia"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val="0"/>
          <w:i w:val="0"/>
          <w:iCs w:val="0"/>
          <w:color w:val="000000"/>
          <w:kern w:val="0"/>
          <w:sz w:val="20"/>
          <w:szCs w:val="20"/>
          <w:u w:val="none"/>
          <w:lang w:val="en-US" w:eastAsia="zh-CN" w:bidi="ar"/>
        </w:rPr>
        <w:br w:type="page"/>
      </w:r>
    </w:p>
    <w:p w14:paraId="7CB64AF3">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Figure S9.</w:t>
      </w:r>
      <w:r>
        <w:rPr>
          <w:rFonts w:hint="eastAsia" w:ascii="Times New Roman" w:hAnsi="Times New Roman" w:eastAsia="宋体" w:cs="Times New Roman"/>
          <w:b w:val="0"/>
          <w:i w:val="0"/>
          <w:iCs w:val="0"/>
          <w:color w:val="000000"/>
          <w:kern w:val="0"/>
          <w:sz w:val="20"/>
          <w:szCs w:val="20"/>
          <w:u w:val="none"/>
          <w:lang w:val="en-US" w:eastAsia="zh-CN" w:bidi="ar"/>
        </w:rPr>
        <w:t xml:space="preserve"> Calibration plots of rupture risk models incorporating fatty acids. A: Calibration performance of the PHASES+FA, ELAPSS+FA, and UCAS+FA models in the training set. B: Calibration performance of the same models in the independent test set. The diagonal grey line represents perfect calibration, whereas the colored line indicates model-predicted probabilities.</w:t>
      </w:r>
    </w:p>
    <w:p w14:paraId="0B4DE2AC">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20"/>
          <w:szCs w:val="20"/>
          <w:u w:val="none"/>
          <w:lang w:val="en-US" w:eastAsia="zh-CN" w:bidi="ar"/>
        </w:rPr>
      </w:pPr>
      <w:r>
        <w:drawing>
          <wp:inline distT="0" distB="0" distL="114300" distR="114300">
            <wp:extent cx="7607300" cy="3232150"/>
            <wp:effectExtent l="0" t="0" r="0" b="635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2"/>
                    <a:stretch>
                      <a:fillRect/>
                    </a:stretch>
                  </pic:blipFill>
                  <pic:spPr>
                    <a:xfrm>
                      <a:off x="0" y="0"/>
                      <a:ext cx="7607300" cy="3232150"/>
                    </a:xfrm>
                    <a:prstGeom prst="rect">
                      <a:avLst/>
                    </a:prstGeom>
                    <a:noFill/>
                    <a:ln>
                      <a:noFill/>
                    </a:ln>
                  </pic:spPr>
                </pic:pic>
              </a:graphicData>
            </a:graphic>
          </wp:inline>
        </w:drawing>
      </w:r>
    </w:p>
    <w:p w14:paraId="32E00298">
      <w:pPr>
        <w:rPr>
          <w:rFonts w:hint="eastAsia"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val="0"/>
          <w:i w:val="0"/>
          <w:iCs w:val="0"/>
          <w:color w:val="000000"/>
          <w:kern w:val="0"/>
          <w:sz w:val="20"/>
          <w:szCs w:val="20"/>
          <w:u w:val="none"/>
          <w:lang w:val="en-US" w:eastAsia="zh-CN" w:bidi="ar"/>
        </w:rPr>
        <w:br w:type="page"/>
      </w:r>
    </w:p>
    <w:p w14:paraId="5406582C">
      <w:pPr>
        <w:rPr>
          <w:rFonts w:hint="default"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 xml:space="preserve">Figure S10. </w:t>
      </w:r>
      <w:r>
        <w:rPr>
          <w:rFonts w:hint="default" w:ascii="Times New Roman" w:hAnsi="Times New Roman" w:eastAsia="宋体" w:cs="Times New Roman"/>
          <w:b w:val="0"/>
          <w:i w:val="0"/>
          <w:iCs w:val="0"/>
          <w:color w:val="000000"/>
          <w:kern w:val="0"/>
          <w:sz w:val="20"/>
          <w:szCs w:val="20"/>
          <w:u w:val="none"/>
          <w:lang w:val="en-US" w:eastAsia="zh-CN" w:bidi="ar"/>
        </w:rPr>
        <w:t xml:space="preserve">Decision Curve Analysis for predicting intracranial aneurysm risk. The DCA compares the net benefit of different models in predicting the risk of intracranial aneurysm </w:t>
      </w:r>
      <w:r>
        <w:rPr>
          <w:rFonts w:hint="eastAsia" w:ascii="Times New Roman" w:hAnsi="Times New Roman" w:eastAsia="宋体" w:cs="Times New Roman"/>
          <w:b w:val="0"/>
          <w:i w:val="0"/>
          <w:iCs w:val="0"/>
          <w:color w:val="000000"/>
          <w:kern w:val="0"/>
          <w:sz w:val="20"/>
          <w:szCs w:val="20"/>
          <w:u w:val="none"/>
          <w:lang w:val="en-US" w:eastAsia="zh-CN" w:bidi="ar"/>
        </w:rPr>
        <w:t>rupture</w:t>
      </w:r>
      <w:r>
        <w:rPr>
          <w:rFonts w:hint="default" w:ascii="Times New Roman" w:hAnsi="Times New Roman" w:eastAsia="宋体" w:cs="Times New Roman"/>
          <w:b w:val="0"/>
          <w:i w:val="0"/>
          <w:iCs w:val="0"/>
          <w:color w:val="000000"/>
          <w:kern w:val="0"/>
          <w:sz w:val="20"/>
          <w:szCs w:val="20"/>
          <w:u w:val="none"/>
          <w:lang w:val="en-US" w:eastAsia="zh-CN" w:bidi="ar"/>
        </w:rPr>
        <w:t>. The x-axis represents the threshold probability, or the probability at which a decision to treat is made, and the y-axis represents the net benefit, which accounts for both true positives and false positives. The curve indicates the model's performance across different threshold values, with higher net benefits suggesting better predictive accuracy. The horizontal line represents the "treat-all" strategy, while the diagonal line represents the "treat-none" strategy.</w:t>
      </w:r>
    </w:p>
    <w:p w14:paraId="649A5738">
      <w:pPr>
        <w:jc w:val="center"/>
        <w:rPr>
          <w:rFonts w:hint="eastAsia" w:ascii="Times New Roman" w:hAnsi="Times New Roman" w:eastAsia="宋体" w:cs="Times New Roman"/>
          <w:b w:val="0"/>
          <w:i w:val="0"/>
          <w:iCs w:val="0"/>
          <w:color w:val="000000"/>
          <w:kern w:val="0"/>
          <w:sz w:val="20"/>
          <w:szCs w:val="20"/>
          <w:u w:val="none"/>
          <w:lang w:val="en-US" w:eastAsia="zh-CN" w:bidi="ar"/>
        </w:rPr>
      </w:pPr>
      <w:r>
        <w:rPr>
          <w:rStyle w:val="7"/>
          <w:rFonts w:hint="default" w:ascii="Times New Roman" w:hAnsi="Times New Roman" w:eastAsia="宋体" w:cs="Times New Roman"/>
          <w:b w:val="0"/>
          <w:bCs/>
          <w:sz w:val="24"/>
          <w:szCs w:val="24"/>
          <w:lang w:val="en-US" w:eastAsia="zh-CN"/>
        </w:rPr>
        <w:drawing>
          <wp:inline distT="0" distB="0" distL="114300" distR="114300">
            <wp:extent cx="3511550" cy="3277870"/>
            <wp:effectExtent l="0" t="0" r="6350" b="11430"/>
            <wp:docPr id="6" name="图片 6" descr="Rplot1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Rplot10_01"/>
                    <pic:cNvPicPr>
                      <a:picLocks noChangeAspect="1"/>
                    </pic:cNvPicPr>
                  </pic:nvPicPr>
                  <pic:blipFill>
                    <a:blip r:embed="rId13"/>
                    <a:stretch>
                      <a:fillRect/>
                    </a:stretch>
                  </pic:blipFill>
                  <pic:spPr>
                    <a:xfrm>
                      <a:off x="0" y="0"/>
                      <a:ext cx="3511550" cy="3277870"/>
                    </a:xfrm>
                    <a:prstGeom prst="rect">
                      <a:avLst/>
                    </a:prstGeom>
                  </pic:spPr>
                </pic:pic>
              </a:graphicData>
            </a:graphic>
          </wp:inline>
        </w:drawing>
      </w:r>
      <w:r>
        <w:rPr>
          <w:rFonts w:hint="eastAsia" w:ascii="Times New Roman" w:hAnsi="Times New Roman" w:eastAsia="宋体" w:cs="Times New Roman"/>
          <w:b w:val="0"/>
          <w:i w:val="0"/>
          <w:iCs w:val="0"/>
          <w:color w:val="000000"/>
          <w:kern w:val="0"/>
          <w:sz w:val="20"/>
          <w:szCs w:val="20"/>
          <w:u w:val="none"/>
          <w:lang w:val="en-US" w:eastAsia="zh-CN" w:bidi="ar"/>
        </w:rPr>
        <w:br w:type="page"/>
      </w:r>
    </w:p>
    <w:p w14:paraId="64A80919">
      <w:pPr>
        <w:keepNext w:val="0"/>
        <w:keepLines w:val="0"/>
        <w:widowControl/>
        <w:suppressLineNumbers w:val="0"/>
        <w:jc w:val="left"/>
        <w:textAlignment w:val="center"/>
        <w:rPr>
          <w:rFonts w:hint="eastAsia"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Table S1.</w:t>
      </w:r>
      <w:r>
        <w:rPr>
          <w:rFonts w:hint="eastAsia" w:ascii="Times New Roman" w:hAnsi="Times New Roman" w:eastAsia="宋体" w:cs="Times New Roman"/>
          <w:b w:val="0"/>
          <w:i w:val="0"/>
          <w:iCs w:val="0"/>
          <w:color w:val="000000"/>
          <w:kern w:val="0"/>
          <w:sz w:val="20"/>
          <w:szCs w:val="20"/>
          <w:u w:val="none"/>
          <w:lang w:val="en-US" w:eastAsia="zh-CN" w:bidi="ar"/>
        </w:rPr>
        <w:t xml:space="preserve"> Baseline characteristics of the training and test sets.</w:t>
      </w:r>
    </w:p>
    <w:tbl>
      <w:tblPr>
        <w:tblStyle w:val="5"/>
        <w:tblpPr w:leftFromText="180" w:rightFromText="180" w:vertAnchor="page" w:horzAnchor="page" w:tblpXSpec="center" w:tblpY="2130"/>
        <w:tblOverlap w:val="never"/>
        <w:tblW w:w="0" w:type="auto"/>
        <w:jc w:val="center"/>
        <w:tblLayout w:type="autofit"/>
        <w:tblCellMar>
          <w:top w:w="0" w:type="dxa"/>
          <w:left w:w="108" w:type="dxa"/>
          <w:bottom w:w="0" w:type="dxa"/>
          <w:right w:w="108" w:type="dxa"/>
        </w:tblCellMar>
      </w:tblPr>
      <w:tblGrid>
        <w:gridCol w:w="3270"/>
        <w:gridCol w:w="1550"/>
        <w:gridCol w:w="1873"/>
        <w:gridCol w:w="1650"/>
        <w:gridCol w:w="779"/>
      </w:tblGrid>
      <w:tr w14:paraId="0F8C9AAF">
        <w:tblPrEx>
          <w:tblCellMar>
            <w:top w:w="0" w:type="dxa"/>
            <w:left w:w="108" w:type="dxa"/>
            <w:bottom w:w="0" w:type="dxa"/>
            <w:right w:w="108" w:type="dxa"/>
          </w:tblCellMar>
        </w:tblPrEx>
        <w:trPr>
          <w:trHeight w:val="310" w:hRule="atLeast"/>
          <w:jc w:val="center"/>
        </w:trPr>
        <w:tc>
          <w:tcPr>
            <w:tcW w:w="3270" w:type="dxa"/>
            <w:tcBorders>
              <w:top w:val="single" w:color="000000" w:sz="12" w:space="0"/>
              <w:left w:val="nil"/>
              <w:bottom w:val="single" w:color="000000" w:sz="4" w:space="0"/>
              <w:right w:val="nil"/>
              <w:tl2br w:val="nil"/>
            </w:tcBorders>
            <w:shd w:val="clear" w:color="auto" w:fill="FFFFFF"/>
            <w:noWrap/>
            <w:vAlign w:val="center"/>
          </w:tcPr>
          <w:p w14:paraId="0B90D795">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Variables</w:t>
            </w:r>
          </w:p>
        </w:tc>
        <w:tc>
          <w:tcPr>
            <w:tcW w:w="1550" w:type="dxa"/>
            <w:tcBorders>
              <w:top w:val="single" w:color="000000" w:sz="12" w:space="0"/>
              <w:left w:val="nil"/>
              <w:bottom w:val="single" w:color="000000" w:sz="4" w:space="0"/>
              <w:right w:val="nil"/>
            </w:tcBorders>
            <w:shd w:val="clear" w:color="auto" w:fill="FFFFFF"/>
            <w:noWrap/>
            <w:vAlign w:val="center"/>
          </w:tcPr>
          <w:p w14:paraId="2E642317">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Overall (n=1</w:t>
            </w:r>
            <w:r>
              <w:rPr>
                <w:rFonts w:hint="eastAsia" w:ascii="Times New Roman" w:hAnsi="Times New Roman" w:eastAsia="宋体" w:cs="Times New Roman"/>
                <w:color w:val="000000"/>
                <w:kern w:val="0"/>
                <w:sz w:val="20"/>
                <w:szCs w:val="20"/>
                <w:lang w:val="en-US" w:eastAsia="zh-CN" w:bidi="ar"/>
              </w:rPr>
              <w:t>64</w:t>
            </w:r>
            <w:r>
              <w:rPr>
                <w:rFonts w:hint="default" w:ascii="Times New Roman" w:hAnsi="Times New Roman" w:eastAsia="宋体" w:cs="Times New Roman"/>
                <w:color w:val="000000"/>
                <w:kern w:val="0"/>
                <w:sz w:val="20"/>
                <w:szCs w:val="20"/>
                <w:lang w:bidi="ar"/>
              </w:rPr>
              <w:t>)</w:t>
            </w:r>
          </w:p>
        </w:tc>
        <w:tc>
          <w:tcPr>
            <w:tcW w:w="1873" w:type="dxa"/>
            <w:tcBorders>
              <w:top w:val="single" w:color="000000" w:sz="12" w:space="0"/>
              <w:left w:val="nil"/>
              <w:bottom w:val="single" w:color="000000" w:sz="4" w:space="0"/>
              <w:right w:val="nil"/>
            </w:tcBorders>
            <w:shd w:val="clear" w:color="auto" w:fill="FFFFFF"/>
            <w:noWrap/>
            <w:vAlign w:val="center"/>
          </w:tcPr>
          <w:p w14:paraId="2400326E">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Training set</w:t>
            </w:r>
            <w:r>
              <w:rPr>
                <w:rFonts w:hint="default" w:ascii="Times New Roman" w:hAnsi="Times New Roman" w:eastAsia="宋体" w:cs="Times New Roman"/>
                <w:color w:val="000000"/>
                <w:kern w:val="0"/>
                <w:sz w:val="20"/>
                <w:szCs w:val="20"/>
                <w:lang w:bidi="ar"/>
              </w:rPr>
              <w:t xml:space="preserve"> (n=</w:t>
            </w:r>
            <w:r>
              <w:rPr>
                <w:rFonts w:hint="eastAsia" w:ascii="Times New Roman" w:hAnsi="Times New Roman" w:eastAsia="宋体" w:cs="Times New Roman"/>
                <w:color w:val="000000"/>
                <w:kern w:val="0"/>
                <w:sz w:val="20"/>
                <w:szCs w:val="20"/>
                <w:lang w:val="en-US" w:eastAsia="zh-CN" w:bidi="ar"/>
              </w:rPr>
              <w:t>111</w:t>
            </w:r>
            <w:r>
              <w:rPr>
                <w:rFonts w:hint="default" w:ascii="Times New Roman" w:hAnsi="Times New Roman" w:eastAsia="宋体" w:cs="Times New Roman"/>
                <w:color w:val="000000"/>
                <w:kern w:val="0"/>
                <w:sz w:val="20"/>
                <w:szCs w:val="20"/>
                <w:lang w:bidi="ar"/>
              </w:rPr>
              <w:t>)</w:t>
            </w:r>
          </w:p>
        </w:tc>
        <w:tc>
          <w:tcPr>
            <w:tcW w:w="1650" w:type="dxa"/>
            <w:tcBorders>
              <w:top w:val="single" w:color="000000" w:sz="12" w:space="0"/>
              <w:left w:val="nil"/>
              <w:bottom w:val="single" w:color="000000" w:sz="4" w:space="0"/>
              <w:right w:val="nil"/>
            </w:tcBorders>
            <w:shd w:val="clear" w:color="auto" w:fill="FFFFFF"/>
            <w:noWrap/>
            <w:vAlign w:val="center"/>
          </w:tcPr>
          <w:p w14:paraId="6E48E863">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 xml:space="preserve"> Test set</w:t>
            </w:r>
            <w:r>
              <w:rPr>
                <w:rFonts w:hint="default" w:ascii="Times New Roman" w:hAnsi="Times New Roman" w:eastAsia="宋体" w:cs="Times New Roman"/>
                <w:color w:val="000000"/>
                <w:kern w:val="0"/>
                <w:sz w:val="20"/>
                <w:szCs w:val="20"/>
                <w:lang w:bidi="ar"/>
              </w:rPr>
              <w:t xml:space="preserve"> (n=</w:t>
            </w:r>
            <w:r>
              <w:rPr>
                <w:rFonts w:hint="eastAsia" w:ascii="Times New Roman" w:hAnsi="Times New Roman" w:eastAsia="宋体" w:cs="Times New Roman"/>
                <w:color w:val="000000"/>
                <w:kern w:val="0"/>
                <w:sz w:val="20"/>
                <w:szCs w:val="20"/>
                <w:lang w:val="en-US" w:eastAsia="zh-CN" w:bidi="ar"/>
              </w:rPr>
              <w:t>53</w:t>
            </w:r>
            <w:r>
              <w:rPr>
                <w:rFonts w:hint="default" w:ascii="Times New Roman" w:hAnsi="Times New Roman" w:eastAsia="宋体" w:cs="Times New Roman"/>
                <w:color w:val="000000"/>
                <w:kern w:val="0"/>
                <w:sz w:val="20"/>
                <w:szCs w:val="20"/>
                <w:lang w:bidi="ar"/>
              </w:rPr>
              <w:t>)</w:t>
            </w:r>
          </w:p>
        </w:tc>
        <w:tc>
          <w:tcPr>
            <w:tcW w:w="779" w:type="dxa"/>
            <w:tcBorders>
              <w:top w:val="single" w:color="000000" w:sz="12" w:space="0"/>
              <w:left w:val="nil"/>
              <w:bottom w:val="single" w:color="000000" w:sz="4" w:space="0"/>
              <w:right w:val="nil"/>
            </w:tcBorders>
            <w:shd w:val="clear" w:color="auto" w:fill="FFFFFF"/>
            <w:noWrap/>
            <w:vAlign w:val="center"/>
          </w:tcPr>
          <w:p w14:paraId="0152A1AD">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P</w:t>
            </w:r>
          </w:p>
        </w:tc>
      </w:tr>
      <w:tr w14:paraId="22753F13">
        <w:tblPrEx>
          <w:tblCellMar>
            <w:top w:w="0" w:type="dxa"/>
            <w:left w:w="108" w:type="dxa"/>
            <w:bottom w:w="0" w:type="dxa"/>
            <w:right w:w="108" w:type="dxa"/>
          </w:tblCellMar>
        </w:tblPrEx>
        <w:trPr>
          <w:trHeight w:val="280" w:hRule="atLeast"/>
          <w:jc w:val="center"/>
        </w:trPr>
        <w:tc>
          <w:tcPr>
            <w:tcW w:w="3270" w:type="dxa"/>
            <w:tcBorders>
              <w:top w:val="single" w:color="000000" w:sz="4" w:space="0"/>
              <w:left w:val="nil"/>
              <w:bottom w:val="nil"/>
              <w:right w:val="nil"/>
            </w:tcBorders>
            <w:shd w:val="clear" w:color="auto" w:fill="FFFFFF"/>
            <w:noWrap/>
            <w:vAlign w:val="center"/>
          </w:tcPr>
          <w:p w14:paraId="3DCE3D35">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Age</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y</w:t>
            </w:r>
            <w:r>
              <w:rPr>
                <w:rFonts w:hint="default" w:ascii="Times New Roman" w:hAnsi="Times New Roman" w:eastAsia="宋体" w:cs="Times New Roman"/>
                <w:color w:val="000000"/>
                <w:kern w:val="0"/>
                <w:sz w:val="20"/>
                <w:szCs w:val="20"/>
                <w:lang w:val="en-US" w:eastAsia="zh-CN" w:bidi="ar"/>
              </w:rPr>
              <w:t>ears</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mean(SD)</w:t>
            </w:r>
          </w:p>
        </w:tc>
        <w:tc>
          <w:tcPr>
            <w:tcW w:w="1550" w:type="dxa"/>
            <w:tcBorders>
              <w:top w:val="single" w:color="000000" w:sz="4" w:space="0"/>
              <w:left w:val="nil"/>
              <w:bottom w:val="nil"/>
              <w:right w:val="nil"/>
            </w:tcBorders>
            <w:shd w:val="clear" w:color="auto" w:fill="FFFFFF"/>
            <w:noWrap/>
            <w:vAlign w:val="center"/>
          </w:tcPr>
          <w:p w14:paraId="78D57903">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59.2 (9.9)</w:t>
            </w:r>
          </w:p>
        </w:tc>
        <w:tc>
          <w:tcPr>
            <w:tcW w:w="1873" w:type="dxa"/>
            <w:tcBorders>
              <w:top w:val="single" w:color="000000" w:sz="4" w:space="0"/>
              <w:left w:val="nil"/>
              <w:bottom w:val="nil"/>
              <w:right w:val="nil"/>
            </w:tcBorders>
            <w:shd w:val="clear" w:color="auto" w:fill="FFFFFF"/>
            <w:noWrap/>
            <w:vAlign w:val="center"/>
          </w:tcPr>
          <w:p w14:paraId="39FE199D">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59.4 (9.4)</w:t>
            </w:r>
          </w:p>
        </w:tc>
        <w:tc>
          <w:tcPr>
            <w:tcW w:w="1650" w:type="dxa"/>
            <w:tcBorders>
              <w:top w:val="single" w:color="000000" w:sz="4" w:space="0"/>
              <w:left w:val="nil"/>
              <w:bottom w:val="nil"/>
              <w:right w:val="nil"/>
            </w:tcBorders>
            <w:shd w:val="clear" w:color="auto" w:fill="FFFFFF"/>
            <w:noWrap/>
            <w:vAlign w:val="center"/>
          </w:tcPr>
          <w:p w14:paraId="757B72FC">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58.6 (11.1)</w:t>
            </w:r>
          </w:p>
        </w:tc>
        <w:tc>
          <w:tcPr>
            <w:tcW w:w="779" w:type="dxa"/>
            <w:tcBorders>
              <w:top w:val="single" w:color="000000" w:sz="4" w:space="0"/>
              <w:left w:val="nil"/>
              <w:bottom w:val="nil"/>
              <w:right w:val="nil"/>
            </w:tcBorders>
            <w:shd w:val="clear" w:color="auto" w:fill="FFFFFF"/>
            <w:noWrap/>
            <w:vAlign w:val="center"/>
          </w:tcPr>
          <w:p w14:paraId="76B486F3">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0.627</w:t>
            </w:r>
          </w:p>
        </w:tc>
      </w:tr>
      <w:tr w14:paraId="3411A066">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622E153D">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Female</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54365D2A">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112 (68.3)</w:t>
            </w:r>
          </w:p>
        </w:tc>
        <w:tc>
          <w:tcPr>
            <w:tcW w:w="1873" w:type="dxa"/>
            <w:tcBorders>
              <w:top w:val="nil"/>
              <w:left w:val="nil"/>
              <w:bottom w:val="nil"/>
              <w:right w:val="nil"/>
            </w:tcBorders>
            <w:shd w:val="clear" w:color="auto" w:fill="FFFFFF"/>
            <w:noWrap/>
            <w:vAlign w:val="center"/>
          </w:tcPr>
          <w:p w14:paraId="4A26ECDD">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80 (72.1)</w:t>
            </w:r>
          </w:p>
        </w:tc>
        <w:tc>
          <w:tcPr>
            <w:tcW w:w="1650" w:type="dxa"/>
            <w:tcBorders>
              <w:top w:val="nil"/>
              <w:left w:val="nil"/>
              <w:bottom w:val="nil"/>
              <w:right w:val="nil"/>
            </w:tcBorders>
            <w:shd w:val="clear" w:color="auto" w:fill="auto"/>
            <w:noWrap/>
            <w:vAlign w:val="center"/>
          </w:tcPr>
          <w:p w14:paraId="2FAEEDB5">
            <w:pPr>
              <w:widowControl/>
              <w:spacing w:line="240" w:lineRule="auto"/>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Times New Roman" w:hAnsi="Times New Roman" w:eastAsia="宋体" w:cs="Times New Roman"/>
                <w:color w:val="000000"/>
                <w:kern w:val="0"/>
                <w:sz w:val="20"/>
                <w:szCs w:val="20"/>
                <w:lang w:val="en-US" w:eastAsia="zh-CN" w:bidi="ar"/>
              </w:rPr>
              <w:t>32 (60.4)</w:t>
            </w:r>
          </w:p>
        </w:tc>
        <w:tc>
          <w:tcPr>
            <w:tcW w:w="779" w:type="dxa"/>
            <w:tcBorders>
              <w:top w:val="nil"/>
              <w:left w:val="nil"/>
              <w:bottom w:val="nil"/>
              <w:right w:val="nil"/>
            </w:tcBorders>
            <w:shd w:val="clear" w:color="auto" w:fill="FFFFFF"/>
            <w:noWrap/>
            <w:vAlign w:val="center"/>
          </w:tcPr>
          <w:p w14:paraId="040EFE2F">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0.185</w:t>
            </w:r>
          </w:p>
        </w:tc>
      </w:tr>
      <w:tr w14:paraId="49FE2E2D">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213FB114">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BMI</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kg/m</w:t>
            </w:r>
            <w:r>
              <w:rPr>
                <w:rFonts w:hint="default" w:ascii="Times New Roman" w:hAnsi="Times New Roman" w:eastAsia="宋体" w:cs="Times New Roman"/>
                <w:color w:val="000000"/>
                <w:kern w:val="0"/>
                <w:sz w:val="20"/>
                <w:szCs w:val="20"/>
                <w:vertAlign w:val="superscript"/>
                <w:lang w:bidi="ar"/>
              </w:rPr>
              <w:t>2</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median(IQR)</w:t>
            </w:r>
          </w:p>
        </w:tc>
        <w:tc>
          <w:tcPr>
            <w:tcW w:w="1550" w:type="dxa"/>
            <w:tcBorders>
              <w:top w:val="nil"/>
              <w:left w:val="nil"/>
              <w:bottom w:val="nil"/>
              <w:right w:val="nil"/>
            </w:tcBorders>
            <w:shd w:val="clear" w:color="auto" w:fill="FFFFFF"/>
            <w:noWrap/>
            <w:vAlign w:val="center"/>
          </w:tcPr>
          <w:p w14:paraId="4B4C25C5">
            <w:pPr>
              <w:widowControl/>
              <w:spacing w:line="240" w:lineRule="auto"/>
              <w:jc w:val="center"/>
              <w:textAlignment w:val="center"/>
              <w:rPr>
                <w:rFonts w:hint="default" w:ascii="Times New Roman" w:hAnsi="Times New Roman" w:eastAsia="宋体" w:cs="Times New Roman"/>
                <w:color w:val="000000"/>
                <w:kern w:val="0"/>
                <w:sz w:val="20"/>
                <w:szCs w:val="20"/>
                <w:lang w:val="en-US" w:bidi="ar"/>
              </w:rPr>
            </w:pPr>
            <w:r>
              <w:rPr>
                <w:rFonts w:hint="default" w:ascii="Times New Roman" w:hAnsi="Times New Roman" w:eastAsia="宋体" w:cs="Times New Roman"/>
                <w:color w:val="000000"/>
                <w:kern w:val="0"/>
                <w:sz w:val="20"/>
                <w:szCs w:val="20"/>
                <w:lang w:bidi="ar"/>
              </w:rPr>
              <w:t>25.</w:t>
            </w:r>
            <w:r>
              <w:rPr>
                <w:rFonts w:hint="eastAsia" w:ascii="Times New Roman" w:hAnsi="Times New Roman" w:eastAsia="宋体" w:cs="Times New Roman"/>
                <w:color w:val="000000"/>
                <w:kern w:val="0"/>
                <w:sz w:val="20"/>
                <w:szCs w:val="20"/>
                <w:lang w:val="en-US" w:eastAsia="zh-CN" w:bidi="ar"/>
              </w:rPr>
              <w:t>4</w:t>
            </w:r>
            <w:r>
              <w:rPr>
                <w:rFonts w:hint="default" w:ascii="Times New Roman" w:hAnsi="Times New Roman" w:eastAsia="宋体" w:cs="Times New Roman"/>
                <w:color w:val="000000"/>
                <w:kern w:val="0"/>
                <w:sz w:val="20"/>
                <w:szCs w:val="20"/>
                <w:lang w:bidi="ar"/>
              </w:rPr>
              <w:t xml:space="preserve"> </w:t>
            </w:r>
            <w:r>
              <w:rPr>
                <w:rFonts w:hint="eastAsia" w:ascii="Times New Roman" w:hAnsi="Times New Roman" w:eastAsia="宋体" w:cs="Times New Roman"/>
                <w:color w:val="000000"/>
                <w:kern w:val="0"/>
                <w:sz w:val="20"/>
                <w:szCs w:val="20"/>
                <w:lang w:val="en-US" w:eastAsia="zh-CN" w:bidi="ar"/>
              </w:rPr>
              <w:t>(</w:t>
            </w:r>
            <w:r>
              <w:rPr>
                <w:rFonts w:hint="default" w:ascii="Times New Roman" w:hAnsi="Times New Roman" w:eastAsia="宋体" w:cs="Times New Roman"/>
                <w:color w:val="000000"/>
                <w:kern w:val="0"/>
                <w:sz w:val="20"/>
                <w:szCs w:val="20"/>
                <w:lang w:bidi="ar"/>
              </w:rPr>
              <w:t>22.</w:t>
            </w:r>
            <w:r>
              <w:rPr>
                <w:rFonts w:hint="eastAsia" w:ascii="Times New Roman" w:hAnsi="Times New Roman" w:eastAsia="宋体" w:cs="Times New Roman"/>
                <w:color w:val="000000"/>
                <w:kern w:val="0"/>
                <w:sz w:val="20"/>
                <w:szCs w:val="20"/>
                <w:lang w:val="en-US" w:eastAsia="zh-CN" w:bidi="ar"/>
              </w:rPr>
              <w:t>6</w:t>
            </w:r>
            <w:r>
              <w:rPr>
                <w:rFonts w:hint="default" w:ascii="Times New Roman" w:hAnsi="Times New Roman" w:eastAsia="宋体" w:cs="Times New Roman"/>
                <w:color w:val="000000"/>
                <w:kern w:val="0"/>
                <w:sz w:val="20"/>
                <w:szCs w:val="20"/>
                <w:lang w:bidi="ar"/>
              </w:rPr>
              <w:t>–27.</w:t>
            </w:r>
            <w:r>
              <w:rPr>
                <w:rFonts w:hint="eastAsia" w:ascii="Times New Roman" w:hAnsi="Times New Roman" w:eastAsia="宋体" w:cs="Times New Roman"/>
                <w:color w:val="000000"/>
                <w:kern w:val="0"/>
                <w:sz w:val="20"/>
                <w:szCs w:val="20"/>
                <w:lang w:val="en-US" w:eastAsia="zh-CN" w:bidi="ar"/>
              </w:rPr>
              <w:t>5)</w:t>
            </w:r>
          </w:p>
        </w:tc>
        <w:tc>
          <w:tcPr>
            <w:tcW w:w="1873" w:type="dxa"/>
            <w:tcBorders>
              <w:top w:val="nil"/>
              <w:left w:val="nil"/>
              <w:bottom w:val="nil"/>
              <w:right w:val="nil"/>
            </w:tcBorders>
            <w:shd w:val="clear" w:color="auto" w:fill="FFFFFF"/>
            <w:noWrap/>
            <w:vAlign w:val="center"/>
          </w:tcPr>
          <w:p w14:paraId="6AE3FA7B">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25.4 (22.5–27.3)</w:t>
            </w:r>
          </w:p>
        </w:tc>
        <w:tc>
          <w:tcPr>
            <w:tcW w:w="1650" w:type="dxa"/>
            <w:tcBorders>
              <w:top w:val="nil"/>
              <w:left w:val="nil"/>
              <w:bottom w:val="nil"/>
              <w:right w:val="nil"/>
            </w:tcBorders>
            <w:shd w:val="clear" w:color="auto" w:fill="FFFFFF"/>
            <w:noWrap/>
            <w:vAlign w:val="center"/>
          </w:tcPr>
          <w:p w14:paraId="39B95100">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default" w:ascii="Times New Roman" w:hAnsi="Times New Roman" w:eastAsia="宋体" w:cs="Times New Roman"/>
                <w:color w:val="000000"/>
                <w:kern w:val="0"/>
                <w:sz w:val="20"/>
                <w:szCs w:val="20"/>
                <w:lang w:val="en-US" w:eastAsia="zh-CN" w:bidi="ar"/>
              </w:rPr>
              <w:t xml:space="preserve">25.4 </w:t>
            </w:r>
            <w:r>
              <w:rPr>
                <w:rFonts w:hint="eastAsia" w:ascii="Times New Roman" w:hAnsi="Times New Roman" w:eastAsia="宋体" w:cs="Times New Roman"/>
                <w:color w:val="000000"/>
                <w:kern w:val="0"/>
                <w:sz w:val="20"/>
                <w:szCs w:val="20"/>
                <w:lang w:val="en-US" w:eastAsia="zh-CN" w:bidi="ar"/>
              </w:rPr>
              <w:t>(</w:t>
            </w:r>
            <w:r>
              <w:rPr>
                <w:rFonts w:hint="default" w:ascii="Times New Roman" w:hAnsi="Times New Roman" w:eastAsia="宋体" w:cs="Times New Roman"/>
                <w:color w:val="000000"/>
                <w:kern w:val="0"/>
                <w:sz w:val="20"/>
                <w:szCs w:val="20"/>
                <w:lang w:val="en-US" w:eastAsia="zh-CN" w:bidi="ar"/>
              </w:rPr>
              <w:t>23.1–27.7)</w:t>
            </w:r>
          </w:p>
        </w:tc>
        <w:tc>
          <w:tcPr>
            <w:tcW w:w="779" w:type="dxa"/>
            <w:tcBorders>
              <w:top w:val="nil"/>
              <w:left w:val="nil"/>
              <w:bottom w:val="nil"/>
              <w:right w:val="nil"/>
            </w:tcBorders>
            <w:shd w:val="clear" w:color="auto" w:fill="FFFFFF"/>
            <w:noWrap/>
            <w:vAlign w:val="center"/>
          </w:tcPr>
          <w:p w14:paraId="1C5A2E14">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0.623</w:t>
            </w:r>
          </w:p>
        </w:tc>
      </w:tr>
      <w:tr w14:paraId="01888B7E">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1BF244EA">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Education</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7034944C">
            <w:pPr>
              <w:widowControl/>
              <w:spacing w:line="240" w:lineRule="auto"/>
              <w:jc w:val="center"/>
              <w:textAlignment w:val="center"/>
              <w:rPr>
                <w:rFonts w:hint="default" w:ascii="Times New Roman" w:hAnsi="Times New Roman" w:eastAsia="宋体" w:cs="Times New Roman"/>
                <w:color w:val="000000"/>
                <w:kern w:val="0"/>
                <w:sz w:val="20"/>
                <w:szCs w:val="20"/>
                <w:lang w:bidi="ar"/>
              </w:rPr>
            </w:pPr>
          </w:p>
        </w:tc>
        <w:tc>
          <w:tcPr>
            <w:tcW w:w="1873" w:type="dxa"/>
            <w:tcBorders>
              <w:top w:val="nil"/>
              <w:left w:val="nil"/>
              <w:bottom w:val="nil"/>
              <w:right w:val="nil"/>
            </w:tcBorders>
            <w:shd w:val="clear" w:color="auto" w:fill="FFFFFF"/>
            <w:noWrap/>
            <w:vAlign w:val="center"/>
          </w:tcPr>
          <w:p w14:paraId="0536741A">
            <w:pPr>
              <w:widowControl/>
              <w:spacing w:line="240" w:lineRule="auto"/>
              <w:jc w:val="center"/>
              <w:textAlignment w:val="center"/>
              <w:rPr>
                <w:rFonts w:hint="default" w:ascii="Times New Roman" w:hAnsi="Times New Roman" w:eastAsia="宋体" w:cs="Times New Roman"/>
                <w:color w:val="000000"/>
                <w:kern w:val="0"/>
                <w:sz w:val="20"/>
                <w:szCs w:val="20"/>
                <w:lang w:bidi="ar"/>
              </w:rPr>
            </w:pPr>
          </w:p>
        </w:tc>
        <w:tc>
          <w:tcPr>
            <w:tcW w:w="1650" w:type="dxa"/>
            <w:tcBorders>
              <w:top w:val="nil"/>
              <w:left w:val="nil"/>
              <w:bottom w:val="nil"/>
              <w:right w:val="nil"/>
            </w:tcBorders>
            <w:shd w:val="clear" w:color="auto" w:fill="FFFFFF"/>
            <w:noWrap/>
            <w:vAlign w:val="center"/>
          </w:tcPr>
          <w:p w14:paraId="4C61EC5C">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tc>
        <w:tc>
          <w:tcPr>
            <w:tcW w:w="779" w:type="dxa"/>
            <w:tcBorders>
              <w:top w:val="nil"/>
              <w:left w:val="nil"/>
              <w:bottom w:val="nil"/>
              <w:right w:val="nil"/>
            </w:tcBorders>
            <w:shd w:val="clear" w:color="auto" w:fill="FFFFFF"/>
            <w:noWrap/>
            <w:vAlign w:val="center"/>
          </w:tcPr>
          <w:p w14:paraId="5C2A38C3">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0.917</w:t>
            </w:r>
          </w:p>
        </w:tc>
      </w:tr>
      <w:tr w14:paraId="507EC782">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0FF95FFC">
            <w:pPr>
              <w:widowControl/>
              <w:spacing w:line="240" w:lineRule="auto"/>
              <w:ind w:firstLine="200" w:firstLineChars="100"/>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Middle school or lower</w:t>
            </w:r>
          </w:p>
        </w:tc>
        <w:tc>
          <w:tcPr>
            <w:tcW w:w="1550" w:type="dxa"/>
            <w:tcBorders>
              <w:top w:val="nil"/>
              <w:left w:val="nil"/>
              <w:bottom w:val="nil"/>
              <w:right w:val="nil"/>
            </w:tcBorders>
            <w:shd w:val="clear" w:color="auto" w:fill="FFFFFF"/>
            <w:noWrap/>
            <w:vAlign w:val="center"/>
          </w:tcPr>
          <w:p w14:paraId="4A998596">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51 (31.1)</w:t>
            </w:r>
          </w:p>
        </w:tc>
        <w:tc>
          <w:tcPr>
            <w:tcW w:w="1873" w:type="dxa"/>
            <w:tcBorders>
              <w:top w:val="nil"/>
              <w:left w:val="nil"/>
              <w:bottom w:val="nil"/>
              <w:right w:val="nil"/>
            </w:tcBorders>
            <w:shd w:val="clear" w:color="auto" w:fill="FFFFFF"/>
            <w:noWrap/>
            <w:vAlign w:val="center"/>
          </w:tcPr>
          <w:p w14:paraId="0A672F4F">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35 (31.5)</w:t>
            </w:r>
          </w:p>
        </w:tc>
        <w:tc>
          <w:tcPr>
            <w:tcW w:w="1650" w:type="dxa"/>
            <w:tcBorders>
              <w:top w:val="nil"/>
              <w:left w:val="nil"/>
              <w:bottom w:val="nil"/>
              <w:right w:val="nil"/>
            </w:tcBorders>
            <w:shd w:val="clear" w:color="auto" w:fill="FFFFFF"/>
            <w:noWrap/>
            <w:vAlign w:val="center"/>
          </w:tcPr>
          <w:p w14:paraId="3FA8349B">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16 (30.2)</w:t>
            </w:r>
          </w:p>
        </w:tc>
        <w:tc>
          <w:tcPr>
            <w:tcW w:w="779" w:type="dxa"/>
            <w:tcBorders>
              <w:top w:val="nil"/>
              <w:left w:val="nil"/>
              <w:bottom w:val="nil"/>
              <w:right w:val="nil"/>
            </w:tcBorders>
            <w:shd w:val="clear" w:color="auto" w:fill="FFFFFF"/>
            <w:noWrap/>
            <w:vAlign w:val="center"/>
          </w:tcPr>
          <w:p w14:paraId="56708445">
            <w:pPr>
              <w:widowControl/>
              <w:spacing w:line="240" w:lineRule="auto"/>
              <w:jc w:val="center"/>
              <w:textAlignment w:val="center"/>
              <w:rPr>
                <w:rFonts w:hint="default" w:ascii="Times New Roman" w:hAnsi="Times New Roman" w:eastAsia="宋体" w:cs="Times New Roman"/>
                <w:color w:val="000000"/>
                <w:kern w:val="0"/>
                <w:sz w:val="20"/>
                <w:szCs w:val="20"/>
                <w:lang w:bidi="ar"/>
              </w:rPr>
            </w:pPr>
          </w:p>
        </w:tc>
      </w:tr>
      <w:tr w14:paraId="1486773C">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5B6F1362">
            <w:pPr>
              <w:widowControl/>
              <w:spacing w:line="240" w:lineRule="auto"/>
              <w:ind w:firstLine="200" w:firstLineChars="100"/>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High school or professional college</w:t>
            </w:r>
          </w:p>
        </w:tc>
        <w:tc>
          <w:tcPr>
            <w:tcW w:w="1550" w:type="dxa"/>
            <w:tcBorders>
              <w:top w:val="nil"/>
              <w:left w:val="nil"/>
              <w:bottom w:val="nil"/>
              <w:right w:val="nil"/>
            </w:tcBorders>
            <w:shd w:val="clear" w:color="auto" w:fill="FFFFFF"/>
            <w:noWrap/>
            <w:vAlign w:val="center"/>
          </w:tcPr>
          <w:p w14:paraId="06E5BB0A">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76 (46.3)</w:t>
            </w:r>
          </w:p>
        </w:tc>
        <w:tc>
          <w:tcPr>
            <w:tcW w:w="1873" w:type="dxa"/>
            <w:tcBorders>
              <w:top w:val="nil"/>
              <w:left w:val="nil"/>
              <w:bottom w:val="nil"/>
              <w:right w:val="nil"/>
            </w:tcBorders>
            <w:shd w:val="clear" w:color="auto" w:fill="FFFFFF"/>
            <w:noWrap/>
            <w:vAlign w:val="center"/>
          </w:tcPr>
          <w:p w14:paraId="5D6E3CAE">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52 (46.8)</w:t>
            </w:r>
          </w:p>
        </w:tc>
        <w:tc>
          <w:tcPr>
            <w:tcW w:w="1650" w:type="dxa"/>
            <w:tcBorders>
              <w:top w:val="nil"/>
              <w:left w:val="nil"/>
              <w:bottom w:val="nil"/>
              <w:right w:val="nil"/>
            </w:tcBorders>
            <w:shd w:val="clear" w:color="auto" w:fill="FFFFFF"/>
            <w:noWrap/>
            <w:vAlign w:val="center"/>
          </w:tcPr>
          <w:p w14:paraId="2086B4AB">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24 (45.3)</w:t>
            </w:r>
          </w:p>
        </w:tc>
        <w:tc>
          <w:tcPr>
            <w:tcW w:w="779" w:type="dxa"/>
            <w:tcBorders>
              <w:top w:val="nil"/>
              <w:left w:val="nil"/>
              <w:bottom w:val="nil"/>
              <w:right w:val="nil"/>
            </w:tcBorders>
            <w:shd w:val="clear" w:color="auto" w:fill="FFFFFF"/>
            <w:noWrap/>
            <w:vAlign w:val="center"/>
          </w:tcPr>
          <w:p w14:paraId="11F05AEB">
            <w:pPr>
              <w:widowControl/>
              <w:spacing w:line="240" w:lineRule="auto"/>
              <w:jc w:val="center"/>
              <w:textAlignment w:val="center"/>
              <w:rPr>
                <w:rFonts w:hint="default" w:ascii="Times New Roman" w:hAnsi="Times New Roman" w:eastAsia="宋体" w:cs="Times New Roman"/>
                <w:color w:val="000000"/>
                <w:kern w:val="0"/>
                <w:sz w:val="20"/>
                <w:szCs w:val="20"/>
                <w:lang w:bidi="ar"/>
              </w:rPr>
            </w:pPr>
          </w:p>
        </w:tc>
      </w:tr>
      <w:tr w14:paraId="77617DCE">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367F8ED9">
            <w:pPr>
              <w:widowControl/>
              <w:spacing w:line="240" w:lineRule="auto"/>
              <w:ind w:firstLine="200" w:firstLineChars="100"/>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University</w:t>
            </w:r>
          </w:p>
        </w:tc>
        <w:tc>
          <w:tcPr>
            <w:tcW w:w="1550" w:type="dxa"/>
            <w:tcBorders>
              <w:top w:val="nil"/>
              <w:left w:val="nil"/>
              <w:bottom w:val="nil"/>
              <w:right w:val="nil"/>
            </w:tcBorders>
            <w:shd w:val="clear" w:color="auto" w:fill="FFFFFF"/>
            <w:noWrap/>
            <w:vAlign w:val="center"/>
          </w:tcPr>
          <w:p w14:paraId="60552FC2">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37 (22.6)</w:t>
            </w:r>
          </w:p>
        </w:tc>
        <w:tc>
          <w:tcPr>
            <w:tcW w:w="1873" w:type="dxa"/>
            <w:tcBorders>
              <w:top w:val="nil"/>
              <w:left w:val="nil"/>
              <w:bottom w:val="nil"/>
              <w:right w:val="nil"/>
            </w:tcBorders>
            <w:shd w:val="clear" w:color="auto" w:fill="FFFFFF"/>
            <w:noWrap/>
            <w:vAlign w:val="center"/>
          </w:tcPr>
          <w:p w14:paraId="414F2161">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24 (21.6)</w:t>
            </w:r>
          </w:p>
        </w:tc>
        <w:tc>
          <w:tcPr>
            <w:tcW w:w="1650" w:type="dxa"/>
            <w:tcBorders>
              <w:top w:val="nil"/>
              <w:left w:val="nil"/>
              <w:bottom w:val="nil"/>
              <w:right w:val="nil"/>
            </w:tcBorders>
            <w:shd w:val="clear" w:color="auto" w:fill="FFFFFF"/>
            <w:noWrap/>
            <w:vAlign w:val="center"/>
          </w:tcPr>
          <w:p w14:paraId="0CA09F36">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13 (24.5)</w:t>
            </w:r>
          </w:p>
        </w:tc>
        <w:tc>
          <w:tcPr>
            <w:tcW w:w="779" w:type="dxa"/>
            <w:tcBorders>
              <w:top w:val="nil"/>
              <w:left w:val="nil"/>
              <w:bottom w:val="nil"/>
              <w:right w:val="nil"/>
            </w:tcBorders>
            <w:shd w:val="clear" w:color="auto" w:fill="FFFFFF"/>
            <w:noWrap/>
            <w:vAlign w:val="center"/>
          </w:tcPr>
          <w:p w14:paraId="74719AA2">
            <w:pPr>
              <w:widowControl/>
              <w:spacing w:line="240" w:lineRule="auto"/>
              <w:jc w:val="center"/>
              <w:textAlignment w:val="center"/>
              <w:rPr>
                <w:rFonts w:hint="default" w:ascii="Times New Roman" w:hAnsi="Times New Roman" w:eastAsia="宋体" w:cs="Times New Roman"/>
                <w:color w:val="000000"/>
                <w:kern w:val="0"/>
                <w:sz w:val="20"/>
                <w:szCs w:val="20"/>
                <w:lang w:bidi="ar"/>
              </w:rPr>
            </w:pPr>
          </w:p>
        </w:tc>
      </w:tr>
      <w:tr w14:paraId="56285DDE">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38881341">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Diabetes</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75106EE5">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18 (11.0)</w:t>
            </w:r>
          </w:p>
        </w:tc>
        <w:tc>
          <w:tcPr>
            <w:tcW w:w="1873" w:type="dxa"/>
            <w:tcBorders>
              <w:top w:val="nil"/>
              <w:left w:val="nil"/>
              <w:bottom w:val="nil"/>
              <w:right w:val="nil"/>
            </w:tcBorders>
            <w:shd w:val="clear" w:color="auto" w:fill="FFFFFF"/>
            <w:noWrap/>
            <w:vAlign w:val="center"/>
          </w:tcPr>
          <w:p w14:paraId="2BE87EF8">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13 (11.7)</w:t>
            </w:r>
          </w:p>
        </w:tc>
        <w:tc>
          <w:tcPr>
            <w:tcW w:w="1650" w:type="dxa"/>
            <w:tcBorders>
              <w:top w:val="nil"/>
              <w:left w:val="nil"/>
              <w:bottom w:val="nil"/>
              <w:right w:val="nil"/>
            </w:tcBorders>
            <w:shd w:val="clear" w:color="auto" w:fill="FFFFFF"/>
            <w:noWrap/>
            <w:vAlign w:val="center"/>
          </w:tcPr>
          <w:p w14:paraId="2F56C7CB">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5 (9.4)</w:t>
            </w:r>
          </w:p>
        </w:tc>
        <w:tc>
          <w:tcPr>
            <w:tcW w:w="779" w:type="dxa"/>
            <w:tcBorders>
              <w:top w:val="nil"/>
              <w:left w:val="nil"/>
              <w:bottom w:val="nil"/>
              <w:right w:val="nil"/>
            </w:tcBorders>
            <w:shd w:val="clear" w:color="auto" w:fill="FFFFFF"/>
            <w:noWrap/>
            <w:vAlign w:val="center"/>
          </w:tcPr>
          <w:p w14:paraId="15C2367A">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0.866</w:t>
            </w:r>
          </w:p>
        </w:tc>
      </w:tr>
      <w:tr w14:paraId="26FAB7C4">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0D4E20F5">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Hypertension</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36C5FE8C">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93 (56.7)</w:t>
            </w:r>
          </w:p>
        </w:tc>
        <w:tc>
          <w:tcPr>
            <w:tcW w:w="1873" w:type="dxa"/>
            <w:tcBorders>
              <w:top w:val="nil"/>
              <w:left w:val="nil"/>
              <w:bottom w:val="nil"/>
              <w:right w:val="nil"/>
            </w:tcBorders>
            <w:shd w:val="clear" w:color="auto" w:fill="FFFFFF"/>
            <w:noWrap/>
            <w:vAlign w:val="center"/>
          </w:tcPr>
          <w:p w14:paraId="26B15BF6">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69 (62.2)</w:t>
            </w:r>
          </w:p>
        </w:tc>
        <w:tc>
          <w:tcPr>
            <w:tcW w:w="1650" w:type="dxa"/>
            <w:tcBorders>
              <w:top w:val="nil"/>
              <w:left w:val="nil"/>
              <w:bottom w:val="nil"/>
              <w:right w:val="nil"/>
            </w:tcBorders>
            <w:shd w:val="clear" w:color="auto" w:fill="FFFFFF"/>
            <w:noWrap/>
            <w:vAlign w:val="center"/>
          </w:tcPr>
          <w:p w14:paraId="5924FAA3">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24 (45.3)</w:t>
            </w:r>
          </w:p>
        </w:tc>
        <w:tc>
          <w:tcPr>
            <w:tcW w:w="779" w:type="dxa"/>
            <w:tcBorders>
              <w:top w:val="nil"/>
              <w:left w:val="nil"/>
              <w:bottom w:val="nil"/>
              <w:right w:val="nil"/>
            </w:tcBorders>
            <w:shd w:val="clear" w:color="auto" w:fill="FFFFFF"/>
            <w:noWrap/>
            <w:vAlign w:val="center"/>
          </w:tcPr>
          <w:p w14:paraId="20FD2EBC">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0.061</w:t>
            </w:r>
          </w:p>
        </w:tc>
      </w:tr>
      <w:tr w14:paraId="2EB75F66">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3792C023">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Coronary artery disease</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060C3A6A">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11 (6.7)</w:t>
            </w:r>
          </w:p>
        </w:tc>
        <w:tc>
          <w:tcPr>
            <w:tcW w:w="1873" w:type="dxa"/>
            <w:tcBorders>
              <w:top w:val="nil"/>
              <w:left w:val="nil"/>
              <w:bottom w:val="nil"/>
              <w:right w:val="nil"/>
            </w:tcBorders>
            <w:shd w:val="clear" w:color="auto" w:fill="FFFFFF"/>
            <w:noWrap/>
            <w:vAlign w:val="center"/>
          </w:tcPr>
          <w:p w14:paraId="5E50CC5C">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9 (8.1)</w:t>
            </w:r>
          </w:p>
        </w:tc>
        <w:tc>
          <w:tcPr>
            <w:tcW w:w="1650" w:type="dxa"/>
            <w:tcBorders>
              <w:top w:val="nil"/>
              <w:left w:val="nil"/>
              <w:bottom w:val="nil"/>
              <w:right w:val="nil"/>
            </w:tcBorders>
            <w:shd w:val="clear" w:color="auto" w:fill="FFFFFF"/>
            <w:noWrap/>
            <w:vAlign w:val="center"/>
          </w:tcPr>
          <w:p w14:paraId="305A28DD">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2 (3.8)</w:t>
            </w:r>
          </w:p>
        </w:tc>
        <w:tc>
          <w:tcPr>
            <w:tcW w:w="779" w:type="dxa"/>
            <w:tcBorders>
              <w:top w:val="nil"/>
              <w:left w:val="nil"/>
              <w:bottom w:val="nil"/>
              <w:right w:val="nil"/>
            </w:tcBorders>
            <w:shd w:val="clear" w:color="auto" w:fill="FFFFFF"/>
            <w:noWrap/>
            <w:vAlign w:val="center"/>
          </w:tcPr>
          <w:p w14:paraId="2B9935D8">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0.481</w:t>
            </w:r>
          </w:p>
        </w:tc>
      </w:tr>
      <w:tr w14:paraId="272641F9">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70E7634A">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 xml:space="preserve">Prior </w:t>
            </w:r>
            <w:r>
              <w:rPr>
                <w:rFonts w:hint="default" w:ascii="Times New Roman" w:hAnsi="Times New Roman" w:eastAsia="宋体" w:cs="Times New Roman"/>
                <w:color w:val="000000"/>
                <w:kern w:val="0"/>
                <w:sz w:val="20"/>
                <w:szCs w:val="20"/>
                <w:lang w:val="en-US" w:eastAsia="zh-CN" w:bidi="ar"/>
              </w:rPr>
              <w:t xml:space="preserve">ischemic </w:t>
            </w:r>
            <w:r>
              <w:rPr>
                <w:rFonts w:hint="default" w:ascii="Times New Roman" w:hAnsi="Times New Roman" w:eastAsia="宋体" w:cs="Times New Roman"/>
                <w:color w:val="000000"/>
                <w:kern w:val="0"/>
                <w:sz w:val="20"/>
                <w:szCs w:val="20"/>
                <w:lang w:bidi="ar"/>
              </w:rPr>
              <w:t>stroke</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244A29E0">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14 (8.5)</w:t>
            </w:r>
          </w:p>
        </w:tc>
        <w:tc>
          <w:tcPr>
            <w:tcW w:w="1873" w:type="dxa"/>
            <w:tcBorders>
              <w:top w:val="nil"/>
              <w:left w:val="nil"/>
              <w:bottom w:val="nil"/>
              <w:right w:val="nil"/>
            </w:tcBorders>
            <w:shd w:val="clear" w:color="auto" w:fill="FFFFFF"/>
            <w:noWrap/>
            <w:vAlign w:val="center"/>
          </w:tcPr>
          <w:p w14:paraId="1A9175D0">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8 (7.2)</w:t>
            </w:r>
          </w:p>
        </w:tc>
        <w:tc>
          <w:tcPr>
            <w:tcW w:w="1650" w:type="dxa"/>
            <w:tcBorders>
              <w:top w:val="nil"/>
              <w:left w:val="nil"/>
              <w:bottom w:val="nil"/>
              <w:right w:val="nil"/>
            </w:tcBorders>
            <w:shd w:val="clear" w:color="auto" w:fill="FFFFFF"/>
            <w:noWrap/>
            <w:vAlign w:val="center"/>
          </w:tcPr>
          <w:p w14:paraId="2E67FF19">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6 (11.3)</w:t>
            </w:r>
          </w:p>
        </w:tc>
        <w:tc>
          <w:tcPr>
            <w:tcW w:w="779" w:type="dxa"/>
            <w:tcBorders>
              <w:top w:val="nil"/>
              <w:left w:val="nil"/>
              <w:bottom w:val="nil"/>
              <w:right w:val="nil"/>
            </w:tcBorders>
            <w:shd w:val="clear" w:color="auto" w:fill="FFFFFF"/>
            <w:noWrap/>
            <w:vAlign w:val="center"/>
          </w:tcPr>
          <w:p w14:paraId="2628624F">
            <w:pPr>
              <w:widowControl/>
              <w:spacing w:line="240" w:lineRule="auto"/>
              <w:jc w:val="center"/>
              <w:textAlignment w:val="center"/>
              <w:rPr>
                <w:rFonts w:hint="default" w:ascii="Times New Roman" w:hAnsi="Times New Roman" w:eastAsia="宋体" w:cs="Times New Roman"/>
                <w:color w:val="000000"/>
                <w:kern w:val="0"/>
                <w:sz w:val="20"/>
                <w:szCs w:val="20"/>
                <w:lang w:val="en-US" w:bidi="ar"/>
              </w:rPr>
            </w:pPr>
            <w:r>
              <w:rPr>
                <w:rFonts w:hint="eastAsia" w:ascii="Times New Roman" w:hAnsi="Times New Roman" w:eastAsia="宋体" w:cs="Times New Roman"/>
                <w:color w:val="000000"/>
                <w:kern w:val="0"/>
                <w:sz w:val="20"/>
                <w:szCs w:val="20"/>
                <w:lang w:val="en-US" w:eastAsia="zh-CN" w:bidi="ar"/>
              </w:rPr>
              <w:t>0.560</w:t>
            </w:r>
          </w:p>
        </w:tc>
      </w:tr>
      <w:tr w14:paraId="28A76912">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7BA97472">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Prior aSAH</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16255233">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2 (1.2)</w:t>
            </w:r>
          </w:p>
        </w:tc>
        <w:tc>
          <w:tcPr>
            <w:tcW w:w="1873" w:type="dxa"/>
            <w:tcBorders>
              <w:top w:val="nil"/>
              <w:left w:val="nil"/>
              <w:bottom w:val="nil"/>
              <w:right w:val="nil"/>
            </w:tcBorders>
            <w:shd w:val="clear" w:color="auto" w:fill="FFFFFF"/>
            <w:noWrap/>
            <w:vAlign w:val="center"/>
          </w:tcPr>
          <w:p w14:paraId="10DCD3B2">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0 (0.0)</w:t>
            </w:r>
          </w:p>
        </w:tc>
        <w:tc>
          <w:tcPr>
            <w:tcW w:w="1650" w:type="dxa"/>
            <w:tcBorders>
              <w:top w:val="nil"/>
              <w:left w:val="nil"/>
              <w:bottom w:val="nil"/>
              <w:right w:val="nil"/>
            </w:tcBorders>
            <w:shd w:val="clear" w:color="auto" w:fill="FFFFFF"/>
            <w:noWrap/>
            <w:vAlign w:val="center"/>
          </w:tcPr>
          <w:p w14:paraId="12429374">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2 (3.8)</w:t>
            </w:r>
          </w:p>
        </w:tc>
        <w:tc>
          <w:tcPr>
            <w:tcW w:w="779" w:type="dxa"/>
            <w:tcBorders>
              <w:top w:val="nil"/>
              <w:left w:val="nil"/>
              <w:bottom w:val="nil"/>
              <w:right w:val="nil"/>
            </w:tcBorders>
            <w:shd w:val="clear" w:color="auto" w:fill="FFFFFF"/>
            <w:noWrap/>
            <w:vAlign w:val="center"/>
          </w:tcPr>
          <w:p w14:paraId="69B7808D">
            <w:pPr>
              <w:widowControl/>
              <w:spacing w:line="240" w:lineRule="auto"/>
              <w:jc w:val="center"/>
              <w:textAlignment w:val="center"/>
              <w:rPr>
                <w:rFonts w:hint="default" w:ascii="Times New Roman" w:hAnsi="Times New Roman" w:eastAsia="宋体" w:cs="Times New Roman"/>
                <w:color w:val="000000"/>
                <w:kern w:val="0"/>
                <w:sz w:val="20"/>
                <w:szCs w:val="20"/>
                <w:lang w:val="en-US" w:bidi="ar"/>
              </w:rPr>
            </w:pPr>
            <w:r>
              <w:rPr>
                <w:rFonts w:hint="eastAsia" w:ascii="Times New Roman" w:hAnsi="Times New Roman" w:eastAsia="宋体" w:cs="Times New Roman"/>
                <w:color w:val="000000"/>
                <w:kern w:val="0"/>
                <w:sz w:val="20"/>
                <w:szCs w:val="20"/>
                <w:lang w:val="en-US" w:eastAsia="zh-CN" w:bidi="ar"/>
              </w:rPr>
              <w:t>0.194</w:t>
            </w:r>
          </w:p>
        </w:tc>
      </w:tr>
      <w:tr w14:paraId="474F1CDF">
        <w:tblPrEx>
          <w:tblCellMar>
            <w:top w:w="0" w:type="dxa"/>
            <w:left w:w="108" w:type="dxa"/>
            <w:bottom w:w="0" w:type="dxa"/>
            <w:right w:w="108" w:type="dxa"/>
          </w:tblCellMar>
        </w:tblPrEx>
        <w:trPr>
          <w:trHeight w:val="280" w:hRule="atLeast"/>
          <w:jc w:val="center"/>
        </w:trPr>
        <w:tc>
          <w:tcPr>
            <w:tcW w:w="3270" w:type="dxa"/>
            <w:tcBorders>
              <w:top w:val="nil"/>
              <w:left w:val="nil"/>
              <w:bottom w:val="nil"/>
              <w:right w:val="nil"/>
            </w:tcBorders>
            <w:shd w:val="clear" w:color="auto" w:fill="FFFFFF"/>
            <w:noWrap/>
            <w:vAlign w:val="center"/>
          </w:tcPr>
          <w:p w14:paraId="2A5C0B9C">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Smoking</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nil"/>
              <w:right w:val="nil"/>
            </w:tcBorders>
            <w:shd w:val="clear" w:color="auto" w:fill="FFFFFF"/>
            <w:noWrap/>
            <w:vAlign w:val="center"/>
          </w:tcPr>
          <w:p w14:paraId="55F7702F">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19 (11.6)</w:t>
            </w:r>
          </w:p>
        </w:tc>
        <w:tc>
          <w:tcPr>
            <w:tcW w:w="1873" w:type="dxa"/>
            <w:tcBorders>
              <w:top w:val="nil"/>
              <w:left w:val="nil"/>
              <w:bottom w:val="nil"/>
              <w:right w:val="nil"/>
            </w:tcBorders>
            <w:shd w:val="clear" w:color="auto" w:fill="FFFFFF"/>
            <w:noWrap/>
            <w:vAlign w:val="center"/>
          </w:tcPr>
          <w:p w14:paraId="336E35FB">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11 (9.9)</w:t>
            </w:r>
          </w:p>
        </w:tc>
        <w:tc>
          <w:tcPr>
            <w:tcW w:w="1650" w:type="dxa"/>
            <w:tcBorders>
              <w:top w:val="nil"/>
              <w:left w:val="nil"/>
              <w:bottom w:val="nil"/>
              <w:right w:val="nil"/>
            </w:tcBorders>
            <w:shd w:val="clear" w:color="auto" w:fill="FFFFFF"/>
            <w:noWrap/>
            <w:vAlign w:val="center"/>
          </w:tcPr>
          <w:p w14:paraId="50DA5A0A">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8 (15.1)</w:t>
            </w:r>
          </w:p>
        </w:tc>
        <w:tc>
          <w:tcPr>
            <w:tcW w:w="779" w:type="dxa"/>
            <w:tcBorders>
              <w:top w:val="nil"/>
              <w:left w:val="nil"/>
              <w:bottom w:val="nil"/>
              <w:right w:val="nil"/>
            </w:tcBorders>
            <w:shd w:val="clear" w:color="auto" w:fill="FFFFFF"/>
            <w:noWrap/>
            <w:vAlign w:val="center"/>
          </w:tcPr>
          <w:p w14:paraId="5B7FE30F">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0.478</w:t>
            </w:r>
          </w:p>
        </w:tc>
      </w:tr>
      <w:tr w14:paraId="27325DEC">
        <w:tblPrEx>
          <w:tblCellMar>
            <w:top w:w="0" w:type="dxa"/>
            <w:left w:w="108" w:type="dxa"/>
            <w:bottom w:w="0" w:type="dxa"/>
            <w:right w:w="108" w:type="dxa"/>
          </w:tblCellMar>
        </w:tblPrEx>
        <w:trPr>
          <w:trHeight w:val="280" w:hRule="atLeast"/>
          <w:jc w:val="center"/>
        </w:trPr>
        <w:tc>
          <w:tcPr>
            <w:tcW w:w="3270" w:type="dxa"/>
            <w:tcBorders>
              <w:top w:val="nil"/>
              <w:left w:val="nil"/>
              <w:bottom w:val="single" w:color="000000" w:sz="12" w:space="0"/>
              <w:right w:val="nil"/>
            </w:tcBorders>
            <w:shd w:val="clear" w:color="auto" w:fill="FFFFFF"/>
            <w:noWrap/>
            <w:vAlign w:val="center"/>
          </w:tcPr>
          <w:p w14:paraId="45005D6F">
            <w:pPr>
              <w:widowControl/>
              <w:spacing w:line="240" w:lineRule="auto"/>
              <w:jc w:val="both"/>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Alcohol consumption</w:t>
            </w:r>
            <w:r>
              <w:rPr>
                <w:rFonts w:hint="eastAsia" w:ascii="Times New Roman" w:hAnsi="Times New Roman" w:eastAsia="宋体" w:cs="Times New Roman"/>
                <w:color w:val="000000"/>
                <w:kern w:val="0"/>
                <w:sz w:val="20"/>
                <w:szCs w:val="20"/>
                <w:lang w:eastAsia="zh-CN" w:bidi="ar"/>
              </w:rPr>
              <w:t>,</w:t>
            </w:r>
            <w:r>
              <w:rPr>
                <w:rFonts w:hint="default" w:ascii="Times New Roman" w:hAnsi="Times New Roman" w:eastAsia="宋体" w:cs="Times New Roman"/>
                <w:color w:val="000000"/>
                <w:kern w:val="0"/>
                <w:sz w:val="20"/>
                <w:szCs w:val="20"/>
                <w:lang w:bidi="ar"/>
              </w:rPr>
              <w:t xml:space="preserve"> n(%)</w:t>
            </w:r>
          </w:p>
        </w:tc>
        <w:tc>
          <w:tcPr>
            <w:tcW w:w="1550" w:type="dxa"/>
            <w:tcBorders>
              <w:top w:val="nil"/>
              <w:left w:val="nil"/>
              <w:bottom w:val="single" w:color="000000" w:sz="12" w:space="0"/>
              <w:right w:val="nil"/>
            </w:tcBorders>
            <w:shd w:val="clear" w:color="auto" w:fill="FFFFFF"/>
            <w:noWrap/>
            <w:vAlign w:val="center"/>
          </w:tcPr>
          <w:p w14:paraId="2FF1934F">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eastAsia" w:ascii="Times New Roman" w:hAnsi="Times New Roman" w:eastAsia="宋体" w:cs="Times New Roman"/>
                <w:color w:val="000000"/>
                <w:kern w:val="0"/>
                <w:sz w:val="20"/>
                <w:szCs w:val="20"/>
                <w:lang w:val="en-US" w:eastAsia="zh-CN" w:bidi="ar"/>
              </w:rPr>
              <w:t>13 (7.9)</w:t>
            </w:r>
          </w:p>
        </w:tc>
        <w:tc>
          <w:tcPr>
            <w:tcW w:w="1873" w:type="dxa"/>
            <w:tcBorders>
              <w:top w:val="nil"/>
              <w:left w:val="nil"/>
              <w:bottom w:val="single" w:color="000000" w:sz="12" w:space="0"/>
              <w:right w:val="nil"/>
            </w:tcBorders>
            <w:shd w:val="clear" w:color="auto" w:fill="FFFFFF"/>
            <w:noWrap/>
            <w:vAlign w:val="center"/>
          </w:tcPr>
          <w:p w14:paraId="564D836B">
            <w:pPr>
              <w:widowControl/>
              <w:spacing w:line="240" w:lineRule="auto"/>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color w:val="000000"/>
                <w:kern w:val="0"/>
                <w:sz w:val="20"/>
                <w:szCs w:val="20"/>
                <w:lang w:bidi="ar"/>
              </w:rPr>
              <w:t>9 (8.1)</w:t>
            </w:r>
          </w:p>
        </w:tc>
        <w:tc>
          <w:tcPr>
            <w:tcW w:w="1650" w:type="dxa"/>
            <w:tcBorders>
              <w:top w:val="nil"/>
              <w:left w:val="nil"/>
              <w:bottom w:val="single" w:color="000000" w:sz="12" w:space="0"/>
              <w:right w:val="nil"/>
            </w:tcBorders>
            <w:shd w:val="clear" w:color="auto" w:fill="FFFFFF"/>
            <w:noWrap/>
            <w:vAlign w:val="center"/>
          </w:tcPr>
          <w:p w14:paraId="6395EE11">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4 (7.5)</w:t>
            </w:r>
          </w:p>
        </w:tc>
        <w:tc>
          <w:tcPr>
            <w:tcW w:w="779" w:type="dxa"/>
            <w:tcBorders>
              <w:top w:val="nil"/>
              <w:left w:val="nil"/>
              <w:bottom w:val="single" w:color="000000" w:sz="12" w:space="0"/>
              <w:right w:val="nil"/>
            </w:tcBorders>
            <w:shd w:val="clear" w:color="auto" w:fill="FFFFFF"/>
            <w:noWrap/>
            <w:vAlign w:val="center"/>
          </w:tcPr>
          <w:p w14:paraId="0B716CD3">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r>
              <w:rPr>
                <w:rFonts w:hint="eastAsia" w:ascii="Times New Roman" w:hAnsi="Times New Roman" w:eastAsia="宋体" w:cs="Times New Roman"/>
                <w:color w:val="000000"/>
                <w:kern w:val="0"/>
                <w:sz w:val="20"/>
                <w:szCs w:val="20"/>
                <w:lang w:val="en-US" w:eastAsia="zh-CN" w:bidi="ar"/>
              </w:rPr>
              <w:t>&gt;0.999</w:t>
            </w:r>
          </w:p>
        </w:tc>
      </w:tr>
    </w:tbl>
    <w:p w14:paraId="1454CD7A">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7F73DDC4">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1F67B08B">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72D0CB37">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004E18E7">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7593D1B6">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0FB59AC4">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3E835553">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4D28E886">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74E75FA3">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783B1C1A">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000378CF">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47F73BE6">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6D5B8759">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603A16E5">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1ED730C1">
      <w:pPr>
        <w:widowControl/>
        <w:spacing w:line="240" w:lineRule="auto"/>
        <w:jc w:val="center"/>
        <w:textAlignment w:val="center"/>
        <w:rPr>
          <w:rFonts w:hint="default" w:ascii="Times New Roman" w:hAnsi="Times New Roman" w:eastAsia="宋体" w:cs="Times New Roman"/>
          <w:color w:val="000000"/>
          <w:kern w:val="0"/>
          <w:sz w:val="20"/>
          <w:szCs w:val="20"/>
          <w:lang w:val="en-US" w:eastAsia="zh-CN" w:bidi="ar"/>
        </w:rPr>
      </w:pPr>
    </w:p>
    <w:p w14:paraId="233FDCE2">
      <w:pPr>
        <w:widowControl/>
        <w:spacing w:line="240" w:lineRule="auto"/>
        <w:jc w:val="left"/>
        <w:textAlignment w:val="cente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Abbreviation: IA, intracranial aneurysm; BMI, body mass index; aSAH, aneurysmal subarachnoid hemorrhage.</w:t>
      </w:r>
    </w:p>
    <w:p w14:paraId="085ABCBE">
      <w:pPr>
        <w:rPr>
          <w:rFonts w:hint="eastAsia" w:ascii="Times New Roman" w:hAnsi="Times New Roman" w:cs="Times New Roman"/>
          <w:sz w:val="20"/>
          <w:szCs w:val="20"/>
          <w:lang w:val="en-US" w:eastAsia="zh-CN"/>
        </w:rPr>
        <w:sectPr>
          <w:pgSz w:w="16838" w:h="11906" w:orient="landscape"/>
          <w:pgMar w:top="1800" w:right="1440" w:bottom="1800" w:left="1440" w:header="851" w:footer="992" w:gutter="0"/>
          <w:cols w:space="425" w:num="1"/>
          <w:docGrid w:type="lines" w:linePitch="312" w:charSpace="0"/>
        </w:sectPr>
      </w:pPr>
      <w:r>
        <w:rPr>
          <w:rFonts w:hint="eastAsia" w:ascii="Times New Roman" w:hAnsi="Times New Roman" w:cs="Times New Roman"/>
          <w:sz w:val="20"/>
          <w:szCs w:val="20"/>
          <w:lang w:val="en-US" w:eastAsia="zh-CN"/>
        </w:rPr>
        <w:br w:type="page"/>
      </w:r>
    </w:p>
    <w:p w14:paraId="7B8E7244">
      <w:pPr>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Table S2.</w:t>
      </w:r>
      <w:r>
        <w:rPr>
          <w:rFonts w:hint="eastAsia" w:ascii="Times New Roman" w:hAnsi="Times New Roman" w:cs="Times New Roman"/>
          <w:sz w:val="20"/>
          <w:szCs w:val="20"/>
          <w:lang w:val="en-US" w:eastAsia="zh-CN"/>
        </w:rPr>
        <w:t xml:space="preserve"> Association of high vs. low tertile fatty acid levels with intracranial aneurysm presence.</w:t>
      </w:r>
    </w:p>
    <w:tbl>
      <w:tblPr>
        <w:tblStyle w:val="5"/>
        <w:tblW w:w="62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7"/>
        <w:gridCol w:w="1761"/>
        <w:gridCol w:w="1871"/>
        <w:gridCol w:w="1188"/>
      </w:tblGrid>
      <w:tr w14:paraId="6008C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jc w:val="center"/>
        </w:trPr>
        <w:tc>
          <w:tcPr>
            <w:tcW w:w="1417" w:type="dxa"/>
            <w:tcBorders>
              <w:top w:val="single" w:color="000000" w:sz="12" w:space="0"/>
              <w:left w:val="nil"/>
              <w:bottom w:val="single" w:color="000000" w:sz="4" w:space="0"/>
              <w:right w:val="nil"/>
              <w:tl2br w:val="nil"/>
            </w:tcBorders>
            <w:shd w:val="clear" w:color="auto" w:fill="FFFFFF"/>
            <w:noWrap/>
            <w:vAlign w:val="center"/>
          </w:tcPr>
          <w:p w14:paraId="0F300F3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Erythrocyte fatty acids</w:t>
            </w:r>
          </w:p>
        </w:tc>
        <w:tc>
          <w:tcPr>
            <w:tcW w:w="1761" w:type="dxa"/>
            <w:tcBorders>
              <w:top w:val="single" w:color="000000" w:sz="12" w:space="0"/>
              <w:left w:val="nil"/>
              <w:bottom w:val="single" w:color="000000" w:sz="4" w:space="0"/>
              <w:right w:val="nil"/>
            </w:tcBorders>
            <w:shd w:val="clear" w:color="auto" w:fill="FFFFFF"/>
            <w:noWrap/>
            <w:vAlign w:val="center"/>
          </w:tcPr>
          <w:p w14:paraId="48AAABB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sz w:val="20"/>
                <w:szCs w:val="20"/>
                <w:u w:val="none"/>
              </w:rPr>
              <w:t>Unadjusted</w:t>
            </w:r>
          </w:p>
        </w:tc>
        <w:tc>
          <w:tcPr>
            <w:tcW w:w="1871" w:type="dxa"/>
            <w:tcBorders>
              <w:top w:val="single" w:color="000000" w:sz="12" w:space="0"/>
              <w:left w:val="nil"/>
              <w:bottom w:val="single" w:color="000000" w:sz="4" w:space="0"/>
              <w:right w:val="nil"/>
            </w:tcBorders>
            <w:shd w:val="clear" w:color="auto" w:fill="FFFFFF"/>
            <w:noWrap/>
            <w:vAlign w:val="center"/>
          </w:tcPr>
          <w:p w14:paraId="019D8FA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sz w:val="20"/>
                <w:szCs w:val="20"/>
                <w:u w:val="none"/>
              </w:rPr>
              <w:t>Fully adjusted</w:t>
            </w:r>
            <w:r>
              <w:rPr>
                <w:rFonts w:hint="eastAsia" w:ascii="Times New Roman" w:hAnsi="Times New Roman" w:eastAsia="宋体" w:cs="Times New Roman"/>
                <w:i w:val="0"/>
                <w:iCs w:val="0"/>
                <w:caps w:val="0"/>
                <w:color w:val="383330"/>
                <w:spacing w:val="0"/>
                <w:sz w:val="20"/>
                <w:szCs w:val="20"/>
                <w:shd w:val="clear" w:fill="FFFFFF"/>
                <w:vertAlign w:val="superscript"/>
                <w:lang w:val="en-US" w:eastAsia="zh-CN"/>
              </w:rPr>
              <w:t>a</w:t>
            </w:r>
          </w:p>
        </w:tc>
        <w:tc>
          <w:tcPr>
            <w:tcW w:w="1188" w:type="dxa"/>
            <w:tcBorders>
              <w:top w:val="single" w:color="000000" w:sz="12" w:space="0"/>
              <w:left w:val="nil"/>
              <w:bottom w:val="single" w:color="000000" w:sz="4" w:space="0"/>
              <w:right w:val="nil"/>
            </w:tcBorders>
            <w:shd w:val="clear" w:color="auto" w:fill="FFFFFF"/>
            <w:noWrap/>
            <w:vAlign w:val="center"/>
          </w:tcPr>
          <w:p w14:paraId="06E7745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w:t>
            </w:r>
          </w:p>
        </w:tc>
      </w:tr>
      <w:tr w14:paraId="10EF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0" w:type="auto"/>
            <w:tcBorders>
              <w:top w:val="single" w:color="000000" w:sz="4" w:space="0"/>
              <w:left w:val="nil"/>
              <w:bottom w:val="nil"/>
              <w:right w:val="nil"/>
            </w:tcBorders>
            <w:shd w:val="clear" w:color="auto" w:fill="FFFFFF"/>
            <w:noWrap/>
            <w:vAlign w:val="center"/>
          </w:tcPr>
          <w:p w14:paraId="7A2E6917">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SFA</w:t>
            </w:r>
          </w:p>
        </w:tc>
        <w:tc>
          <w:tcPr>
            <w:tcW w:w="1761" w:type="dxa"/>
            <w:tcBorders>
              <w:top w:val="single" w:color="000000" w:sz="4" w:space="0"/>
              <w:left w:val="nil"/>
              <w:bottom w:val="nil"/>
              <w:right w:val="nil"/>
            </w:tcBorders>
            <w:shd w:val="clear" w:color="auto" w:fill="FFFFFF"/>
            <w:noWrap/>
            <w:vAlign w:val="center"/>
          </w:tcPr>
          <w:p w14:paraId="3A894BF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5.83 (2.42–14.03)</w:t>
            </w:r>
          </w:p>
        </w:tc>
        <w:tc>
          <w:tcPr>
            <w:tcW w:w="1871" w:type="dxa"/>
            <w:tcBorders>
              <w:top w:val="single" w:color="000000" w:sz="4" w:space="0"/>
              <w:left w:val="nil"/>
              <w:bottom w:val="nil"/>
              <w:right w:val="nil"/>
            </w:tcBorders>
            <w:shd w:val="clear" w:color="auto" w:fill="FFFFFF"/>
            <w:noWrap/>
            <w:vAlign w:val="center"/>
          </w:tcPr>
          <w:p w14:paraId="31B5453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5.63 (2.19–14.44)</w:t>
            </w:r>
          </w:p>
        </w:tc>
        <w:tc>
          <w:tcPr>
            <w:tcW w:w="1188" w:type="dxa"/>
            <w:tcBorders>
              <w:top w:val="single" w:color="000000" w:sz="4" w:space="0"/>
              <w:left w:val="nil"/>
              <w:bottom w:val="nil"/>
              <w:right w:val="nil"/>
            </w:tcBorders>
            <w:shd w:val="clear" w:color="auto" w:fill="FFFFFF"/>
            <w:noWrap/>
            <w:vAlign w:val="center"/>
          </w:tcPr>
          <w:p w14:paraId="507D6BE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25BD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15197B8E">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C14:0</w:t>
            </w:r>
          </w:p>
        </w:tc>
        <w:tc>
          <w:tcPr>
            <w:tcW w:w="1761" w:type="dxa"/>
            <w:tcBorders>
              <w:top w:val="nil"/>
              <w:left w:val="nil"/>
              <w:bottom w:val="nil"/>
              <w:right w:val="nil"/>
            </w:tcBorders>
            <w:shd w:val="clear" w:color="auto" w:fill="FFFFFF"/>
            <w:noWrap/>
            <w:vAlign w:val="center"/>
          </w:tcPr>
          <w:p w14:paraId="5E19482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 (0.55–2.45)</w:t>
            </w:r>
          </w:p>
        </w:tc>
        <w:tc>
          <w:tcPr>
            <w:tcW w:w="1871" w:type="dxa"/>
            <w:tcBorders>
              <w:top w:val="nil"/>
              <w:left w:val="nil"/>
              <w:bottom w:val="nil"/>
              <w:right w:val="nil"/>
            </w:tcBorders>
            <w:shd w:val="clear" w:color="auto" w:fill="FFFFFF"/>
            <w:noWrap/>
            <w:vAlign w:val="center"/>
          </w:tcPr>
          <w:p w14:paraId="397EE5F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1.07 (0.47–2.47)</w:t>
            </w:r>
          </w:p>
        </w:tc>
        <w:tc>
          <w:tcPr>
            <w:tcW w:w="1188" w:type="dxa"/>
            <w:tcBorders>
              <w:top w:val="nil"/>
              <w:left w:val="nil"/>
              <w:bottom w:val="nil"/>
              <w:right w:val="nil"/>
            </w:tcBorders>
            <w:shd w:val="clear" w:color="auto" w:fill="FFFFFF"/>
            <w:noWrap/>
            <w:vAlign w:val="center"/>
          </w:tcPr>
          <w:p w14:paraId="0757294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0.870</w:t>
            </w:r>
          </w:p>
        </w:tc>
      </w:tr>
      <w:tr w14:paraId="30835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2E88D3EE">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C16:0</w:t>
            </w:r>
          </w:p>
        </w:tc>
        <w:tc>
          <w:tcPr>
            <w:tcW w:w="1761" w:type="dxa"/>
            <w:tcBorders>
              <w:top w:val="nil"/>
              <w:left w:val="nil"/>
              <w:bottom w:val="nil"/>
              <w:right w:val="nil"/>
            </w:tcBorders>
            <w:shd w:val="clear" w:color="auto" w:fill="FFFFFF"/>
            <w:noWrap/>
            <w:vAlign w:val="center"/>
          </w:tcPr>
          <w:p w14:paraId="0C09644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3.37 (1.53–7.43)</w:t>
            </w:r>
          </w:p>
        </w:tc>
        <w:tc>
          <w:tcPr>
            <w:tcW w:w="1871" w:type="dxa"/>
            <w:tcBorders>
              <w:top w:val="nil"/>
              <w:left w:val="nil"/>
              <w:bottom w:val="nil"/>
              <w:right w:val="nil"/>
            </w:tcBorders>
            <w:shd w:val="clear" w:color="auto" w:fill="FFFFFF"/>
            <w:noWrap/>
            <w:vAlign w:val="center"/>
          </w:tcPr>
          <w:p w14:paraId="09E576E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3.35 (1.40–8.00)</w:t>
            </w:r>
          </w:p>
        </w:tc>
        <w:tc>
          <w:tcPr>
            <w:tcW w:w="1188" w:type="dxa"/>
            <w:tcBorders>
              <w:top w:val="nil"/>
              <w:left w:val="nil"/>
              <w:bottom w:val="nil"/>
              <w:right w:val="nil"/>
            </w:tcBorders>
            <w:shd w:val="clear" w:color="auto" w:fill="FFFFFF"/>
            <w:noWrap/>
            <w:vAlign w:val="center"/>
          </w:tcPr>
          <w:p w14:paraId="3CE80AA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0.006</w:t>
            </w:r>
          </w:p>
        </w:tc>
      </w:tr>
      <w:tr w14:paraId="60AB0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588151D6">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C18:0</w:t>
            </w:r>
          </w:p>
        </w:tc>
        <w:tc>
          <w:tcPr>
            <w:tcW w:w="1761" w:type="dxa"/>
            <w:tcBorders>
              <w:top w:val="nil"/>
              <w:left w:val="nil"/>
              <w:bottom w:val="nil"/>
              <w:right w:val="nil"/>
            </w:tcBorders>
            <w:shd w:val="clear" w:color="auto" w:fill="FFFFFF"/>
            <w:noWrap/>
            <w:vAlign w:val="center"/>
          </w:tcPr>
          <w:p w14:paraId="6719109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3.99 (1.73–9.19)</w:t>
            </w:r>
          </w:p>
        </w:tc>
        <w:tc>
          <w:tcPr>
            <w:tcW w:w="1871" w:type="dxa"/>
            <w:tcBorders>
              <w:top w:val="nil"/>
              <w:left w:val="nil"/>
              <w:bottom w:val="nil"/>
              <w:right w:val="nil"/>
            </w:tcBorders>
            <w:shd w:val="clear" w:color="auto" w:fill="FFFFFF"/>
            <w:noWrap/>
            <w:vAlign w:val="center"/>
          </w:tcPr>
          <w:p w14:paraId="4C82B6D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4.24 (1.73–10.40)</w:t>
            </w:r>
          </w:p>
        </w:tc>
        <w:tc>
          <w:tcPr>
            <w:tcW w:w="1188" w:type="dxa"/>
            <w:tcBorders>
              <w:top w:val="nil"/>
              <w:left w:val="nil"/>
              <w:bottom w:val="nil"/>
              <w:right w:val="nil"/>
            </w:tcBorders>
            <w:shd w:val="clear" w:color="auto" w:fill="FFFFFF"/>
            <w:noWrap/>
            <w:vAlign w:val="center"/>
          </w:tcPr>
          <w:p w14:paraId="64B0420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0.002</w:t>
            </w:r>
          </w:p>
        </w:tc>
      </w:tr>
      <w:tr w14:paraId="18D0F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50EED46C">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C20:0</w:t>
            </w:r>
          </w:p>
        </w:tc>
        <w:tc>
          <w:tcPr>
            <w:tcW w:w="1761" w:type="dxa"/>
            <w:tcBorders>
              <w:top w:val="nil"/>
              <w:left w:val="nil"/>
              <w:bottom w:val="nil"/>
              <w:right w:val="nil"/>
            </w:tcBorders>
            <w:shd w:val="clear" w:color="auto" w:fill="FFFFFF"/>
            <w:noWrap/>
            <w:vAlign w:val="center"/>
          </w:tcPr>
          <w:p w14:paraId="3F6D48F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2.50 (1.14–5.46)</w:t>
            </w:r>
          </w:p>
        </w:tc>
        <w:tc>
          <w:tcPr>
            <w:tcW w:w="1871" w:type="dxa"/>
            <w:tcBorders>
              <w:top w:val="nil"/>
              <w:left w:val="nil"/>
              <w:bottom w:val="nil"/>
              <w:right w:val="nil"/>
            </w:tcBorders>
            <w:shd w:val="clear" w:color="auto" w:fill="FFFFFF"/>
            <w:noWrap/>
            <w:vAlign w:val="center"/>
          </w:tcPr>
          <w:p w14:paraId="79FFAF0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2.29 (0.98–5.37)</w:t>
            </w:r>
          </w:p>
        </w:tc>
        <w:tc>
          <w:tcPr>
            <w:tcW w:w="1188" w:type="dxa"/>
            <w:tcBorders>
              <w:top w:val="nil"/>
              <w:left w:val="nil"/>
              <w:bottom w:val="nil"/>
              <w:right w:val="nil"/>
            </w:tcBorders>
            <w:shd w:val="clear" w:color="auto" w:fill="FFFFFF"/>
            <w:noWrap/>
            <w:vAlign w:val="center"/>
          </w:tcPr>
          <w:p w14:paraId="7380D54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0.056</w:t>
            </w:r>
          </w:p>
        </w:tc>
      </w:tr>
      <w:tr w14:paraId="3AB8B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534A5F24">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C22:0</w:t>
            </w:r>
          </w:p>
        </w:tc>
        <w:tc>
          <w:tcPr>
            <w:tcW w:w="1761" w:type="dxa"/>
            <w:tcBorders>
              <w:top w:val="nil"/>
              <w:left w:val="nil"/>
              <w:bottom w:val="nil"/>
              <w:right w:val="nil"/>
            </w:tcBorders>
            <w:shd w:val="clear" w:color="auto" w:fill="FFFFFF"/>
            <w:noWrap/>
            <w:vAlign w:val="center"/>
          </w:tcPr>
          <w:p w14:paraId="0D7913B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3.11 (1.37–7.07)</w:t>
            </w:r>
          </w:p>
        </w:tc>
        <w:tc>
          <w:tcPr>
            <w:tcW w:w="1871" w:type="dxa"/>
            <w:tcBorders>
              <w:top w:val="nil"/>
              <w:left w:val="nil"/>
              <w:bottom w:val="nil"/>
              <w:right w:val="nil"/>
            </w:tcBorders>
            <w:shd w:val="clear" w:color="auto" w:fill="FFFFFF"/>
            <w:noWrap/>
            <w:vAlign w:val="center"/>
          </w:tcPr>
          <w:p w14:paraId="0E9E56E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3.25 (1.34–7.86)</w:t>
            </w:r>
          </w:p>
        </w:tc>
        <w:tc>
          <w:tcPr>
            <w:tcW w:w="1188" w:type="dxa"/>
            <w:tcBorders>
              <w:top w:val="nil"/>
              <w:left w:val="nil"/>
              <w:bottom w:val="nil"/>
              <w:right w:val="nil"/>
            </w:tcBorders>
            <w:shd w:val="clear" w:color="auto" w:fill="FFFFFF"/>
            <w:noWrap/>
            <w:vAlign w:val="center"/>
          </w:tcPr>
          <w:p w14:paraId="5655A43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0.009</w:t>
            </w:r>
          </w:p>
        </w:tc>
      </w:tr>
      <w:tr w14:paraId="2372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70FD6376">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C24:0</w:t>
            </w:r>
          </w:p>
        </w:tc>
        <w:tc>
          <w:tcPr>
            <w:tcW w:w="1761" w:type="dxa"/>
            <w:tcBorders>
              <w:top w:val="nil"/>
              <w:left w:val="nil"/>
              <w:bottom w:val="nil"/>
              <w:right w:val="nil"/>
            </w:tcBorders>
            <w:shd w:val="clear" w:color="auto" w:fill="FFFFFF"/>
            <w:noWrap/>
            <w:vAlign w:val="center"/>
          </w:tcPr>
          <w:p w14:paraId="2A9728E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2.07 (0.93–4.59)</w:t>
            </w:r>
          </w:p>
        </w:tc>
        <w:tc>
          <w:tcPr>
            <w:tcW w:w="1871" w:type="dxa"/>
            <w:tcBorders>
              <w:top w:val="nil"/>
              <w:left w:val="nil"/>
              <w:bottom w:val="nil"/>
              <w:right w:val="nil"/>
            </w:tcBorders>
            <w:shd w:val="clear" w:color="auto" w:fill="FFFFFF"/>
            <w:noWrap/>
            <w:vAlign w:val="center"/>
          </w:tcPr>
          <w:p w14:paraId="12E3FF7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2.06 (0.86–4.93)</w:t>
            </w:r>
          </w:p>
        </w:tc>
        <w:tc>
          <w:tcPr>
            <w:tcW w:w="1188" w:type="dxa"/>
            <w:tcBorders>
              <w:top w:val="nil"/>
              <w:left w:val="nil"/>
              <w:bottom w:val="nil"/>
              <w:right w:val="nil"/>
            </w:tcBorders>
            <w:shd w:val="clear" w:color="auto" w:fill="FFFFFF"/>
            <w:noWrap/>
            <w:vAlign w:val="center"/>
          </w:tcPr>
          <w:p w14:paraId="47C0377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0.103</w:t>
            </w:r>
          </w:p>
        </w:tc>
      </w:tr>
      <w:tr w14:paraId="44794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1227D31A">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MUFA</w:t>
            </w:r>
          </w:p>
        </w:tc>
        <w:tc>
          <w:tcPr>
            <w:tcW w:w="1761" w:type="dxa"/>
            <w:tcBorders>
              <w:top w:val="nil"/>
              <w:left w:val="nil"/>
              <w:bottom w:val="nil"/>
              <w:right w:val="nil"/>
            </w:tcBorders>
            <w:shd w:val="clear" w:color="auto" w:fill="FFFFFF"/>
            <w:noWrap/>
            <w:vAlign w:val="center"/>
          </w:tcPr>
          <w:p w14:paraId="41401BA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6.70 (2.78–16.14)</w:t>
            </w:r>
          </w:p>
        </w:tc>
        <w:tc>
          <w:tcPr>
            <w:tcW w:w="1871" w:type="dxa"/>
            <w:tcBorders>
              <w:top w:val="nil"/>
              <w:left w:val="nil"/>
              <w:bottom w:val="nil"/>
              <w:right w:val="nil"/>
            </w:tcBorders>
            <w:shd w:val="clear" w:color="auto" w:fill="FFFFFF"/>
            <w:noWrap/>
            <w:vAlign w:val="center"/>
          </w:tcPr>
          <w:p w14:paraId="6808351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10.07 (3.72–27.26)</w:t>
            </w:r>
          </w:p>
        </w:tc>
        <w:tc>
          <w:tcPr>
            <w:tcW w:w="1188" w:type="dxa"/>
            <w:tcBorders>
              <w:top w:val="nil"/>
              <w:left w:val="nil"/>
              <w:bottom w:val="nil"/>
              <w:right w:val="nil"/>
            </w:tcBorders>
            <w:shd w:val="clear" w:color="auto" w:fill="FFFFFF"/>
            <w:noWrap/>
            <w:vAlign w:val="center"/>
          </w:tcPr>
          <w:p w14:paraId="18551C5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483DB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4E94784E">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w:t>
            </w:r>
          </w:p>
        </w:tc>
        <w:tc>
          <w:tcPr>
            <w:tcW w:w="1761" w:type="dxa"/>
            <w:tcBorders>
              <w:top w:val="nil"/>
              <w:left w:val="nil"/>
              <w:bottom w:val="nil"/>
              <w:right w:val="nil"/>
            </w:tcBorders>
            <w:shd w:val="clear" w:color="auto" w:fill="FFFFFF"/>
            <w:noWrap/>
            <w:vAlign w:val="center"/>
          </w:tcPr>
          <w:p w14:paraId="0B2BC08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1.47 (0.68–3.2</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871" w:type="dxa"/>
            <w:tcBorders>
              <w:top w:val="nil"/>
              <w:left w:val="nil"/>
              <w:bottom w:val="nil"/>
              <w:right w:val="nil"/>
            </w:tcBorders>
            <w:shd w:val="clear" w:color="auto" w:fill="FFFFFF"/>
            <w:noWrap/>
            <w:vAlign w:val="center"/>
          </w:tcPr>
          <w:p w14:paraId="051D827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1.55 (0.67–3.56)</w:t>
            </w:r>
          </w:p>
        </w:tc>
        <w:tc>
          <w:tcPr>
            <w:tcW w:w="1188" w:type="dxa"/>
            <w:tcBorders>
              <w:top w:val="nil"/>
              <w:left w:val="nil"/>
              <w:bottom w:val="nil"/>
              <w:right w:val="nil"/>
            </w:tcBorders>
            <w:shd w:val="clear" w:color="auto" w:fill="FFFFFF"/>
            <w:noWrap/>
            <w:vAlign w:val="center"/>
          </w:tcPr>
          <w:p w14:paraId="12B090A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0.305</w:t>
            </w:r>
          </w:p>
        </w:tc>
      </w:tr>
      <w:tr w14:paraId="13FD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3C1E0312">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w:t>
            </w:r>
          </w:p>
        </w:tc>
        <w:tc>
          <w:tcPr>
            <w:tcW w:w="1761" w:type="dxa"/>
            <w:tcBorders>
              <w:top w:val="nil"/>
              <w:left w:val="nil"/>
              <w:bottom w:val="nil"/>
              <w:right w:val="nil"/>
            </w:tcBorders>
            <w:shd w:val="clear" w:color="auto" w:fill="FFFFFF"/>
            <w:noWrap/>
            <w:vAlign w:val="center"/>
          </w:tcPr>
          <w:p w14:paraId="69A8228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3.23 (1.45–7.22)</w:t>
            </w:r>
          </w:p>
        </w:tc>
        <w:tc>
          <w:tcPr>
            <w:tcW w:w="1871" w:type="dxa"/>
            <w:tcBorders>
              <w:top w:val="nil"/>
              <w:left w:val="nil"/>
              <w:bottom w:val="nil"/>
              <w:right w:val="nil"/>
            </w:tcBorders>
            <w:shd w:val="clear" w:color="auto" w:fill="FFFFFF"/>
            <w:noWrap/>
            <w:vAlign w:val="center"/>
          </w:tcPr>
          <w:p w14:paraId="4359C8C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4.52 (1.83–11.13)</w:t>
            </w:r>
          </w:p>
        </w:tc>
        <w:tc>
          <w:tcPr>
            <w:tcW w:w="1188" w:type="dxa"/>
            <w:tcBorders>
              <w:top w:val="nil"/>
              <w:left w:val="nil"/>
              <w:bottom w:val="nil"/>
              <w:right w:val="nil"/>
            </w:tcBorders>
            <w:shd w:val="clear" w:color="auto" w:fill="FFFFFF"/>
            <w:noWrap/>
            <w:vAlign w:val="center"/>
          </w:tcPr>
          <w:p w14:paraId="3B77DEF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0.001</w:t>
            </w:r>
          </w:p>
        </w:tc>
      </w:tr>
      <w:tr w14:paraId="11A8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156BB5A7">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C20:1</w:t>
            </w:r>
          </w:p>
        </w:tc>
        <w:tc>
          <w:tcPr>
            <w:tcW w:w="1761" w:type="dxa"/>
            <w:tcBorders>
              <w:top w:val="nil"/>
              <w:left w:val="nil"/>
              <w:bottom w:val="nil"/>
              <w:right w:val="nil"/>
            </w:tcBorders>
            <w:shd w:val="clear" w:color="auto" w:fill="FFFFFF"/>
            <w:noWrap/>
            <w:vAlign w:val="center"/>
          </w:tcPr>
          <w:p w14:paraId="36C3894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3.46 (1.55–7.73)</w:t>
            </w:r>
          </w:p>
        </w:tc>
        <w:tc>
          <w:tcPr>
            <w:tcW w:w="1871" w:type="dxa"/>
            <w:tcBorders>
              <w:top w:val="nil"/>
              <w:left w:val="nil"/>
              <w:bottom w:val="nil"/>
              <w:right w:val="nil"/>
            </w:tcBorders>
            <w:shd w:val="clear" w:color="auto" w:fill="FFFFFF"/>
            <w:noWrap/>
            <w:vAlign w:val="center"/>
          </w:tcPr>
          <w:p w14:paraId="6F0DF0F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4.84 (1.97–11.89)</w:t>
            </w:r>
          </w:p>
        </w:tc>
        <w:tc>
          <w:tcPr>
            <w:tcW w:w="1188" w:type="dxa"/>
            <w:tcBorders>
              <w:top w:val="nil"/>
              <w:left w:val="nil"/>
              <w:bottom w:val="nil"/>
              <w:right w:val="nil"/>
            </w:tcBorders>
            <w:shd w:val="clear" w:color="auto" w:fill="FFFFFF"/>
            <w:noWrap/>
            <w:vAlign w:val="center"/>
          </w:tcPr>
          <w:p w14:paraId="557C47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737D1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24D34A37">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C24:1</w:t>
            </w:r>
          </w:p>
        </w:tc>
        <w:tc>
          <w:tcPr>
            <w:tcW w:w="1761" w:type="dxa"/>
            <w:tcBorders>
              <w:top w:val="nil"/>
              <w:left w:val="nil"/>
              <w:bottom w:val="nil"/>
              <w:right w:val="nil"/>
            </w:tcBorders>
            <w:shd w:val="clear" w:color="auto" w:fill="FFFFFF"/>
            <w:noWrap/>
            <w:vAlign w:val="center"/>
          </w:tcPr>
          <w:p w14:paraId="26E4F53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3.11 (1.37–7.07)</w:t>
            </w:r>
          </w:p>
        </w:tc>
        <w:tc>
          <w:tcPr>
            <w:tcW w:w="1871" w:type="dxa"/>
            <w:tcBorders>
              <w:top w:val="nil"/>
              <w:left w:val="nil"/>
              <w:bottom w:val="nil"/>
              <w:right w:val="nil"/>
            </w:tcBorders>
            <w:shd w:val="clear" w:color="auto" w:fill="FFFFFF"/>
            <w:noWrap/>
            <w:vAlign w:val="center"/>
          </w:tcPr>
          <w:p w14:paraId="71F854B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3.05 (1.27–7.33)</w:t>
            </w:r>
          </w:p>
        </w:tc>
        <w:tc>
          <w:tcPr>
            <w:tcW w:w="1188" w:type="dxa"/>
            <w:tcBorders>
              <w:top w:val="nil"/>
              <w:left w:val="nil"/>
              <w:bottom w:val="nil"/>
              <w:right w:val="nil"/>
            </w:tcBorders>
            <w:shd w:val="clear" w:color="auto" w:fill="FFFFFF"/>
            <w:noWrap/>
            <w:vAlign w:val="center"/>
          </w:tcPr>
          <w:p w14:paraId="212E8DA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0.013</w:t>
            </w:r>
          </w:p>
        </w:tc>
      </w:tr>
      <w:tr w14:paraId="1DA71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5F02D878">
            <w:pPr>
              <w:keepNext w:val="0"/>
              <w:keepLines w:val="0"/>
              <w:widowControl/>
              <w:suppressLineNumbers w:val="0"/>
              <w:jc w:val="left"/>
              <w:textAlignment w:val="center"/>
              <w:rPr>
                <w:rFonts w:hint="default" w:ascii="Times New Roman" w:hAnsi="Times New Roman" w:eastAsia="宋体" w:cs="Times New Roman"/>
                <w:b/>
                <w:bCs w:val="0"/>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PUFA</w:t>
            </w:r>
          </w:p>
        </w:tc>
        <w:tc>
          <w:tcPr>
            <w:tcW w:w="1761" w:type="dxa"/>
            <w:tcBorders>
              <w:top w:val="nil"/>
              <w:left w:val="nil"/>
              <w:bottom w:val="nil"/>
              <w:right w:val="nil"/>
            </w:tcBorders>
            <w:shd w:val="clear" w:color="auto" w:fill="FFFFFF"/>
            <w:noWrap/>
            <w:vAlign w:val="center"/>
          </w:tcPr>
          <w:p w14:paraId="7367B65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4.57 (2.04–10.24)</w:t>
            </w:r>
          </w:p>
        </w:tc>
        <w:tc>
          <w:tcPr>
            <w:tcW w:w="1871" w:type="dxa"/>
            <w:tcBorders>
              <w:top w:val="nil"/>
              <w:left w:val="nil"/>
              <w:bottom w:val="nil"/>
              <w:right w:val="nil"/>
            </w:tcBorders>
            <w:shd w:val="clear" w:color="auto" w:fill="FFFFFF"/>
            <w:noWrap/>
            <w:vAlign w:val="center"/>
          </w:tcPr>
          <w:p w14:paraId="44EB43E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5.02 (1.97–12.75)</w:t>
            </w:r>
          </w:p>
        </w:tc>
        <w:tc>
          <w:tcPr>
            <w:tcW w:w="1188" w:type="dxa"/>
            <w:tcBorders>
              <w:top w:val="nil"/>
              <w:left w:val="nil"/>
              <w:bottom w:val="nil"/>
              <w:right w:val="nil"/>
            </w:tcBorders>
            <w:shd w:val="clear" w:color="auto" w:fill="FFFFFF"/>
            <w:noWrap/>
            <w:vAlign w:val="center"/>
          </w:tcPr>
          <w:p w14:paraId="6C164A7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2BB2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004178CA">
            <w:pPr>
              <w:keepNext w:val="0"/>
              <w:keepLines w:val="0"/>
              <w:widowControl/>
              <w:suppressLineNumbers w:val="0"/>
              <w:jc w:val="left"/>
              <w:textAlignment w:val="center"/>
              <w:rPr>
                <w:rFonts w:hint="default" w:ascii="Times New Roman" w:hAnsi="Times New Roman" w:eastAsia="宋体" w:cs="Times New Roman"/>
                <w:b/>
                <w:bCs w:val="0"/>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n-6 PUFA</w:t>
            </w:r>
          </w:p>
        </w:tc>
        <w:tc>
          <w:tcPr>
            <w:tcW w:w="1761" w:type="dxa"/>
            <w:tcBorders>
              <w:top w:val="nil"/>
              <w:left w:val="nil"/>
              <w:bottom w:val="nil"/>
              <w:right w:val="nil"/>
            </w:tcBorders>
            <w:shd w:val="clear" w:color="auto" w:fill="FFFFFF"/>
            <w:noWrap/>
            <w:vAlign w:val="center"/>
          </w:tcPr>
          <w:p w14:paraId="4032D98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8.25 (3.32–20.48)</w:t>
            </w:r>
          </w:p>
        </w:tc>
        <w:tc>
          <w:tcPr>
            <w:tcW w:w="1871" w:type="dxa"/>
            <w:tcBorders>
              <w:top w:val="nil"/>
              <w:left w:val="nil"/>
              <w:bottom w:val="nil"/>
              <w:right w:val="nil"/>
            </w:tcBorders>
            <w:shd w:val="clear" w:color="auto" w:fill="FFFFFF"/>
            <w:noWrap/>
            <w:vAlign w:val="center"/>
          </w:tcPr>
          <w:p w14:paraId="156A228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9.59 (3.37–27.3)</w:t>
            </w:r>
          </w:p>
        </w:tc>
        <w:tc>
          <w:tcPr>
            <w:tcW w:w="1188" w:type="dxa"/>
            <w:tcBorders>
              <w:top w:val="nil"/>
              <w:left w:val="nil"/>
              <w:bottom w:val="nil"/>
              <w:right w:val="nil"/>
            </w:tcBorders>
            <w:shd w:val="clear" w:color="auto" w:fill="FFFFFF"/>
            <w:noWrap/>
            <w:vAlign w:val="center"/>
          </w:tcPr>
          <w:p w14:paraId="37A4A16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07056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4754CA68">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C18:2 n-6</w:t>
            </w:r>
          </w:p>
        </w:tc>
        <w:tc>
          <w:tcPr>
            <w:tcW w:w="1761" w:type="dxa"/>
            <w:tcBorders>
              <w:top w:val="nil"/>
              <w:left w:val="nil"/>
              <w:bottom w:val="nil"/>
              <w:right w:val="nil"/>
            </w:tcBorders>
            <w:shd w:val="clear" w:color="auto" w:fill="FFFFFF"/>
            <w:noWrap/>
            <w:vAlign w:val="center"/>
          </w:tcPr>
          <w:p w14:paraId="19DAC96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1.96 (0.91–4.22)</w:t>
            </w:r>
          </w:p>
        </w:tc>
        <w:tc>
          <w:tcPr>
            <w:tcW w:w="1871" w:type="dxa"/>
            <w:tcBorders>
              <w:top w:val="nil"/>
              <w:left w:val="nil"/>
              <w:bottom w:val="nil"/>
              <w:right w:val="nil"/>
            </w:tcBorders>
            <w:shd w:val="clear" w:color="auto" w:fill="FFFFFF"/>
            <w:noWrap/>
            <w:vAlign w:val="center"/>
          </w:tcPr>
          <w:p w14:paraId="7924552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2.33 (0.97–5.60)</w:t>
            </w:r>
          </w:p>
        </w:tc>
        <w:tc>
          <w:tcPr>
            <w:tcW w:w="1188" w:type="dxa"/>
            <w:tcBorders>
              <w:top w:val="nil"/>
              <w:left w:val="nil"/>
              <w:bottom w:val="nil"/>
              <w:right w:val="nil"/>
            </w:tcBorders>
            <w:shd w:val="clear" w:color="auto" w:fill="FFFFFF"/>
            <w:noWrap/>
            <w:vAlign w:val="center"/>
          </w:tcPr>
          <w:p w14:paraId="361CE84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0.058</w:t>
            </w:r>
          </w:p>
        </w:tc>
      </w:tr>
      <w:tr w14:paraId="6B3AA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34D8DAD9">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n-6</w:t>
            </w:r>
          </w:p>
        </w:tc>
        <w:tc>
          <w:tcPr>
            <w:tcW w:w="1761" w:type="dxa"/>
            <w:tcBorders>
              <w:top w:val="nil"/>
              <w:left w:val="nil"/>
              <w:bottom w:val="nil"/>
              <w:right w:val="nil"/>
            </w:tcBorders>
            <w:shd w:val="clear" w:color="auto" w:fill="FFFFFF"/>
            <w:noWrap/>
            <w:vAlign w:val="center"/>
          </w:tcPr>
          <w:p w14:paraId="5EA4BB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3.23 (1.45–7.22)</w:t>
            </w:r>
          </w:p>
        </w:tc>
        <w:tc>
          <w:tcPr>
            <w:tcW w:w="1871" w:type="dxa"/>
            <w:tcBorders>
              <w:top w:val="nil"/>
              <w:left w:val="nil"/>
              <w:bottom w:val="nil"/>
              <w:right w:val="nil"/>
            </w:tcBorders>
            <w:shd w:val="clear" w:color="auto" w:fill="FFFFFF"/>
            <w:noWrap/>
            <w:vAlign w:val="center"/>
          </w:tcPr>
          <w:p w14:paraId="4E6C935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3.48 (1.43–8.47)</w:t>
            </w:r>
          </w:p>
        </w:tc>
        <w:tc>
          <w:tcPr>
            <w:tcW w:w="1188" w:type="dxa"/>
            <w:tcBorders>
              <w:top w:val="nil"/>
              <w:left w:val="nil"/>
              <w:bottom w:val="nil"/>
              <w:right w:val="nil"/>
            </w:tcBorders>
            <w:shd w:val="clear" w:color="auto" w:fill="FFFFFF"/>
            <w:noWrap/>
            <w:vAlign w:val="center"/>
          </w:tcPr>
          <w:p w14:paraId="69E11E7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0.006</w:t>
            </w:r>
          </w:p>
        </w:tc>
      </w:tr>
      <w:tr w14:paraId="1AA3A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60A1959D">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C20:2 n-6</w:t>
            </w:r>
          </w:p>
        </w:tc>
        <w:tc>
          <w:tcPr>
            <w:tcW w:w="1761" w:type="dxa"/>
            <w:tcBorders>
              <w:top w:val="nil"/>
              <w:left w:val="nil"/>
              <w:bottom w:val="nil"/>
              <w:right w:val="nil"/>
            </w:tcBorders>
            <w:shd w:val="clear" w:color="auto" w:fill="FFFFFF"/>
            <w:noWrap/>
            <w:vAlign w:val="center"/>
          </w:tcPr>
          <w:p w14:paraId="2514D7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8.91 (3.67–21.63)</w:t>
            </w:r>
          </w:p>
        </w:tc>
        <w:tc>
          <w:tcPr>
            <w:tcW w:w="1871" w:type="dxa"/>
            <w:tcBorders>
              <w:top w:val="nil"/>
              <w:left w:val="nil"/>
              <w:bottom w:val="nil"/>
              <w:right w:val="nil"/>
            </w:tcBorders>
            <w:shd w:val="clear" w:color="auto" w:fill="FFFFFF"/>
            <w:noWrap/>
            <w:vAlign w:val="center"/>
          </w:tcPr>
          <w:p w14:paraId="540D740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10.29 (3.86–27.44)</w:t>
            </w:r>
          </w:p>
        </w:tc>
        <w:tc>
          <w:tcPr>
            <w:tcW w:w="1188" w:type="dxa"/>
            <w:tcBorders>
              <w:top w:val="nil"/>
              <w:left w:val="nil"/>
              <w:bottom w:val="nil"/>
              <w:right w:val="nil"/>
            </w:tcBorders>
            <w:shd w:val="clear" w:color="auto" w:fill="FFFFFF"/>
            <w:noWrap/>
            <w:vAlign w:val="center"/>
          </w:tcPr>
          <w:p w14:paraId="726871C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4B83B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21FA159C">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C20:3 n-6</w:t>
            </w:r>
          </w:p>
        </w:tc>
        <w:tc>
          <w:tcPr>
            <w:tcW w:w="1761" w:type="dxa"/>
            <w:tcBorders>
              <w:top w:val="nil"/>
              <w:left w:val="nil"/>
              <w:bottom w:val="nil"/>
              <w:right w:val="nil"/>
            </w:tcBorders>
            <w:shd w:val="clear" w:color="auto" w:fill="FFFFFF"/>
            <w:noWrap/>
            <w:vAlign w:val="center"/>
          </w:tcPr>
          <w:p w14:paraId="5FD85E6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10.32 (4</w:t>
            </w:r>
            <w:r>
              <w:rPr>
                <w:rFonts w:hint="eastAsia" w:ascii="Times New Roman" w:hAnsi="Times New Roman" w:eastAsia="宋体" w:cs="Times New Roman"/>
                <w:i w:val="0"/>
                <w:iCs w:val="0"/>
                <w:color w:val="000000"/>
                <w:kern w:val="0"/>
                <w:sz w:val="20"/>
                <w:szCs w:val="20"/>
                <w:u w:val="none"/>
                <w:lang w:val="en-US" w:eastAsia="zh-CN" w:bidi="ar"/>
              </w:rPr>
              <w:t>.00</w:t>
            </w:r>
            <w:r>
              <w:rPr>
                <w:rFonts w:hint="default" w:ascii="Times New Roman" w:hAnsi="Times New Roman" w:eastAsia="宋体" w:cs="Times New Roman"/>
                <w:i w:val="0"/>
                <w:iCs w:val="0"/>
                <w:color w:val="000000"/>
                <w:kern w:val="0"/>
                <w:sz w:val="20"/>
                <w:szCs w:val="20"/>
                <w:u w:val="none"/>
                <w:lang w:val="en-US" w:eastAsia="zh-CN" w:bidi="ar"/>
              </w:rPr>
              <w:t>–26.61)</w:t>
            </w:r>
          </w:p>
        </w:tc>
        <w:tc>
          <w:tcPr>
            <w:tcW w:w="1871" w:type="dxa"/>
            <w:tcBorders>
              <w:top w:val="nil"/>
              <w:left w:val="nil"/>
              <w:bottom w:val="nil"/>
              <w:right w:val="nil"/>
            </w:tcBorders>
            <w:shd w:val="clear" w:color="auto" w:fill="FFFFFF"/>
            <w:noWrap/>
            <w:vAlign w:val="center"/>
          </w:tcPr>
          <w:p w14:paraId="0F9DE71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12.78 (4.43–36.84)</w:t>
            </w:r>
          </w:p>
        </w:tc>
        <w:tc>
          <w:tcPr>
            <w:tcW w:w="1188" w:type="dxa"/>
            <w:tcBorders>
              <w:top w:val="nil"/>
              <w:left w:val="nil"/>
              <w:bottom w:val="nil"/>
              <w:right w:val="nil"/>
            </w:tcBorders>
            <w:shd w:val="clear" w:color="auto" w:fill="FFFFFF"/>
            <w:noWrap/>
            <w:vAlign w:val="center"/>
          </w:tcPr>
          <w:p w14:paraId="3BE9BF3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5A57C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41B59C92">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C20:4 n-6</w:t>
            </w:r>
          </w:p>
        </w:tc>
        <w:tc>
          <w:tcPr>
            <w:tcW w:w="1761" w:type="dxa"/>
            <w:tcBorders>
              <w:top w:val="nil"/>
              <w:left w:val="nil"/>
              <w:bottom w:val="nil"/>
              <w:right w:val="nil"/>
            </w:tcBorders>
            <w:shd w:val="clear" w:color="auto" w:fill="FFFFFF"/>
            <w:noWrap/>
            <w:vAlign w:val="center"/>
          </w:tcPr>
          <w:p w14:paraId="58A7A69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4.91 (2.13–11.31)</w:t>
            </w:r>
          </w:p>
        </w:tc>
        <w:tc>
          <w:tcPr>
            <w:tcW w:w="1871" w:type="dxa"/>
            <w:tcBorders>
              <w:top w:val="nil"/>
              <w:left w:val="nil"/>
              <w:bottom w:val="nil"/>
              <w:right w:val="nil"/>
            </w:tcBorders>
            <w:shd w:val="clear" w:color="auto" w:fill="FFFFFF"/>
            <w:noWrap/>
            <w:vAlign w:val="center"/>
          </w:tcPr>
          <w:p w14:paraId="3C59A03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4.54 (1.84–11.22)</w:t>
            </w:r>
          </w:p>
        </w:tc>
        <w:tc>
          <w:tcPr>
            <w:tcW w:w="1188" w:type="dxa"/>
            <w:tcBorders>
              <w:top w:val="nil"/>
              <w:left w:val="nil"/>
              <w:bottom w:val="nil"/>
              <w:right w:val="nil"/>
            </w:tcBorders>
            <w:shd w:val="clear" w:color="auto" w:fill="FFFFFF"/>
            <w:noWrap/>
            <w:vAlign w:val="center"/>
          </w:tcPr>
          <w:p w14:paraId="1C035FE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0.001</w:t>
            </w:r>
          </w:p>
        </w:tc>
      </w:tr>
      <w:tr w14:paraId="140DB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7B603F30">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C22:4 n-6</w:t>
            </w:r>
          </w:p>
        </w:tc>
        <w:tc>
          <w:tcPr>
            <w:tcW w:w="1761" w:type="dxa"/>
            <w:tcBorders>
              <w:top w:val="nil"/>
              <w:left w:val="nil"/>
              <w:bottom w:val="nil"/>
              <w:right w:val="nil"/>
            </w:tcBorders>
            <w:shd w:val="clear" w:color="auto" w:fill="FFFFFF"/>
            <w:noWrap/>
            <w:vAlign w:val="center"/>
          </w:tcPr>
          <w:p w14:paraId="45E5E65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4.57 (2.04–10.24)</w:t>
            </w:r>
          </w:p>
        </w:tc>
        <w:tc>
          <w:tcPr>
            <w:tcW w:w="1871" w:type="dxa"/>
            <w:tcBorders>
              <w:top w:val="nil"/>
              <w:left w:val="nil"/>
              <w:bottom w:val="nil"/>
              <w:right w:val="nil"/>
            </w:tcBorders>
            <w:shd w:val="clear" w:color="auto" w:fill="FFFFFF"/>
            <w:noWrap/>
            <w:vAlign w:val="center"/>
          </w:tcPr>
          <w:p w14:paraId="4AA8F5E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3.84 (1.56–9.46)</w:t>
            </w:r>
          </w:p>
        </w:tc>
        <w:tc>
          <w:tcPr>
            <w:tcW w:w="1188" w:type="dxa"/>
            <w:tcBorders>
              <w:top w:val="nil"/>
              <w:left w:val="nil"/>
              <w:bottom w:val="nil"/>
              <w:right w:val="nil"/>
            </w:tcBorders>
            <w:shd w:val="clear" w:color="auto" w:fill="FFFFFF"/>
            <w:noWrap/>
            <w:vAlign w:val="center"/>
          </w:tcPr>
          <w:p w14:paraId="7B24EC5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0.003</w:t>
            </w:r>
          </w:p>
        </w:tc>
      </w:tr>
      <w:tr w14:paraId="08F5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7D4181C1">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C22:5 n-6</w:t>
            </w:r>
          </w:p>
        </w:tc>
        <w:tc>
          <w:tcPr>
            <w:tcW w:w="1761" w:type="dxa"/>
            <w:tcBorders>
              <w:top w:val="nil"/>
              <w:left w:val="nil"/>
              <w:bottom w:val="nil"/>
              <w:right w:val="nil"/>
            </w:tcBorders>
            <w:shd w:val="clear" w:color="auto" w:fill="FFFFFF"/>
            <w:noWrap/>
            <w:vAlign w:val="center"/>
          </w:tcPr>
          <w:p w14:paraId="284E1FB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1.70 (0.79–3.68)</w:t>
            </w:r>
          </w:p>
        </w:tc>
        <w:tc>
          <w:tcPr>
            <w:tcW w:w="1871" w:type="dxa"/>
            <w:tcBorders>
              <w:top w:val="nil"/>
              <w:left w:val="nil"/>
              <w:bottom w:val="nil"/>
              <w:right w:val="nil"/>
            </w:tcBorders>
            <w:shd w:val="clear" w:color="auto" w:fill="FFFFFF"/>
            <w:noWrap/>
            <w:vAlign w:val="center"/>
          </w:tcPr>
          <w:p w14:paraId="667D6B2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 (0.71–3.80)</w:t>
            </w:r>
          </w:p>
        </w:tc>
        <w:tc>
          <w:tcPr>
            <w:tcW w:w="1188" w:type="dxa"/>
            <w:tcBorders>
              <w:top w:val="nil"/>
              <w:left w:val="nil"/>
              <w:bottom w:val="nil"/>
              <w:right w:val="nil"/>
            </w:tcBorders>
            <w:shd w:val="clear" w:color="auto" w:fill="FFFFFF"/>
            <w:noWrap/>
            <w:vAlign w:val="center"/>
          </w:tcPr>
          <w:p w14:paraId="1B2FAE0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0.248</w:t>
            </w:r>
          </w:p>
        </w:tc>
      </w:tr>
      <w:tr w14:paraId="2906E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6217C2B0">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n-3 PUFA</w:t>
            </w:r>
          </w:p>
        </w:tc>
        <w:tc>
          <w:tcPr>
            <w:tcW w:w="1761" w:type="dxa"/>
            <w:tcBorders>
              <w:top w:val="nil"/>
              <w:left w:val="nil"/>
              <w:bottom w:val="nil"/>
              <w:right w:val="nil"/>
            </w:tcBorders>
            <w:shd w:val="clear" w:color="auto" w:fill="FFFFFF"/>
            <w:noWrap/>
            <w:vAlign w:val="center"/>
          </w:tcPr>
          <w:p w14:paraId="5EFC1B3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 (0.05–0.28)</w:t>
            </w:r>
          </w:p>
        </w:tc>
        <w:tc>
          <w:tcPr>
            <w:tcW w:w="1871" w:type="dxa"/>
            <w:tcBorders>
              <w:top w:val="nil"/>
              <w:left w:val="nil"/>
              <w:bottom w:val="nil"/>
              <w:right w:val="nil"/>
            </w:tcBorders>
            <w:shd w:val="clear" w:color="auto" w:fill="FFFFFF"/>
            <w:noWrap/>
            <w:vAlign w:val="center"/>
          </w:tcPr>
          <w:p w14:paraId="0518464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 (0.04–0.28)</w:t>
            </w:r>
          </w:p>
        </w:tc>
        <w:tc>
          <w:tcPr>
            <w:tcW w:w="1188" w:type="dxa"/>
            <w:tcBorders>
              <w:top w:val="nil"/>
              <w:left w:val="nil"/>
              <w:bottom w:val="nil"/>
              <w:right w:val="nil"/>
            </w:tcBorders>
            <w:shd w:val="clear" w:color="auto" w:fill="FFFFFF"/>
            <w:noWrap/>
            <w:vAlign w:val="center"/>
          </w:tcPr>
          <w:p w14:paraId="31141B2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64D2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5406A99C">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n-3</w:t>
            </w:r>
          </w:p>
        </w:tc>
        <w:tc>
          <w:tcPr>
            <w:tcW w:w="1761" w:type="dxa"/>
            <w:tcBorders>
              <w:top w:val="nil"/>
              <w:left w:val="nil"/>
              <w:bottom w:val="nil"/>
              <w:right w:val="nil"/>
            </w:tcBorders>
            <w:shd w:val="clear" w:color="auto" w:fill="FFFFFF"/>
            <w:noWrap/>
            <w:vAlign w:val="center"/>
          </w:tcPr>
          <w:p w14:paraId="3C0F569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1.56 (0.73–3.31)</w:t>
            </w:r>
          </w:p>
        </w:tc>
        <w:tc>
          <w:tcPr>
            <w:tcW w:w="1871" w:type="dxa"/>
            <w:tcBorders>
              <w:top w:val="nil"/>
              <w:left w:val="nil"/>
              <w:bottom w:val="nil"/>
              <w:right w:val="nil"/>
            </w:tcBorders>
            <w:shd w:val="clear" w:color="auto" w:fill="FFFFFF"/>
            <w:noWrap/>
            <w:vAlign w:val="center"/>
          </w:tcPr>
          <w:p w14:paraId="129D34C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1.84 (0.79–4.29)</w:t>
            </w:r>
          </w:p>
        </w:tc>
        <w:tc>
          <w:tcPr>
            <w:tcW w:w="1188" w:type="dxa"/>
            <w:tcBorders>
              <w:top w:val="nil"/>
              <w:left w:val="nil"/>
              <w:bottom w:val="nil"/>
              <w:right w:val="nil"/>
            </w:tcBorders>
            <w:shd w:val="clear" w:color="auto" w:fill="FFFFFF"/>
            <w:noWrap/>
            <w:vAlign w:val="center"/>
          </w:tcPr>
          <w:p w14:paraId="6E35BB4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0.160</w:t>
            </w:r>
          </w:p>
        </w:tc>
      </w:tr>
      <w:tr w14:paraId="24A41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545FE17A">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C20:5 n-3</w:t>
            </w:r>
          </w:p>
        </w:tc>
        <w:tc>
          <w:tcPr>
            <w:tcW w:w="1761" w:type="dxa"/>
            <w:tcBorders>
              <w:top w:val="nil"/>
              <w:left w:val="nil"/>
              <w:bottom w:val="nil"/>
              <w:right w:val="nil"/>
            </w:tcBorders>
            <w:shd w:val="clear" w:color="auto" w:fill="FFFFFF"/>
            <w:noWrap/>
            <w:vAlign w:val="center"/>
          </w:tcPr>
          <w:p w14:paraId="2466078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2.07 (0.97–4.43)</w:t>
            </w:r>
          </w:p>
        </w:tc>
        <w:tc>
          <w:tcPr>
            <w:tcW w:w="1871" w:type="dxa"/>
            <w:tcBorders>
              <w:top w:val="nil"/>
              <w:left w:val="nil"/>
              <w:bottom w:val="nil"/>
              <w:right w:val="nil"/>
            </w:tcBorders>
            <w:shd w:val="clear" w:color="auto" w:fill="FFFFFF"/>
            <w:noWrap/>
            <w:vAlign w:val="center"/>
          </w:tcPr>
          <w:p w14:paraId="6FA7C4C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1.67 (0.72–3.88)</w:t>
            </w:r>
          </w:p>
        </w:tc>
        <w:tc>
          <w:tcPr>
            <w:tcW w:w="1188" w:type="dxa"/>
            <w:tcBorders>
              <w:top w:val="nil"/>
              <w:left w:val="nil"/>
              <w:bottom w:val="nil"/>
              <w:right w:val="nil"/>
            </w:tcBorders>
            <w:shd w:val="clear" w:color="auto" w:fill="FFFFFF"/>
            <w:noWrap/>
            <w:vAlign w:val="center"/>
          </w:tcPr>
          <w:p w14:paraId="440CC5A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0.232</w:t>
            </w:r>
          </w:p>
        </w:tc>
      </w:tr>
      <w:tr w14:paraId="4D027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223E5CC6">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C22:6 n-3</w:t>
            </w:r>
          </w:p>
        </w:tc>
        <w:tc>
          <w:tcPr>
            <w:tcW w:w="1761" w:type="dxa"/>
            <w:tcBorders>
              <w:top w:val="nil"/>
              <w:left w:val="nil"/>
              <w:bottom w:val="nil"/>
              <w:right w:val="nil"/>
            </w:tcBorders>
            <w:shd w:val="clear" w:color="auto" w:fill="FFFFFF"/>
            <w:noWrap/>
            <w:vAlign w:val="center"/>
          </w:tcPr>
          <w:p w14:paraId="437704E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 (0.04–0.26)</w:t>
            </w:r>
          </w:p>
        </w:tc>
        <w:tc>
          <w:tcPr>
            <w:tcW w:w="1871" w:type="dxa"/>
            <w:tcBorders>
              <w:top w:val="nil"/>
              <w:left w:val="nil"/>
              <w:bottom w:val="nil"/>
              <w:right w:val="nil"/>
            </w:tcBorders>
            <w:shd w:val="clear" w:color="auto" w:fill="FFFFFF"/>
            <w:noWrap/>
            <w:vAlign w:val="center"/>
          </w:tcPr>
          <w:p w14:paraId="78C33F2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 (0.03–0.25)</w:t>
            </w:r>
          </w:p>
        </w:tc>
        <w:tc>
          <w:tcPr>
            <w:tcW w:w="1188" w:type="dxa"/>
            <w:tcBorders>
              <w:top w:val="nil"/>
              <w:left w:val="nil"/>
              <w:bottom w:val="nil"/>
              <w:right w:val="nil"/>
            </w:tcBorders>
            <w:shd w:val="clear" w:color="auto" w:fill="FFFFFF"/>
            <w:noWrap/>
            <w:vAlign w:val="center"/>
          </w:tcPr>
          <w:p w14:paraId="00FEE1F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6D0FA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7B2BD4D2">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TFA</w:t>
            </w:r>
          </w:p>
        </w:tc>
        <w:tc>
          <w:tcPr>
            <w:tcW w:w="1761" w:type="dxa"/>
            <w:tcBorders>
              <w:top w:val="nil"/>
              <w:left w:val="nil"/>
              <w:bottom w:val="nil"/>
              <w:right w:val="nil"/>
            </w:tcBorders>
            <w:shd w:val="clear" w:color="auto" w:fill="FFFFFF"/>
            <w:noWrap/>
            <w:vAlign w:val="center"/>
          </w:tcPr>
          <w:p w14:paraId="7C714E0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3.11 (1.37–7.07)</w:t>
            </w:r>
          </w:p>
        </w:tc>
        <w:tc>
          <w:tcPr>
            <w:tcW w:w="1871" w:type="dxa"/>
            <w:tcBorders>
              <w:top w:val="nil"/>
              <w:left w:val="nil"/>
              <w:bottom w:val="nil"/>
              <w:right w:val="nil"/>
            </w:tcBorders>
            <w:shd w:val="clear" w:color="auto" w:fill="FFFFFF"/>
            <w:noWrap/>
            <w:vAlign w:val="center"/>
          </w:tcPr>
          <w:p w14:paraId="698F37B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3.42 (1.36–8.58)</w:t>
            </w:r>
          </w:p>
        </w:tc>
        <w:tc>
          <w:tcPr>
            <w:tcW w:w="1188" w:type="dxa"/>
            <w:tcBorders>
              <w:top w:val="nil"/>
              <w:left w:val="nil"/>
              <w:bottom w:val="nil"/>
              <w:right w:val="nil"/>
            </w:tcBorders>
            <w:shd w:val="clear" w:color="auto" w:fill="FFFFFF"/>
            <w:noWrap/>
            <w:vAlign w:val="center"/>
          </w:tcPr>
          <w:p w14:paraId="1F00D3C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0.009</w:t>
            </w:r>
          </w:p>
        </w:tc>
      </w:tr>
      <w:tr w14:paraId="3F093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63902C56">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 n-7t</w:t>
            </w:r>
          </w:p>
        </w:tc>
        <w:tc>
          <w:tcPr>
            <w:tcW w:w="1761" w:type="dxa"/>
            <w:tcBorders>
              <w:top w:val="nil"/>
              <w:left w:val="nil"/>
              <w:bottom w:val="nil"/>
              <w:right w:val="nil"/>
            </w:tcBorders>
            <w:shd w:val="clear" w:color="auto" w:fill="FFFFFF"/>
            <w:noWrap/>
            <w:vAlign w:val="center"/>
          </w:tcPr>
          <w:p w14:paraId="5EDA3BB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2.68 (1.22–5.85)</w:t>
            </w:r>
          </w:p>
        </w:tc>
        <w:tc>
          <w:tcPr>
            <w:tcW w:w="1871" w:type="dxa"/>
            <w:tcBorders>
              <w:top w:val="nil"/>
              <w:left w:val="nil"/>
              <w:bottom w:val="nil"/>
              <w:right w:val="nil"/>
            </w:tcBorders>
            <w:shd w:val="clear" w:color="auto" w:fill="FFFFFF"/>
            <w:noWrap/>
            <w:vAlign w:val="center"/>
          </w:tcPr>
          <w:p w14:paraId="1E1FD2E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3.04 (1.27–7.30)</w:t>
            </w:r>
          </w:p>
        </w:tc>
        <w:tc>
          <w:tcPr>
            <w:tcW w:w="1188" w:type="dxa"/>
            <w:tcBorders>
              <w:top w:val="nil"/>
              <w:left w:val="nil"/>
              <w:bottom w:val="nil"/>
              <w:right w:val="nil"/>
            </w:tcBorders>
            <w:shd w:val="clear" w:color="auto" w:fill="FFFFFF"/>
            <w:noWrap/>
            <w:vAlign w:val="center"/>
          </w:tcPr>
          <w:p w14:paraId="50F91AA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0.013</w:t>
            </w:r>
          </w:p>
        </w:tc>
      </w:tr>
      <w:tr w14:paraId="6E719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7E592E79">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 n-9t</w:t>
            </w:r>
          </w:p>
        </w:tc>
        <w:tc>
          <w:tcPr>
            <w:tcW w:w="1761" w:type="dxa"/>
            <w:tcBorders>
              <w:top w:val="nil"/>
              <w:left w:val="nil"/>
              <w:bottom w:val="nil"/>
              <w:right w:val="nil"/>
            </w:tcBorders>
            <w:shd w:val="clear" w:color="auto" w:fill="FFFFFF"/>
            <w:noWrap/>
            <w:vAlign w:val="center"/>
          </w:tcPr>
          <w:p w14:paraId="5E32A86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1.34 (0.63–2.85)</w:t>
            </w:r>
          </w:p>
        </w:tc>
        <w:tc>
          <w:tcPr>
            <w:tcW w:w="1871" w:type="dxa"/>
            <w:tcBorders>
              <w:top w:val="nil"/>
              <w:left w:val="nil"/>
              <w:bottom w:val="nil"/>
              <w:right w:val="nil"/>
            </w:tcBorders>
            <w:shd w:val="clear" w:color="auto" w:fill="FFFFFF"/>
            <w:noWrap/>
            <w:vAlign w:val="center"/>
          </w:tcPr>
          <w:p w14:paraId="4890AF6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1.35 (0.58–3.16)</w:t>
            </w:r>
          </w:p>
        </w:tc>
        <w:tc>
          <w:tcPr>
            <w:tcW w:w="1188" w:type="dxa"/>
            <w:tcBorders>
              <w:top w:val="nil"/>
              <w:left w:val="nil"/>
              <w:bottom w:val="nil"/>
              <w:right w:val="nil"/>
            </w:tcBorders>
            <w:shd w:val="clear" w:color="auto" w:fill="FFFFFF"/>
            <w:noWrap/>
            <w:vAlign w:val="center"/>
          </w:tcPr>
          <w:p w14:paraId="1BE6592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0.482</w:t>
            </w:r>
          </w:p>
        </w:tc>
      </w:tr>
      <w:tr w14:paraId="21AB5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730280E1">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val="0"/>
                <w:i w:val="0"/>
                <w:iCs w:val="0"/>
                <w:color w:val="000000"/>
                <w:kern w:val="0"/>
                <w:sz w:val="20"/>
                <w:szCs w:val="20"/>
                <w:u w:val="none"/>
                <w:lang w:val="en-US" w:eastAsia="zh-CN" w:bidi="ar"/>
              </w:rPr>
              <w:t>FA index</w:t>
            </w:r>
          </w:p>
        </w:tc>
        <w:tc>
          <w:tcPr>
            <w:tcW w:w="1761" w:type="dxa"/>
            <w:tcBorders>
              <w:top w:val="nil"/>
              <w:left w:val="nil"/>
              <w:bottom w:val="nil"/>
              <w:right w:val="nil"/>
            </w:tcBorders>
            <w:shd w:val="clear" w:color="auto" w:fill="FFFFFF"/>
            <w:noWrap/>
            <w:vAlign w:val="center"/>
          </w:tcPr>
          <w:p w14:paraId="7C7AE941">
            <w:pPr>
              <w:jc w:val="center"/>
              <w:rPr>
                <w:rFonts w:hint="default" w:ascii="Times New Roman" w:hAnsi="Times New Roman" w:eastAsia="宋体" w:cs="Times New Roman"/>
                <w:b w:val="0"/>
                <w:i w:val="0"/>
                <w:iCs w:val="0"/>
                <w:color w:val="000000"/>
                <w:sz w:val="20"/>
                <w:szCs w:val="20"/>
                <w:u w:val="none"/>
              </w:rPr>
            </w:pPr>
          </w:p>
        </w:tc>
        <w:tc>
          <w:tcPr>
            <w:tcW w:w="1871" w:type="dxa"/>
            <w:tcBorders>
              <w:top w:val="nil"/>
              <w:left w:val="nil"/>
              <w:bottom w:val="nil"/>
              <w:right w:val="nil"/>
            </w:tcBorders>
            <w:shd w:val="clear" w:color="auto" w:fill="FFFFFF"/>
            <w:noWrap/>
            <w:vAlign w:val="center"/>
          </w:tcPr>
          <w:p w14:paraId="244D8F26">
            <w:pPr>
              <w:jc w:val="center"/>
              <w:rPr>
                <w:rFonts w:hint="default" w:ascii="Times New Roman" w:hAnsi="Times New Roman" w:eastAsia="宋体" w:cs="Times New Roman"/>
                <w:b w:val="0"/>
                <w:i w:val="0"/>
                <w:iCs w:val="0"/>
                <w:color w:val="000000"/>
                <w:sz w:val="20"/>
                <w:szCs w:val="20"/>
                <w:u w:val="none"/>
              </w:rPr>
            </w:pPr>
          </w:p>
        </w:tc>
        <w:tc>
          <w:tcPr>
            <w:tcW w:w="1188" w:type="dxa"/>
            <w:tcBorders>
              <w:top w:val="nil"/>
              <w:left w:val="nil"/>
              <w:bottom w:val="nil"/>
              <w:right w:val="nil"/>
            </w:tcBorders>
            <w:shd w:val="clear" w:color="auto" w:fill="FFFFFF"/>
            <w:noWrap/>
            <w:vAlign w:val="center"/>
          </w:tcPr>
          <w:p w14:paraId="3BDE32B6">
            <w:pPr>
              <w:jc w:val="center"/>
              <w:rPr>
                <w:rFonts w:hint="default" w:ascii="Times New Roman" w:hAnsi="Times New Roman" w:eastAsia="宋体" w:cs="Times New Roman"/>
                <w:b w:val="0"/>
                <w:i w:val="0"/>
                <w:iCs w:val="0"/>
                <w:color w:val="000000"/>
                <w:sz w:val="20"/>
                <w:szCs w:val="20"/>
                <w:u w:val="none"/>
              </w:rPr>
            </w:pPr>
          </w:p>
        </w:tc>
      </w:tr>
      <w:tr w14:paraId="1E086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1156E6B1">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n-3 index</w:t>
            </w:r>
          </w:p>
        </w:tc>
        <w:tc>
          <w:tcPr>
            <w:tcW w:w="1761" w:type="dxa"/>
            <w:tcBorders>
              <w:top w:val="nil"/>
              <w:left w:val="nil"/>
              <w:bottom w:val="nil"/>
              <w:right w:val="nil"/>
            </w:tcBorders>
            <w:shd w:val="clear" w:color="auto" w:fill="FFFFFF"/>
            <w:noWrap/>
            <w:vAlign w:val="center"/>
          </w:tcPr>
          <w:p w14:paraId="3BE21A2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 (0.03–0.24)</w:t>
            </w:r>
          </w:p>
        </w:tc>
        <w:tc>
          <w:tcPr>
            <w:tcW w:w="1871" w:type="dxa"/>
            <w:tcBorders>
              <w:top w:val="nil"/>
              <w:left w:val="nil"/>
              <w:bottom w:val="nil"/>
              <w:right w:val="nil"/>
            </w:tcBorders>
            <w:shd w:val="clear" w:color="auto" w:fill="FFFFFF"/>
            <w:noWrap/>
            <w:vAlign w:val="center"/>
          </w:tcPr>
          <w:p w14:paraId="5211EB7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0.07 (0.02–0.21)</w:t>
            </w:r>
          </w:p>
        </w:tc>
        <w:tc>
          <w:tcPr>
            <w:tcW w:w="1188" w:type="dxa"/>
            <w:tcBorders>
              <w:top w:val="nil"/>
              <w:left w:val="nil"/>
              <w:bottom w:val="nil"/>
              <w:right w:val="nil"/>
            </w:tcBorders>
            <w:shd w:val="clear" w:color="auto" w:fill="FFFFFF"/>
            <w:noWrap/>
            <w:vAlign w:val="center"/>
          </w:tcPr>
          <w:p w14:paraId="329C8D5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0E6F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tcBorders>
              <w:top w:val="nil"/>
              <w:left w:val="nil"/>
              <w:bottom w:val="nil"/>
              <w:right w:val="nil"/>
            </w:tcBorders>
            <w:shd w:val="clear" w:color="auto" w:fill="FFFFFF"/>
            <w:noWrap/>
            <w:vAlign w:val="center"/>
          </w:tcPr>
          <w:p w14:paraId="20FAC989">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n-6:n-3</w:t>
            </w:r>
          </w:p>
        </w:tc>
        <w:tc>
          <w:tcPr>
            <w:tcW w:w="1761" w:type="dxa"/>
            <w:tcBorders>
              <w:top w:val="nil"/>
              <w:left w:val="nil"/>
              <w:bottom w:val="nil"/>
              <w:right w:val="nil"/>
            </w:tcBorders>
            <w:shd w:val="clear" w:color="auto" w:fill="FFFFFF"/>
            <w:noWrap/>
            <w:vAlign w:val="center"/>
          </w:tcPr>
          <w:p w14:paraId="14C10B3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11.92 (4.60–30.87)</w:t>
            </w:r>
          </w:p>
        </w:tc>
        <w:tc>
          <w:tcPr>
            <w:tcW w:w="1871" w:type="dxa"/>
            <w:tcBorders>
              <w:top w:val="nil"/>
              <w:left w:val="nil"/>
              <w:bottom w:val="nil"/>
              <w:right w:val="nil"/>
            </w:tcBorders>
            <w:shd w:val="clear" w:color="auto" w:fill="FFFFFF"/>
            <w:noWrap/>
            <w:vAlign w:val="center"/>
          </w:tcPr>
          <w:p w14:paraId="3F32984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13.67 (4.80–38.94)</w:t>
            </w:r>
          </w:p>
        </w:tc>
        <w:tc>
          <w:tcPr>
            <w:tcW w:w="1188" w:type="dxa"/>
            <w:tcBorders>
              <w:top w:val="nil"/>
              <w:left w:val="nil"/>
              <w:bottom w:val="nil"/>
              <w:right w:val="nil"/>
            </w:tcBorders>
            <w:shd w:val="clear" w:color="auto" w:fill="FFFFFF"/>
            <w:noWrap/>
            <w:vAlign w:val="center"/>
          </w:tcPr>
          <w:p w14:paraId="1E399BB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&lt; 0.001</w:t>
            </w:r>
          </w:p>
        </w:tc>
      </w:tr>
      <w:tr w14:paraId="1C9F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0" w:type="auto"/>
            <w:tcBorders>
              <w:top w:val="nil"/>
              <w:left w:val="nil"/>
              <w:bottom w:val="single" w:color="auto" w:sz="12" w:space="0"/>
              <w:right w:val="nil"/>
            </w:tcBorders>
            <w:shd w:val="clear" w:color="auto" w:fill="FFFFFF"/>
            <w:noWrap/>
            <w:vAlign w:val="center"/>
          </w:tcPr>
          <w:p w14:paraId="71191610">
            <w:pPr>
              <w:keepNext w:val="0"/>
              <w:keepLines w:val="0"/>
              <w:widowControl/>
              <w:suppressLineNumbers w:val="0"/>
              <w:ind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AA:EPA</w:t>
            </w:r>
          </w:p>
        </w:tc>
        <w:tc>
          <w:tcPr>
            <w:tcW w:w="1761" w:type="dxa"/>
            <w:tcBorders>
              <w:top w:val="nil"/>
              <w:left w:val="nil"/>
              <w:bottom w:val="single" w:color="auto" w:sz="12" w:space="0"/>
              <w:right w:val="nil"/>
            </w:tcBorders>
            <w:shd w:val="clear" w:color="auto" w:fill="FFFFFF"/>
            <w:noWrap/>
            <w:vAlign w:val="center"/>
          </w:tcPr>
          <w:p w14:paraId="56E0619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1.07 (0.52–2.23)</w:t>
            </w:r>
          </w:p>
        </w:tc>
        <w:tc>
          <w:tcPr>
            <w:tcW w:w="1871" w:type="dxa"/>
            <w:tcBorders>
              <w:top w:val="nil"/>
              <w:left w:val="nil"/>
              <w:bottom w:val="single" w:color="auto" w:sz="12" w:space="0"/>
              <w:right w:val="nil"/>
            </w:tcBorders>
            <w:shd w:val="clear" w:color="auto" w:fill="FFFFFF"/>
            <w:noWrap/>
            <w:vAlign w:val="center"/>
          </w:tcPr>
          <w:p w14:paraId="0D62CBB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1.20 (0.52–2.78)</w:t>
            </w:r>
          </w:p>
        </w:tc>
        <w:tc>
          <w:tcPr>
            <w:tcW w:w="1188" w:type="dxa"/>
            <w:tcBorders>
              <w:top w:val="nil"/>
              <w:left w:val="nil"/>
              <w:bottom w:val="single" w:color="auto" w:sz="12" w:space="0"/>
              <w:right w:val="nil"/>
            </w:tcBorders>
            <w:shd w:val="clear" w:color="auto" w:fill="FFFFFF"/>
            <w:noWrap/>
            <w:vAlign w:val="center"/>
          </w:tcPr>
          <w:p w14:paraId="21D65CC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0.670</w:t>
            </w:r>
          </w:p>
        </w:tc>
      </w:tr>
    </w:tbl>
    <w:p w14:paraId="07F0370B">
      <w:pPr>
        <w:rPr>
          <w:rFonts w:hint="default" w:ascii="Times New Roman" w:hAnsi="Times New Roman" w:cs="Times New Roman"/>
          <w:sz w:val="20"/>
          <w:szCs w:val="20"/>
          <w:lang w:val="en-US" w:eastAsia="zh-CN"/>
        </w:rPr>
      </w:pPr>
      <w:r>
        <w:rPr>
          <w:rFonts w:hint="default" w:ascii="Times New Roman" w:hAnsi="Times New Roman" w:cs="Times New Roman"/>
          <w:sz w:val="20"/>
          <w:szCs w:val="20"/>
          <w:vertAlign w:val="superscript"/>
          <w:lang w:val="en-US" w:eastAsia="zh-CN"/>
        </w:rPr>
        <w:t>a</w:t>
      </w:r>
      <w:r>
        <w:rPr>
          <w:rFonts w:hint="default" w:ascii="Times New Roman" w:hAnsi="Times New Roman" w:cs="Times New Roman"/>
          <w:sz w:val="20"/>
          <w:szCs w:val="20"/>
          <w:lang w:val="en-US" w:eastAsia="zh-CN"/>
        </w:rPr>
        <w:t>Adjusted for age, sex, BMI, education, smoking status, alcohol consumption, diabetes, hypertension, coronary artery disease, and ischemic stroke.</w:t>
      </w:r>
    </w:p>
    <w:p w14:paraId="25F8D5B5">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Abbreviations: SFA, saturated fatty acid; MUFA, monounsaturated fatty acid; PUFA, polyunsaturated fatty acid; TFA, trans fatty acid; FA, fatty acid; AA, arachidonic acid, C20:4n-6; EPA, eicosapentaenoic acid, C20:5n-3; DHA, docosahexaenoic acid, C22:6n3; ALA, α-linolenic acid, C18:3n-3; OA, oleic acid, C18:1.</w:t>
      </w:r>
    </w:p>
    <w:p w14:paraId="2432A875">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r>
        <w:rPr>
          <w:rFonts w:hint="eastAsia" w:ascii="Times New Roman" w:hAnsi="Times New Roman" w:cs="Times New Roman"/>
          <w:b/>
          <w:bCs/>
          <w:sz w:val="20"/>
          <w:szCs w:val="20"/>
          <w:lang w:val="en-US" w:eastAsia="zh-CN"/>
        </w:rPr>
        <w:t>Table S3.</w:t>
      </w:r>
      <w:r>
        <w:rPr>
          <w:rFonts w:hint="eastAsia" w:ascii="Times New Roman" w:hAnsi="Times New Roman" w:cs="Times New Roman"/>
          <w:sz w:val="20"/>
          <w:szCs w:val="20"/>
          <w:lang w:val="en-US" w:eastAsia="zh-CN"/>
        </w:rPr>
        <w:t xml:space="preserve"> Association between fatty acid levels and the presence of intracranial aneurysms in participants without metabolic or cardiovascular comorbidities (</w:t>
      </w:r>
      <w:r>
        <w:rPr>
          <w:rFonts w:hint="default" w:ascii="Times New Roman" w:hAnsi="Times New Roman" w:cs="Times New Roman"/>
          <w:sz w:val="20"/>
          <w:szCs w:val="20"/>
          <w:lang w:val="en-US" w:eastAsia="zh-CN"/>
        </w:rPr>
        <w:t>diabetes, coronary artery disease, and ischemic stroke</w:t>
      </w:r>
      <w:r>
        <w:rPr>
          <w:rFonts w:hint="eastAsia" w:ascii="Times New Roman" w:hAnsi="Times New Roman" w:cs="Times New Roman"/>
          <w:sz w:val="20"/>
          <w:szCs w:val="20"/>
          <w:lang w:val="en-US" w:eastAsia="zh-CN"/>
        </w:rPr>
        <w:t>).</w:t>
      </w:r>
    </w:p>
    <w:tbl>
      <w:tblPr>
        <w:tblStyle w:val="5"/>
        <w:tblW w:w="67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4"/>
        <w:gridCol w:w="2108"/>
        <w:gridCol w:w="2225"/>
        <w:gridCol w:w="1051"/>
      </w:tblGrid>
      <w:tr w14:paraId="77DA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single" w:color="000000" w:sz="12" w:space="0"/>
              <w:left w:val="nil"/>
              <w:bottom w:val="single" w:color="000000" w:sz="4" w:space="0"/>
              <w:right w:val="nil"/>
              <w:tl2br w:val="nil"/>
            </w:tcBorders>
            <w:shd w:val="clear" w:color="auto" w:fill="FFFFFF"/>
            <w:noWrap/>
            <w:vAlign w:val="center"/>
          </w:tcPr>
          <w:p w14:paraId="2CA33768">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kern w:val="0"/>
                <w:sz w:val="20"/>
                <w:szCs w:val="20"/>
                <w:u w:val="none"/>
                <w:lang w:val="en-US" w:eastAsia="zh-CN" w:bidi="ar"/>
              </w:rPr>
              <w:t>Erythrocyte fatty acids</w:t>
            </w:r>
          </w:p>
        </w:tc>
        <w:tc>
          <w:tcPr>
            <w:tcW w:w="2108" w:type="dxa"/>
            <w:tcBorders>
              <w:top w:val="single" w:color="000000" w:sz="12" w:space="0"/>
              <w:left w:val="nil"/>
              <w:bottom w:val="single" w:color="000000" w:sz="4" w:space="0"/>
              <w:right w:val="nil"/>
            </w:tcBorders>
            <w:shd w:val="clear" w:color="auto" w:fill="FFFFFF"/>
            <w:noWrap/>
            <w:vAlign w:val="center"/>
          </w:tcPr>
          <w:p w14:paraId="6A0ED496">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sz w:val="20"/>
                <w:szCs w:val="20"/>
                <w:u w:val="none"/>
              </w:rPr>
              <w:t>Unadjusted</w:t>
            </w:r>
          </w:p>
        </w:tc>
        <w:tc>
          <w:tcPr>
            <w:tcW w:w="2225" w:type="dxa"/>
            <w:tcBorders>
              <w:top w:val="single" w:color="000000" w:sz="12" w:space="0"/>
              <w:left w:val="nil"/>
              <w:bottom w:val="single" w:color="000000" w:sz="4" w:space="0"/>
              <w:right w:val="nil"/>
            </w:tcBorders>
            <w:shd w:val="clear" w:color="auto" w:fill="FFFFFF"/>
            <w:noWrap/>
            <w:vAlign w:val="center"/>
          </w:tcPr>
          <w:p w14:paraId="1D6A06A9">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sz w:val="20"/>
                <w:szCs w:val="20"/>
                <w:u w:val="none"/>
              </w:rPr>
              <w:t>Fully adjusted</w:t>
            </w:r>
            <w:r>
              <w:rPr>
                <w:rFonts w:hint="default" w:ascii="Times New Roman" w:hAnsi="Times New Roman" w:eastAsia="宋体" w:cs="Times New Roman"/>
                <w:b/>
                <w:bCs w:val="0"/>
                <w:i w:val="0"/>
                <w:iCs w:val="0"/>
                <w:caps w:val="0"/>
                <w:color w:val="000000"/>
                <w:spacing w:val="0"/>
                <w:sz w:val="20"/>
                <w:szCs w:val="20"/>
                <w:shd w:val="clear" w:fill="FFFFFF"/>
                <w:vertAlign w:val="superscript"/>
                <w:lang w:val="en-US" w:eastAsia="zh-CN"/>
              </w:rPr>
              <w:t>a</w:t>
            </w:r>
          </w:p>
        </w:tc>
        <w:tc>
          <w:tcPr>
            <w:tcW w:w="1051" w:type="dxa"/>
            <w:tcBorders>
              <w:top w:val="single" w:color="000000" w:sz="12" w:space="0"/>
              <w:left w:val="nil"/>
              <w:bottom w:val="single" w:color="000000" w:sz="4" w:space="0"/>
              <w:right w:val="nil"/>
            </w:tcBorders>
            <w:shd w:val="clear" w:color="auto" w:fill="FFFFFF"/>
            <w:noWrap/>
            <w:vAlign w:val="center"/>
          </w:tcPr>
          <w:p w14:paraId="2417F32E">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kern w:val="0"/>
                <w:sz w:val="20"/>
                <w:szCs w:val="20"/>
                <w:u w:val="none"/>
                <w:lang w:val="en-US" w:eastAsia="zh-CN" w:bidi="ar"/>
              </w:rPr>
              <w:t>P</w:t>
            </w:r>
          </w:p>
        </w:tc>
      </w:tr>
      <w:tr w14:paraId="21F9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single" w:color="000000" w:sz="4" w:space="0"/>
              <w:left w:val="nil"/>
              <w:bottom w:val="nil"/>
              <w:right w:val="nil"/>
              <w:tl2br w:val="nil"/>
            </w:tcBorders>
            <w:shd w:val="clear" w:color="auto" w:fill="FFFFFF"/>
            <w:noWrap/>
            <w:vAlign w:val="center"/>
          </w:tcPr>
          <w:p w14:paraId="24F92DAB">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SFA</w:t>
            </w:r>
          </w:p>
        </w:tc>
        <w:tc>
          <w:tcPr>
            <w:tcW w:w="2108" w:type="dxa"/>
            <w:tcBorders>
              <w:top w:val="single" w:color="000000" w:sz="4" w:space="0"/>
              <w:left w:val="nil"/>
              <w:bottom w:val="nil"/>
              <w:right w:val="nil"/>
            </w:tcBorders>
            <w:shd w:val="clear" w:color="auto" w:fill="FFFFFF"/>
            <w:noWrap/>
            <w:vAlign w:val="center"/>
          </w:tcPr>
          <w:p w14:paraId="6CCB356A">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2.32 (1.54–3.51</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single" w:color="000000" w:sz="4" w:space="0"/>
              <w:left w:val="nil"/>
              <w:bottom w:val="nil"/>
              <w:right w:val="nil"/>
            </w:tcBorders>
            <w:shd w:val="clear" w:color="auto" w:fill="FFFFFF"/>
            <w:noWrap/>
            <w:vAlign w:val="center"/>
          </w:tcPr>
          <w:p w14:paraId="2356FD6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2.84 (1.73–4.67)</w:t>
            </w:r>
          </w:p>
        </w:tc>
        <w:tc>
          <w:tcPr>
            <w:tcW w:w="1051" w:type="dxa"/>
            <w:tcBorders>
              <w:top w:val="single" w:color="000000" w:sz="4" w:space="0"/>
              <w:left w:val="nil"/>
              <w:bottom w:val="nil"/>
              <w:right w:val="nil"/>
            </w:tcBorders>
            <w:shd w:val="clear" w:color="auto" w:fill="FFFFFF"/>
            <w:noWrap/>
            <w:vAlign w:val="center"/>
          </w:tcPr>
          <w:p w14:paraId="4A2AB32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5E77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A5106F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C14:0</w:t>
            </w:r>
          </w:p>
        </w:tc>
        <w:tc>
          <w:tcPr>
            <w:tcW w:w="2108" w:type="dxa"/>
            <w:tcBorders>
              <w:top w:val="nil"/>
              <w:left w:val="nil"/>
              <w:bottom w:val="nil"/>
              <w:right w:val="nil"/>
            </w:tcBorders>
            <w:shd w:val="clear" w:color="auto" w:fill="FFFFFF"/>
            <w:noWrap/>
            <w:vAlign w:val="center"/>
          </w:tcPr>
          <w:p w14:paraId="46BFF2E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1.07 (0.76–1.49</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31DE87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1.17 (0.8</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–1.72)</w:t>
            </w:r>
          </w:p>
        </w:tc>
        <w:tc>
          <w:tcPr>
            <w:tcW w:w="1051" w:type="dxa"/>
            <w:tcBorders>
              <w:top w:val="nil"/>
              <w:left w:val="nil"/>
              <w:bottom w:val="nil"/>
              <w:right w:val="nil"/>
            </w:tcBorders>
            <w:shd w:val="clear" w:color="auto" w:fill="FFFFFF"/>
            <w:noWrap/>
            <w:vAlign w:val="center"/>
          </w:tcPr>
          <w:p w14:paraId="7A77FB7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0.412</w:t>
            </w:r>
          </w:p>
        </w:tc>
      </w:tr>
      <w:tr w14:paraId="3F5B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C19991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C16:0</w:t>
            </w:r>
          </w:p>
        </w:tc>
        <w:tc>
          <w:tcPr>
            <w:tcW w:w="2108" w:type="dxa"/>
            <w:tcBorders>
              <w:top w:val="nil"/>
              <w:left w:val="nil"/>
              <w:bottom w:val="nil"/>
              <w:right w:val="nil"/>
            </w:tcBorders>
            <w:shd w:val="clear" w:color="auto" w:fill="FFFFFF"/>
            <w:noWrap/>
            <w:vAlign w:val="center"/>
          </w:tcPr>
          <w:p w14:paraId="5792DCAD">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2.06 (1.4</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–3.03</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17289947">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2.53 (1.59–4.02)</w:t>
            </w:r>
          </w:p>
        </w:tc>
        <w:tc>
          <w:tcPr>
            <w:tcW w:w="1051" w:type="dxa"/>
            <w:tcBorders>
              <w:top w:val="nil"/>
              <w:left w:val="nil"/>
              <w:bottom w:val="nil"/>
              <w:right w:val="nil"/>
            </w:tcBorders>
            <w:shd w:val="clear" w:color="auto" w:fill="FFFFFF"/>
            <w:noWrap/>
            <w:vAlign w:val="center"/>
          </w:tcPr>
          <w:p w14:paraId="1367B0D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2E503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0AC9355">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C18:0</w:t>
            </w:r>
          </w:p>
        </w:tc>
        <w:tc>
          <w:tcPr>
            <w:tcW w:w="2108" w:type="dxa"/>
            <w:tcBorders>
              <w:top w:val="nil"/>
              <w:left w:val="nil"/>
              <w:bottom w:val="nil"/>
              <w:right w:val="nil"/>
            </w:tcBorders>
            <w:shd w:val="clear" w:color="auto" w:fill="FFFFFF"/>
            <w:noWrap/>
            <w:vAlign w:val="center"/>
          </w:tcPr>
          <w:p w14:paraId="4D3073AD">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2.33 (1.54–3.52</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3767425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2.74 (1.68–4.47)</w:t>
            </w:r>
          </w:p>
        </w:tc>
        <w:tc>
          <w:tcPr>
            <w:tcW w:w="1051" w:type="dxa"/>
            <w:tcBorders>
              <w:top w:val="nil"/>
              <w:left w:val="nil"/>
              <w:bottom w:val="nil"/>
              <w:right w:val="nil"/>
            </w:tcBorders>
            <w:shd w:val="clear" w:color="auto" w:fill="FFFFFF"/>
            <w:noWrap/>
            <w:vAlign w:val="center"/>
          </w:tcPr>
          <w:p w14:paraId="4B5E4E85">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6C972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4779252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C20:0</w:t>
            </w:r>
          </w:p>
        </w:tc>
        <w:tc>
          <w:tcPr>
            <w:tcW w:w="2108" w:type="dxa"/>
            <w:tcBorders>
              <w:top w:val="nil"/>
              <w:left w:val="nil"/>
              <w:bottom w:val="nil"/>
              <w:right w:val="nil"/>
            </w:tcBorders>
            <w:shd w:val="clear" w:color="auto" w:fill="FFFFFF"/>
            <w:noWrap/>
            <w:vAlign w:val="center"/>
          </w:tcPr>
          <w:p w14:paraId="4F9059AD">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1.9</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 xml:space="preserve"> (1.28–2.81</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13BB2D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2.29 (1.46–3.59)</w:t>
            </w:r>
          </w:p>
        </w:tc>
        <w:tc>
          <w:tcPr>
            <w:tcW w:w="1051" w:type="dxa"/>
            <w:tcBorders>
              <w:top w:val="nil"/>
              <w:left w:val="nil"/>
              <w:bottom w:val="nil"/>
              <w:right w:val="nil"/>
            </w:tcBorders>
            <w:shd w:val="clear" w:color="auto" w:fill="FFFFFF"/>
            <w:noWrap/>
            <w:vAlign w:val="center"/>
          </w:tcPr>
          <w:p w14:paraId="6CB5E594">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38C8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860A30F">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C22:0</w:t>
            </w:r>
          </w:p>
        </w:tc>
        <w:tc>
          <w:tcPr>
            <w:tcW w:w="2108" w:type="dxa"/>
            <w:tcBorders>
              <w:top w:val="nil"/>
              <w:left w:val="nil"/>
              <w:bottom w:val="nil"/>
              <w:right w:val="nil"/>
            </w:tcBorders>
            <w:shd w:val="clear" w:color="auto" w:fill="FFFFFF"/>
            <w:noWrap/>
            <w:vAlign w:val="center"/>
          </w:tcPr>
          <w:p w14:paraId="4A9CA9B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2.05 (1.36–3.09</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114C8134">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2.38 (1.47–3.85)</w:t>
            </w:r>
          </w:p>
        </w:tc>
        <w:tc>
          <w:tcPr>
            <w:tcW w:w="1051" w:type="dxa"/>
            <w:tcBorders>
              <w:top w:val="nil"/>
              <w:left w:val="nil"/>
              <w:bottom w:val="nil"/>
              <w:right w:val="nil"/>
            </w:tcBorders>
            <w:shd w:val="clear" w:color="auto" w:fill="FFFFFF"/>
            <w:noWrap/>
            <w:vAlign w:val="center"/>
          </w:tcPr>
          <w:p w14:paraId="639A81CA">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513C5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709EDD5">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C24:0</w:t>
            </w:r>
          </w:p>
        </w:tc>
        <w:tc>
          <w:tcPr>
            <w:tcW w:w="2108" w:type="dxa"/>
            <w:tcBorders>
              <w:top w:val="nil"/>
              <w:left w:val="nil"/>
              <w:bottom w:val="nil"/>
              <w:right w:val="nil"/>
            </w:tcBorders>
            <w:shd w:val="clear" w:color="auto" w:fill="FFFFFF"/>
            <w:noWrap/>
            <w:vAlign w:val="center"/>
          </w:tcPr>
          <w:p w14:paraId="1B11EBC1">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1.86 (1.25–2.75</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30C5206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2.02 (1.3</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–3.15)</w:t>
            </w:r>
          </w:p>
        </w:tc>
        <w:tc>
          <w:tcPr>
            <w:tcW w:w="1051" w:type="dxa"/>
            <w:tcBorders>
              <w:top w:val="nil"/>
              <w:left w:val="nil"/>
              <w:bottom w:val="nil"/>
              <w:right w:val="nil"/>
            </w:tcBorders>
            <w:shd w:val="clear" w:color="auto" w:fill="FFFFFF"/>
            <w:noWrap/>
            <w:vAlign w:val="center"/>
          </w:tcPr>
          <w:p w14:paraId="011B4785">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0.002</w:t>
            </w:r>
          </w:p>
        </w:tc>
      </w:tr>
      <w:tr w14:paraId="262B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2642334">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MUFA</w:t>
            </w:r>
          </w:p>
        </w:tc>
        <w:tc>
          <w:tcPr>
            <w:tcW w:w="2108" w:type="dxa"/>
            <w:tcBorders>
              <w:top w:val="nil"/>
              <w:left w:val="nil"/>
              <w:bottom w:val="nil"/>
              <w:right w:val="nil"/>
            </w:tcBorders>
            <w:shd w:val="clear" w:color="auto" w:fill="FFFFFF"/>
            <w:noWrap/>
            <w:vAlign w:val="center"/>
          </w:tcPr>
          <w:p w14:paraId="5EAAFA4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2.61 (1.67–4.07</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F57928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3.63 (2.07–6.34)</w:t>
            </w:r>
          </w:p>
        </w:tc>
        <w:tc>
          <w:tcPr>
            <w:tcW w:w="1051" w:type="dxa"/>
            <w:tcBorders>
              <w:top w:val="nil"/>
              <w:left w:val="nil"/>
              <w:bottom w:val="nil"/>
              <w:right w:val="nil"/>
            </w:tcBorders>
            <w:shd w:val="clear" w:color="auto" w:fill="FFFFFF"/>
            <w:noWrap/>
            <w:vAlign w:val="center"/>
          </w:tcPr>
          <w:p w14:paraId="43AB7CC1">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4B05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72A72D9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w:t>
            </w:r>
          </w:p>
        </w:tc>
        <w:tc>
          <w:tcPr>
            <w:tcW w:w="2108" w:type="dxa"/>
            <w:tcBorders>
              <w:top w:val="nil"/>
              <w:left w:val="nil"/>
              <w:bottom w:val="nil"/>
              <w:right w:val="nil"/>
            </w:tcBorders>
            <w:shd w:val="clear" w:color="auto" w:fill="FFFFFF"/>
            <w:noWrap/>
            <w:vAlign w:val="center"/>
          </w:tcPr>
          <w:p w14:paraId="1EF65FEB">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1.36 (0.93–1.97</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7564FB8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1.44 (0.95–2.17)</w:t>
            </w:r>
          </w:p>
        </w:tc>
        <w:tc>
          <w:tcPr>
            <w:tcW w:w="1051" w:type="dxa"/>
            <w:tcBorders>
              <w:top w:val="nil"/>
              <w:left w:val="nil"/>
              <w:bottom w:val="nil"/>
              <w:right w:val="nil"/>
            </w:tcBorders>
            <w:shd w:val="clear" w:color="auto" w:fill="FFFFFF"/>
            <w:noWrap/>
            <w:vAlign w:val="center"/>
          </w:tcPr>
          <w:p w14:paraId="136E526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0.083</w:t>
            </w:r>
          </w:p>
        </w:tc>
      </w:tr>
      <w:tr w14:paraId="11FB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5DD7594">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w:t>
            </w:r>
          </w:p>
        </w:tc>
        <w:tc>
          <w:tcPr>
            <w:tcW w:w="2108" w:type="dxa"/>
            <w:tcBorders>
              <w:top w:val="nil"/>
              <w:left w:val="nil"/>
              <w:bottom w:val="nil"/>
              <w:right w:val="nil"/>
            </w:tcBorders>
            <w:shd w:val="clear" w:color="auto" w:fill="FFFFFF"/>
            <w:noWrap/>
            <w:vAlign w:val="center"/>
          </w:tcPr>
          <w:p w14:paraId="0347A18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1.92 (1.31–2.83</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06965EAB">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2.43 (1.55–3.83)</w:t>
            </w:r>
          </w:p>
        </w:tc>
        <w:tc>
          <w:tcPr>
            <w:tcW w:w="1051" w:type="dxa"/>
            <w:tcBorders>
              <w:top w:val="nil"/>
              <w:left w:val="nil"/>
              <w:bottom w:val="nil"/>
              <w:right w:val="nil"/>
            </w:tcBorders>
            <w:shd w:val="clear" w:color="auto" w:fill="FFFFFF"/>
            <w:noWrap/>
            <w:vAlign w:val="center"/>
          </w:tcPr>
          <w:p w14:paraId="0B23E85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73D37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8AF09A6">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C20:1</w:t>
            </w:r>
          </w:p>
        </w:tc>
        <w:tc>
          <w:tcPr>
            <w:tcW w:w="2108" w:type="dxa"/>
            <w:tcBorders>
              <w:top w:val="nil"/>
              <w:left w:val="nil"/>
              <w:bottom w:val="nil"/>
              <w:right w:val="nil"/>
            </w:tcBorders>
            <w:shd w:val="clear" w:color="auto" w:fill="FFFFFF"/>
            <w:noWrap/>
            <w:vAlign w:val="center"/>
          </w:tcPr>
          <w:p w14:paraId="6EC20E27">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2.36 (1.54–3.63</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558A966E">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3.03 (1.84–5</w:t>
            </w:r>
            <w:r>
              <w:rPr>
                <w:rFonts w:hint="eastAsia" w:ascii="Times New Roman" w:hAnsi="Times New Roman" w:eastAsia="宋体" w:cs="Times New Roman"/>
                <w:b w:val="0"/>
                <w:i w:val="0"/>
                <w:iCs w:val="0"/>
                <w:color w:val="000000"/>
                <w:sz w:val="20"/>
                <w:szCs w:val="20"/>
                <w:u w:val="none"/>
                <w:lang w:val="en-US" w:eastAsia="zh-CN"/>
              </w:rPr>
              <w:t>.00</w:t>
            </w:r>
            <w:r>
              <w:rPr>
                <w:rFonts w:hint="default" w:ascii="Times New Roman" w:hAnsi="Times New Roman" w:eastAsia="宋体" w:cs="Times New Roman"/>
                <w:b w:val="0"/>
                <w:i w:val="0"/>
                <w:iCs w:val="0"/>
                <w:color w:val="000000"/>
                <w:sz w:val="20"/>
                <w:szCs w:val="20"/>
                <w:u w:val="none"/>
                <w:lang w:val="en-US" w:eastAsia="zh-CN"/>
              </w:rPr>
              <w:t>)</w:t>
            </w:r>
          </w:p>
        </w:tc>
        <w:tc>
          <w:tcPr>
            <w:tcW w:w="1051" w:type="dxa"/>
            <w:tcBorders>
              <w:top w:val="nil"/>
              <w:left w:val="nil"/>
              <w:bottom w:val="nil"/>
              <w:right w:val="nil"/>
            </w:tcBorders>
            <w:shd w:val="clear" w:color="auto" w:fill="FFFFFF"/>
            <w:noWrap/>
            <w:vAlign w:val="center"/>
          </w:tcPr>
          <w:p w14:paraId="48720DF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62BF8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04A044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C24:1</w:t>
            </w:r>
          </w:p>
        </w:tc>
        <w:tc>
          <w:tcPr>
            <w:tcW w:w="2108" w:type="dxa"/>
            <w:tcBorders>
              <w:top w:val="nil"/>
              <w:left w:val="nil"/>
              <w:bottom w:val="nil"/>
              <w:right w:val="nil"/>
            </w:tcBorders>
            <w:shd w:val="clear" w:color="auto" w:fill="FFFFFF"/>
            <w:noWrap/>
            <w:vAlign w:val="center"/>
          </w:tcPr>
          <w:p w14:paraId="4A8E1ADD">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2.06 (1.36–3.12</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9E50C5A">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2.47 (1.5</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–4.07)</w:t>
            </w:r>
          </w:p>
        </w:tc>
        <w:tc>
          <w:tcPr>
            <w:tcW w:w="1051" w:type="dxa"/>
            <w:tcBorders>
              <w:top w:val="nil"/>
              <w:left w:val="nil"/>
              <w:bottom w:val="nil"/>
              <w:right w:val="nil"/>
            </w:tcBorders>
            <w:shd w:val="clear" w:color="auto" w:fill="FFFFFF"/>
            <w:noWrap/>
            <w:vAlign w:val="center"/>
          </w:tcPr>
          <w:p w14:paraId="119C540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71D44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4E6783F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PUFA</w:t>
            </w:r>
          </w:p>
        </w:tc>
        <w:tc>
          <w:tcPr>
            <w:tcW w:w="2108" w:type="dxa"/>
            <w:tcBorders>
              <w:top w:val="nil"/>
              <w:left w:val="nil"/>
              <w:bottom w:val="nil"/>
              <w:right w:val="nil"/>
            </w:tcBorders>
            <w:shd w:val="clear" w:color="auto" w:fill="FFFFFF"/>
            <w:noWrap/>
            <w:vAlign w:val="center"/>
          </w:tcPr>
          <w:p w14:paraId="7EA4E9C0">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2.41 (1.56–3.74</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3456940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2.42 (1.5</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–3.91)</w:t>
            </w:r>
          </w:p>
        </w:tc>
        <w:tc>
          <w:tcPr>
            <w:tcW w:w="1051" w:type="dxa"/>
            <w:tcBorders>
              <w:top w:val="nil"/>
              <w:left w:val="nil"/>
              <w:bottom w:val="nil"/>
              <w:right w:val="nil"/>
            </w:tcBorders>
            <w:shd w:val="clear" w:color="auto" w:fill="FFFFFF"/>
            <w:noWrap/>
            <w:vAlign w:val="center"/>
          </w:tcPr>
          <w:p w14:paraId="0E6D1B4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5A090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F3DA2E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n-6 PUFA</w:t>
            </w:r>
          </w:p>
        </w:tc>
        <w:tc>
          <w:tcPr>
            <w:tcW w:w="2108" w:type="dxa"/>
            <w:tcBorders>
              <w:top w:val="nil"/>
              <w:left w:val="nil"/>
              <w:bottom w:val="nil"/>
              <w:right w:val="nil"/>
            </w:tcBorders>
            <w:shd w:val="clear" w:color="auto" w:fill="FFFFFF"/>
            <w:noWrap/>
            <w:vAlign w:val="center"/>
          </w:tcPr>
          <w:p w14:paraId="2FBA6FBA">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3.28 (2</w:t>
            </w:r>
            <w:r>
              <w:rPr>
                <w:rFonts w:hint="eastAsia" w:ascii="Times New Roman" w:hAnsi="Times New Roman" w:eastAsia="宋体" w:cs="Times New Roman"/>
                <w:b w:val="0"/>
                <w:i w:val="0"/>
                <w:iCs w:val="0"/>
                <w:color w:val="000000"/>
                <w:sz w:val="20"/>
                <w:szCs w:val="20"/>
                <w:u w:val="none"/>
                <w:lang w:val="en-US" w:eastAsia="zh-CN"/>
              </w:rPr>
              <w:t>.00</w:t>
            </w:r>
            <w:r>
              <w:rPr>
                <w:rFonts w:hint="default" w:ascii="Times New Roman" w:hAnsi="Times New Roman" w:eastAsia="宋体" w:cs="Times New Roman"/>
                <w:b w:val="0"/>
                <w:i w:val="0"/>
                <w:iCs w:val="0"/>
                <w:color w:val="000000"/>
                <w:sz w:val="20"/>
                <w:szCs w:val="20"/>
                <w:u w:val="none"/>
                <w:lang w:val="en-US" w:eastAsia="zh-CN"/>
              </w:rPr>
              <w:t>–5.37</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7C50F4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3.45 (1.98–5.99)</w:t>
            </w:r>
          </w:p>
        </w:tc>
        <w:tc>
          <w:tcPr>
            <w:tcW w:w="1051" w:type="dxa"/>
            <w:tcBorders>
              <w:top w:val="nil"/>
              <w:left w:val="nil"/>
              <w:bottom w:val="nil"/>
              <w:right w:val="nil"/>
            </w:tcBorders>
            <w:shd w:val="clear" w:color="auto" w:fill="FFFFFF"/>
            <w:noWrap/>
            <w:vAlign w:val="center"/>
          </w:tcPr>
          <w:p w14:paraId="1E6A0EF4">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3ACE3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32798CFA">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C18:2 n-6</w:t>
            </w:r>
          </w:p>
        </w:tc>
        <w:tc>
          <w:tcPr>
            <w:tcW w:w="2108" w:type="dxa"/>
            <w:tcBorders>
              <w:top w:val="nil"/>
              <w:left w:val="nil"/>
              <w:bottom w:val="nil"/>
              <w:right w:val="nil"/>
            </w:tcBorders>
            <w:shd w:val="clear" w:color="auto" w:fill="FFFFFF"/>
            <w:noWrap/>
            <w:vAlign w:val="center"/>
          </w:tcPr>
          <w:p w14:paraId="1CCFD63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1.48 (1.02–2.13</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7E3B19C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1.79 (1.17–2.76)</w:t>
            </w:r>
          </w:p>
        </w:tc>
        <w:tc>
          <w:tcPr>
            <w:tcW w:w="1051" w:type="dxa"/>
            <w:tcBorders>
              <w:top w:val="nil"/>
              <w:left w:val="nil"/>
              <w:bottom w:val="nil"/>
              <w:right w:val="nil"/>
            </w:tcBorders>
            <w:shd w:val="clear" w:color="auto" w:fill="FFFFFF"/>
            <w:noWrap/>
            <w:vAlign w:val="center"/>
          </w:tcPr>
          <w:p w14:paraId="1ADDE876">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0.008</w:t>
            </w:r>
          </w:p>
        </w:tc>
      </w:tr>
      <w:tr w14:paraId="0CCB8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ADF0CA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n-6</w:t>
            </w:r>
          </w:p>
        </w:tc>
        <w:tc>
          <w:tcPr>
            <w:tcW w:w="2108" w:type="dxa"/>
            <w:tcBorders>
              <w:top w:val="nil"/>
              <w:left w:val="nil"/>
              <w:bottom w:val="nil"/>
              <w:right w:val="nil"/>
            </w:tcBorders>
            <w:shd w:val="clear" w:color="auto" w:fill="FFFFFF"/>
            <w:noWrap/>
            <w:vAlign w:val="center"/>
          </w:tcPr>
          <w:p w14:paraId="0D8534A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2.23 (1.41–3.52</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8E1A46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2.63 (1.54–4.48)</w:t>
            </w:r>
          </w:p>
        </w:tc>
        <w:tc>
          <w:tcPr>
            <w:tcW w:w="1051" w:type="dxa"/>
            <w:tcBorders>
              <w:top w:val="nil"/>
              <w:left w:val="nil"/>
              <w:bottom w:val="nil"/>
              <w:right w:val="nil"/>
            </w:tcBorders>
            <w:shd w:val="clear" w:color="auto" w:fill="FFFFFF"/>
            <w:noWrap/>
            <w:vAlign w:val="center"/>
          </w:tcPr>
          <w:p w14:paraId="77FCB7E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76FC6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778F38C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C20:2 n-6</w:t>
            </w:r>
          </w:p>
        </w:tc>
        <w:tc>
          <w:tcPr>
            <w:tcW w:w="2108" w:type="dxa"/>
            <w:tcBorders>
              <w:top w:val="nil"/>
              <w:left w:val="nil"/>
              <w:bottom w:val="nil"/>
              <w:right w:val="nil"/>
            </w:tcBorders>
            <w:shd w:val="clear" w:color="auto" w:fill="FFFFFF"/>
            <w:noWrap/>
            <w:vAlign w:val="center"/>
          </w:tcPr>
          <w:p w14:paraId="55CC50F5">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3.45 (2.08–5.72</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F22156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4.43 (2.52–7.81)</w:t>
            </w:r>
          </w:p>
        </w:tc>
        <w:tc>
          <w:tcPr>
            <w:tcW w:w="1051" w:type="dxa"/>
            <w:tcBorders>
              <w:top w:val="nil"/>
              <w:left w:val="nil"/>
              <w:bottom w:val="nil"/>
              <w:right w:val="nil"/>
            </w:tcBorders>
            <w:shd w:val="clear" w:color="auto" w:fill="FFFFFF"/>
            <w:noWrap/>
            <w:vAlign w:val="center"/>
          </w:tcPr>
          <w:p w14:paraId="3DB429C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1BFBF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3290A7D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C20:3 n-6</w:t>
            </w:r>
          </w:p>
        </w:tc>
        <w:tc>
          <w:tcPr>
            <w:tcW w:w="2108" w:type="dxa"/>
            <w:tcBorders>
              <w:top w:val="nil"/>
              <w:left w:val="nil"/>
              <w:bottom w:val="nil"/>
              <w:right w:val="nil"/>
            </w:tcBorders>
            <w:shd w:val="clear" w:color="auto" w:fill="FFFFFF"/>
            <w:noWrap/>
            <w:vAlign w:val="center"/>
          </w:tcPr>
          <w:p w14:paraId="2D9B7BD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3.92 (2.24–6.85</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5E02E5BA">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5.57 (2.77–11.22)</w:t>
            </w:r>
          </w:p>
        </w:tc>
        <w:tc>
          <w:tcPr>
            <w:tcW w:w="1051" w:type="dxa"/>
            <w:tcBorders>
              <w:top w:val="nil"/>
              <w:left w:val="nil"/>
              <w:bottom w:val="nil"/>
              <w:right w:val="nil"/>
            </w:tcBorders>
            <w:shd w:val="clear" w:color="auto" w:fill="FFFFFF"/>
            <w:noWrap/>
            <w:vAlign w:val="center"/>
          </w:tcPr>
          <w:p w14:paraId="577A28DD">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7CAE8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40DCFD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C20:4 n-6</w:t>
            </w:r>
          </w:p>
        </w:tc>
        <w:tc>
          <w:tcPr>
            <w:tcW w:w="2108" w:type="dxa"/>
            <w:tcBorders>
              <w:top w:val="nil"/>
              <w:left w:val="nil"/>
              <w:bottom w:val="nil"/>
              <w:right w:val="nil"/>
            </w:tcBorders>
            <w:shd w:val="clear" w:color="auto" w:fill="FFFFFF"/>
            <w:noWrap/>
            <w:vAlign w:val="center"/>
          </w:tcPr>
          <w:p w14:paraId="55242D6D">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2.61 (1.73–3.94</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7C9D460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2.25 (1.47–3.43)</w:t>
            </w:r>
          </w:p>
        </w:tc>
        <w:tc>
          <w:tcPr>
            <w:tcW w:w="1051" w:type="dxa"/>
            <w:tcBorders>
              <w:top w:val="nil"/>
              <w:left w:val="nil"/>
              <w:bottom w:val="nil"/>
              <w:right w:val="nil"/>
            </w:tcBorders>
            <w:shd w:val="clear" w:color="auto" w:fill="FFFFFF"/>
            <w:noWrap/>
            <w:vAlign w:val="center"/>
          </w:tcPr>
          <w:p w14:paraId="5D2BFDD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09959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0D424BF">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C22:4 n-6</w:t>
            </w:r>
          </w:p>
        </w:tc>
        <w:tc>
          <w:tcPr>
            <w:tcW w:w="2108" w:type="dxa"/>
            <w:tcBorders>
              <w:top w:val="nil"/>
              <w:left w:val="nil"/>
              <w:bottom w:val="nil"/>
              <w:right w:val="nil"/>
            </w:tcBorders>
            <w:shd w:val="clear" w:color="auto" w:fill="FFFFFF"/>
            <w:noWrap/>
            <w:vAlign w:val="center"/>
          </w:tcPr>
          <w:p w14:paraId="3723F4D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2.19 (1.46–3.27</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2F7F4AD5">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2.38 (1.52–3.72)</w:t>
            </w:r>
          </w:p>
        </w:tc>
        <w:tc>
          <w:tcPr>
            <w:tcW w:w="1051" w:type="dxa"/>
            <w:tcBorders>
              <w:top w:val="nil"/>
              <w:left w:val="nil"/>
              <w:bottom w:val="nil"/>
              <w:right w:val="nil"/>
            </w:tcBorders>
            <w:shd w:val="clear" w:color="auto" w:fill="FFFFFF"/>
            <w:noWrap/>
            <w:vAlign w:val="center"/>
          </w:tcPr>
          <w:p w14:paraId="37E74E6E">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64202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E525A7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C22:5 n-6</w:t>
            </w:r>
          </w:p>
        </w:tc>
        <w:tc>
          <w:tcPr>
            <w:tcW w:w="2108" w:type="dxa"/>
            <w:tcBorders>
              <w:top w:val="nil"/>
              <w:left w:val="nil"/>
              <w:bottom w:val="nil"/>
              <w:right w:val="nil"/>
            </w:tcBorders>
            <w:shd w:val="clear" w:color="auto" w:fill="FFFFFF"/>
            <w:noWrap/>
            <w:vAlign w:val="center"/>
          </w:tcPr>
          <w:p w14:paraId="6E854F31">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1.61 (1.06–2.46</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7D8BEFD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1.53 (0.97–2.41)</w:t>
            </w:r>
          </w:p>
        </w:tc>
        <w:tc>
          <w:tcPr>
            <w:tcW w:w="1051" w:type="dxa"/>
            <w:tcBorders>
              <w:top w:val="nil"/>
              <w:left w:val="nil"/>
              <w:bottom w:val="nil"/>
              <w:right w:val="nil"/>
            </w:tcBorders>
            <w:shd w:val="clear" w:color="auto" w:fill="FFFFFF"/>
            <w:noWrap/>
            <w:vAlign w:val="center"/>
          </w:tcPr>
          <w:p w14:paraId="697D4135">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0.067</w:t>
            </w:r>
          </w:p>
        </w:tc>
      </w:tr>
      <w:tr w14:paraId="30C2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DDDEDBB">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n-3 PUFA</w:t>
            </w:r>
          </w:p>
        </w:tc>
        <w:tc>
          <w:tcPr>
            <w:tcW w:w="2108" w:type="dxa"/>
            <w:tcBorders>
              <w:top w:val="nil"/>
              <w:left w:val="nil"/>
              <w:bottom w:val="nil"/>
              <w:right w:val="nil"/>
            </w:tcBorders>
            <w:shd w:val="clear" w:color="auto" w:fill="FFFFFF"/>
            <w:noWrap/>
            <w:vAlign w:val="center"/>
          </w:tcPr>
          <w:p w14:paraId="5D032A76">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0.3</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 xml:space="preserve"> (0.19–0.48</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EDA7B0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0.24 (0.13–0.43)</w:t>
            </w:r>
          </w:p>
        </w:tc>
        <w:tc>
          <w:tcPr>
            <w:tcW w:w="1051" w:type="dxa"/>
            <w:tcBorders>
              <w:top w:val="nil"/>
              <w:left w:val="nil"/>
              <w:bottom w:val="nil"/>
              <w:right w:val="nil"/>
            </w:tcBorders>
            <w:shd w:val="clear" w:color="auto" w:fill="FFFFFF"/>
            <w:noWrap/>
            <w:vAlign w:val="center"/>
          </w:tcPr>
          <w:p w14:paraId="46BB150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696A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95C882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n-3</w:t>
            </w:r>
          </w:p>
        </w:tc>
        <w:tc>
          <w:tcPr>
            <w:tcW w:w="2108" w:type="dxa"/>
            <w:tcBorders>
              <w:top w:val="nil"/>
              <w:left w:val="nil"/>
              <w:bottom w:val="nil"/>
              <w:right w:val="nil"/>
            </w:tcBorders>
            <w:shd w:val="clear" w:color="auto" w:fill="FFFFFF"/>
            <w:noWrap/>
            <w:vAlign w:val="center"/>
          </w:tcPr>
          <w:p w14:paraId="2DA8DAB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1.25 (0.84–1.86</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1A7D3F6A">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1.28 (0.84–1.94)</w:t>
            </w:r>
          </w:p>
        </w:tc>
        <w:tc>
          <w:tcPr>
            <w:tcW w:w="1051" w:type="dxa"/>
            <w:tcBorders>
              <w:top w:val="nil"/>
              <w:left w:val="nil"/>
              <w:bottom w:val="nil"/>
              <w:right w:val="nil"/>
            </w:tcBorders>
            <w:shd w:val="clear" w:color="auto" w:fill="FFFFFF"/>
            <w:noWrap/>
            <w:vAlign w:val="center"/>
          </w:tcPr>
          <w:p w14:paraId="575AEAD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0.249</w:t>
            </w:r>
          </w:p>
        </w:tc>
      </w:tr>
      <w:tr w14:paraId="7E17E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4B2442F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C20:5 n-3</w:t>
            </w:r>
          </w:p>
        </w:tc>
        <w:tc>
          <w:tcPr>
            <w:tcW w:w="2108" w:type="dxa"/>
            <w:tcBorders>
              <w:top w:val="nil"/>
              <w:left w:val="nil"/>
              <w:bottom w:val="nil"/>
              <w:right w:val="nil"/>
            </w:tcBorders>
            <w:shd w:val="clear" w:color="auto" w:fill="FFFFFF"/>
            <w:noWrap/>
            <w:vAlign w:val="center"/>
          </w:tcPr>
          <w:p w14:paraId="53C98E6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1.23 (0.87–1.73</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7846E180">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1.28 (0.87–1.88)</w:t>
            </w:r>
          </w:p>
        </w:tc>
        <w:tc>
          <w:tcPr>
            <w:tcW w:w="1051" w:type="dxa"/>
            <w:tcBorders>
              <w:top w:val="nil"/>
              <w:left w:val="nil"/>
              <w:bottom w:val="nil"/>
              <w:right w:val="nil"/>
            </w:tcBorders>
            <w:shd w:val="clear" w:color="auto" w:fill="FFFFFF"/>
            <w:noWrap/>
            <w:vAlign w:val="center"/>
          </w:tcPr>
          <w:p w14:paraId="402DBF0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0.214</w:t>
            </w:r>
          </w:p>
        </w:tc>
      </w:tr>
      <w:tr w14:paraId="5588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C5199E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C22:6 n-3</w:t>
            </w:r>
          </w:p>
        </w:tc>
        <w:tc>
          <w:tcPr>
            <w:tcW w:w="2108" w:type="dxa"/>
            <w:tcBorders>
              <w:top w:val="nil"/>
              <w:left w:val="nil"/>
              <w:bottom w:val="nil"/>
              <w:right w:val="nil"/>
            </w:tcBorders>
            <w:shd w:val="clear" w:color="auto" w:fill="FFFFFF"/>
            <w:noWrap/>
            <w:vAlign w:val="center"/>
          </w:tcPr>
          <w:p w14:paraId="08CF697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0.28 (0.17–0.45</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6813E59">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0.22 (0.12–0.39)</w:t>
            </w:r>
          </w:p>
        </w:tc>
        <w:tc>
          <w:tcPr>
            <w:tcW w:w="1051" w:type="dxa"/>
            <w:tcBorders>
              <w:top w:val="nil"/>
              <w:left w:val="nil"/>
              <w:bottom w:val="nil"/>
              <w:right w:val="nil"/>
            </w:tcBorders>
            <w:shd w:val="clear" w:color="auto" w:fill="FFFFFF"/>
            <w:noWrap/>
            <w:vAlign w:val="center"/>
          </w:tcPr>
          <w:p w14:paraId="36E4FCE0">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&lt;0.001</w:t>
            </w:r>
          </w:p>
        </w:tc>
      </w:tr>
      <w:tr w14:paraId="3A287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3AB392F4">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TFA</w:t>
            </w:r>
          </w:p>
        </w:tc>
        <w:tc>
          <w:tcPr>
            <w:tcW w:w="2108" w:type="dxa"/>
            <w:tcBorders>
              <w:top w:val="nil"/>
              <w:left w:val="nil"/>
              <w:bottom w:val="nil"/>
              <w:right w:val="nil"/>
            </w:tcBorders>
            <w:shd w:val="clear" w:color="auto" w:fill="FFFFFF"/>
            <w:noWrap/>
            <w:vAlign w:val="center"/>
          </w:tcPr>
          <w:p w14:paraId="6699C56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1.53 (1.07–2.19</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0164B4C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1.97 (1.29–3.03)</w:t>
            </w:r>
          </w:p>
        </w:tc>
        <w:tc>
          <w:tcPr>
            <w:tcW w:w="1051" w:type="dxa"/>
            <w:tcBorders>
              <w:top w:val="nil"/>
              <w:left w:val="nil"/>
              <w:bottom w:val="nil"/>
              <w:right w:val="nil"/>
            </w:tcBorders>
            <w:shd w:val="clear" w:color="auto" w:fill="FFFFFF"/>
            <w:noWrap/>
            <w:vAlign w:val="center"/>
          </w:tcPr>
          <w:p w14:paraId="00CB2934">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0.002</w:t>
            </w:r>
          </w:p>
        </w:tc>
      </w:tr>
      <w:tr w14:paraId="768E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09032F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 n-7t</w:t>
            </w:r>
          </w:p>
        </w:tc>
        <w:tc>
          <w:tcPr>
            <w:tcW w:w="2108" w:type="dxa"/>
            <w:tcBorders>
              <w:top w:val="nil"/>
              <w:left w:val="nil"/>
              <w:bottom w:val="nil"/>
              <w:right w:val="nil"/>
            </w:tcBorders>
            <w:shd w:val="clear" w:color="auto" w:fill="FFFFFF"/>
            <w:noWrap/>
            <w:vAlign w:val="center"/>
          </w:tcPr>
          <w:p w14:paraId="05F2365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1.48 (1.03–2.13</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4F87ADA3">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1.74 (1.15–2.64)</w:t>
            </w:r>
          </w:p>
        </w:tc>
        <w:tc>
          <w:tcPr>
            <w:tcW w:w="1051" w:type="dxa"/>
            <w:tcBorders>
              <w:top w:val="nil"/>
              <w:left w:val="nil"/>
              <w:bottom w:val="nil"/>
              <w:right w:val="nil"/>
            </w:tcBorders>
            <w:shd w:val="clear" w:color="auto" w:fill="FFFFFF"/>
            <w:noWrap/>
            <w:vAlign w:val="center"/>
          </w:tcPr>
          <w:p w14:paraId="606FA34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0.009</w:t>
            </w:r>
          </w:p>
        </w:tc>
      </w:tr>
      <w:tr w14:paraId="1061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ADD2EA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 n-9t</w:t>
            </w:r>
          </w:p>
        </w:tc>
        <w:tc>
          <w:tcPr>
            <w:tcW w:w="2108" w:type="dxa"/>
            <w:tcBorders>
              <w:top w:val="nil"/>
              <w:left w:val="nil"/>
              <w:bottom w:val="nil"/>
              <w:right w:val="nil"/>
            </w:tcBorders>
            <w:shd w:val="clear" w:color="auto" w:fill="FFFFFF"/>
            <w:noWrap/>
            <w:vAlign w:val="center"/>
          </w:tcPr>
          <w:p w14:paraId="4F47684E">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sz w:val="20"/>
                <w:szCs w:val="20"/>
                <w:u w:val="none"/>
                <w:lang w:val="en-US" w:eastAsia="zh-CN"/>
              </w:rPr>
              <w:t>1.26 (0.9</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–1.78</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422D38A7">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1.52 (1.02–2.26)</w:t>
            </w:r>
          </w:p>
        </w:tc>
        <w:tc>
          <w:tcPr>
            <w:tcW w:w="1051" w:type="dxa"/>
            <w:tcBorders>
              <w:top w:val="nil"/>
              <w:left w:val="nil"/>
              <w:bottom w:val="nil"/>
              <w:right w:val="nil"/>
            </w:tcBorders>
            <w:shd w:val="clear" w:color="auto" w:fill="FFFFFF"/>
            <w:noWrap/>
            <w:vAlign w:val="center"/>
          </w:tcPr>
          <w:p w14:paraId="17CAEE00">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0.039</w:t>
            </w:r>
          </w:p>
        </w:tc>
      </w:tr>
      <w:tr w14:paraId="3077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4EA7A1F6">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FA index</w:t>
            </w:r>
          </w:p>
        </w:tc>
        <w:tc>
          <w:tcPr>
            <w:tcW w:w="2108" w:type="dxa"/>
            <w:tcBorders>
              <w:top w:val="nil"/>
              <w:left w:val="nil"/>
              <w:bottom w:val="nil"/>
              <w:right w:val="nil"/>
            </w:tcBorders>
            <w:shd w:val="clear" w:color="auto" w:fill="FFFFFF"/>
            <w:noWrap/>
            <w:vAlign w:val="center"/>
          </w:tcPr>
          <w:p w14:paraId="57972C95">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rPr>
            </w:pPr>
          </w:p>
        </w:tc>
        <w:tc>
          <w:tcPr>
            <w:tcW w:w="2225" w:type="dxa"/>
            <w:tcBorders>
              <w:top w:val="nil"/>
              <w:left w:val="nil"/>
              <w:bottom w:val="nil"/>
              <w:right w:val="nil"/>
            </w:tcBorders>
            <w:shd w:val="clear" w:color="auto" w:fill="FFFFFF"/>
            <w:noWrap/>
            <w:vAlign w:val="center"/>
          </w:tcPr>
          <w:p w14:paraId="2CA6AA2B">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p>
        </w:tc>
        <w:tc>
          <w:tcPr>
            <w:tcW w:w="1051" w:type="dxa"/>
            <w:tcBorders>
              <w:top w:val="nil"/>
              <w:left w:val="nil"/>
              <w:bottom w:val="nil"/>
              <w:right w:val="nil"/>
            </w:tcBorders>
            <w:shd w:val="clear" w:color="auto" w:fill="FFFFFF"/>
            <w:noWrap/>
            <w:vAlign w:val="center"/>
          </w:tcPr>
          <w:p w14:paraId="08C9CA0F">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p>
        </w:tc>
      </w:tr>
      <w:tr w14:paraId="4438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29A4C9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n-3 index</w:t>
            </w:r>
          </w:p>
        </w:tc>
        <w:tc>
          <w:tcPr>
            <w:tcW w:w="2108" w:type="dxa"/>
            <w:tcBorders>
              <w:top w:val="nil"/>
              <w:left w:val="nil"/>
              <w:bottom w:val="nil"/>
              <w:right w:val="nil"/>
            </w:tcBorders>
            <w:shd w:val="clear" w:color="auto" w:fill="FFFFFF"/>
            <w:noWrap/>
            <w:vAlign w:val="center"/>
          </w:tcPr>
          <w:p w14:paraId="4B8DF88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0.29 (0.18–0.47</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5E41E75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0.22 (0.12–0.4</w:t>
            </w:r>
            <w:r>
              <w:rPr>
                <w:rFonts w:hint="eastAsia" w:ascii="Times New Roman" w:hAnsi="Times New Roman" w:eastAsia="宋体" w:cs="Times New Roman"/>
                <w:b w:val="0"/>
                <w:i w:val="0"/>
                <w:iCs w:val="0"/>
                <w:color w:val="000000"/>
                <w:sz w:val="20"/>
                <w:szCs w:val="20"/>
                <w:u w:val="none"/>
                <w:lang w:val="en-US" w:eastAsia="zh-CN"/>
              </w:rPr>
              <w:t>0</w:t>
            </w:r>
            <w:r>
              <w:rPr>
                <w:rFonts w:hint="default" w:ascii="Times New Roman" w:hAnsi="Times New Roman" w:eastAsia="宋体" w:cs="Times New Roman"/>
                <w:b w:val="0"/>
                <w:i w:val="0"/>
                <w:iCs w:val="0"/>
                <w:color w:val="000000"/>
                <w:sz w:val="20"/>
                <w:szCs w:val="20"/>
                <w:u w:val="none"/>
                <w:lang w:val="en-US" w:eastAsia="zh-CN"/>
              </w:rPr>
              <w:t>)</w:t>
            </w:r>
          </w:p>
        </w:tc>
        <w:tc>
          <w:tcPr>
            <w:tcW w:w="1051" w:type="dxa"/>
            <w:tcBorders>
              <w:top w:val="nil"/>
              <w:left w:val="nil"/>
              <w:bottom w:val="nil"/>
              <w:right w:val="nil"/>
            </w:tcBorders>
            <w:shd w:val="clear" w:color="auto" w:fill="FFFFFF"/>
            <w:noWrap/>
            <w:vAlign w:val="center"/>
          </w:tcPr>
          <w:p w14:paraId="6FE2C3CC">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sz w:val="20"/>
                <w:szCs w:val="20"/>
                <w:u w:val="none"/>
                <w:lang w:val="en-US" w:eastAsia="zh-CN"/>
              </w:rPr>
              <w:t>&lt;0.001</w:t>
            </w:r>
          </w:p>
        </w:tc>
      </w:tr>
      <w:tr w14:paraId="293FF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481B353">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n-6:n-3</w:t>
            </w:r>
          </w:p>
        </w:tc>
        <w:tc>
          <w:tcPr>
            <w:tcW w:w="2108" w:type="dxa"/>
            <w:tcBorders>
              <w:top w:val="nil"/>
              <w:left w:val="nil"/>
              <w:bottom w:val="nil"/>
              <w:right w:val="nil"/>
            </w:tcBorders>
            <w:shd w:val="clear" w:color="auto" w:fill="FFFFFF"/>
            <w:noWrap/>
            <w:vAlign w:val="center"/>
          </w:tcPr>
          <w:p w14:paraId="5714204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4.61 (2.45–8.69</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nil"/>
              <w:right w:val="nil"/>
            </w:tcBorders>
            <w:shd w:val="clear" w:color="auto" w:fill="FFFFFF"/>
            <w:noWrap/>
            <w:vAlign w:val="center"/>
          </w:tcPr>
          <w:p w14:paraId="62C6C1E6">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5.66 (2.74–11.73)</w:t>
            </w:r>
          </w:p>
        </w:tc>
        <w:tc>
          <w:tcPr>
            <w:tcW w:w="1051" w:type="dxa"/>
            <w:tcBorders>
              <w:top w:val="nil"/>
              <w:left w:val="nil"/>
              <w:bottom w:val="nil"/>
              <w:right w:val="nil"/>
            </w:tcBorders>
            <w:shd w:val="clear" w:color="auto" w:fill="FFFFFF"/>
            <w:noWrap/>
            <w:vAlign w:val="center"/>
          </w:tcPr>
          <w:p w14:paraId="73355238">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sz w:val="20"/>
                <w:szCs w:val="20"/>
                <w:u w:val="none"/>
                <w:lang w:val="en-US" w:eastAsia="zh-CN"/>
              </w:rPr>
              <w:t>&lt;0.001</w:t>
            </w:r>
          </w:p>
        </w:tc>
      </w:tr>
      <w:tr w14:paraId="7C0C3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single" w:color="000000" w:sz="12" w:space="0"/>
              <w:right w:val="nil"/>
            </w:tcBorders>
            <w:shd w:val="clear" w:color="auto" w:fill="FFFFFF"/>
            <w:noWrap/>
            <w:vAlign w:val="center"/>
          </w:tcPr>
          <w:p w14:paraId="7422E41A">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AA:EPA</w:t>
            </w:r>
          </w:p>
        </w:tc>
        <w:tc>
          <w:tcPr>
            <w:tcW w:w="2108" w:type="dxa"/>
            <w:tcBorders>
              <w:top w:val="nil"/>
              <w:left w:val="nil"/>
              <w:bottom w:val="single" w:color="000000" w:sz="12" w:space="0"/>
              <w:right w:val="nil"/>
            </w:tcBorders>
            <w:shd w:val="clear" w:color="auto" w:fill="FFFFFF"/>
            <w:noWrap/>
            <w:vAlign w:val="center"/>
          </w:tcPr>
          <w:p w14:paraId="138ECD36">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0.84 (0.58–1.22</w:t>
            </w:r>
            <w:r>
              <w:rPr>
                <w:rFonts w:hint="eastAsia" w:ascii="Times New Roman" w:hAnsi="Times New Roman" w:eastAsia="宋体" w:cs="Times New Roman"/>
                <w:b w:val="0"/>
                <w:i w:val="0"/>
                <w:iCs w:val="0"/>
                <w:color w:val="000000"/>
                <w:sz w:val="20"/>
                <w:szCs w:val="20"/>
                <w:u w:val="none"/>
                <w:lang w:val="en-US" w:eastAsia="zh-CN"/>
              </w:rPr>
              <w:t>)</w:t>
            </w:r>
          </w:p>
        </w:tc>
        <w:tc>
          <w:tcPr>
            <w:tcW w:w="2225" w:type="dxa"/>
            <w:tcBorders>
              <w:top w:val="nil"/>
              <w:left w:val="nil"/>
              <w:bottom w:val="single" w:color="000000" w:sz="12" w:space="0"/>
              <w:right w:val="nil"/>
            </w:tcBorders>
            <w:shd w:val="clear" w:color="auto" w:fill="FFFFFF"/>
            <w:noWrap/>
            <w:vAlign w:val="center"/>
          </w:tcPr>
          <w:p w14:paraId="3AA3C072">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b w:val="0"/>
                <w:i w:val="0"/>
                <w:iCs w:val="0"/>
                <w:color w:val="000000"/>
                <w:sz w:val="20"/>
                <w:szCs w:val="20"/>
                <w:u w:val="none"/>
                <w:lang w:val="en-US" w:eastAsia="zh-CN"/>
              </w:rPr>
              <w:t>1.0</w:t>
            </w:r>
            <w:r>
              <w:rPr>
                <w:rFonts w:hint="eastAsia" w:ascii="Times New Roman" w:hAnsi="Times New Roman" w:eastAsia="宋体" w:cs="Times New Roman"/>
                <w:b w:val="0"/>
                <w:i w:val="0"/>
                <w:iCs w:val="0"/>
                <w:color w:val="000000"/>
                <w:sz w:val="20"/>
                <w:szCs w:val="20"/>
                <w:u w:val="none"/>
                <w:lang w:val="en-US" w:eastAsia="zh-CN"/>
              </w:rPr>
              <w:t>1</w:t>
            </w:r>
            <w:r>
              <w:rPr>
                <w:rFonts w:hint="default" w:ascii="Times New Roman" w:hAnsi="Times New Roman" w:eastAsia="宋体" w:cs="Times New Roman"/>
                <w:b w:val="0"/>
                <w:i w:val="0"/>
                <w:iCs w:val="0"/>
                <w:color w:val="000000"/>
                <w:sz w:val="20"/>
                <w:szCs w:val="20"/>
                <w:u w:val="none"/>
                <w:lang w:val="en-US" w:eastAsia="zh-CN"/>
              </w:rPr>
              <w:t xml:space="preserve"> (0.6</w:t>
            </w:r>
            <w:r>
              <w:rPr>
                <w:rFonts w:hint="eastAsia" w:ascii="Times New Roman" w:hAnsi="Times New Roman" w:eastAsia="宋体" w:cs="Times New Roman"/>
                <w:b w:val="0"/>
                <w:i w:val="0"/>
                <w:iCs w:val="0"/>
                <w:color w:val="000000"/>
                <w:sz w:val="20"/>
                <w:szCs w:val="20"/>
                <w:u w:val="none"/>
                <w:lang w:val="en-US" w:eastAsia="zh-CN"/>
              </w:rPr>
              <w:t>7</w:t>
            </w:r>
            <w:r>
              <w:rPr>
                <w:rFonts w:hint="default" w:ascii="Times New Roman" w:hAnsi="Times New Roman" w:eastAsia="宋体" w:cs="Times New Roman"/>
                <w:b w:val="0"/>
                <w:i w:val="0"/>
                <w:iCs w:val="0"/>
                <w:color w:val="000000"/>
                <w:sz w:val="20"/>
                <w:szCs w:val="20"/>
                <w:u w:val="none"/>
                <w:lang w:val="en-US" w:eastAsia="zh-CN"/>
              </w:rPr>
              <w:t>–1.52</w:t>
            </w:r>
            <w:r>
              <w:rPr>
                <w:rFonts w:hint="eastAsia" w:ascii="Times New Roman" w:hAnsi="Times New Roman" w:eastAsia="宋体" w:cs="Times New Roman"/>
                <w:b w:val="0"/>
                <w:i w:val="0"/>
                <w:iCs w:val="0"/>
                <w:color w:val="000000"/>
                <w:sz w:val="20"/>
                <w:szCs w:val="20"/>
                <w:u w:val="none"/>
                <w:lang w:val="en-US" w:eastAsia="zh-CN"/>
              </w:rPr>
              <w:t>)</w:t>
            </w:r>
          </w:p>
        </w:tc>
        <w:tc>
          <w:tcPr>
            <w:tcW w:w="1051" w:type="dxa"/>
            <w:tcBorders>
              <w:top w:val="nil"/>
              <w:left w:val="nil"/>
              <w:bottom w:val="single" w:color="000000" w:sz="12" w:space="0"/>
              <w:right w:val="nil"/>
            </w:tcBorders>
            <w:shd w:val="clear" w:color="auto" w:fill="FFFFFF"/>
            <w:noWrap/>
            <w:vAlign w:val="center"/>
          </w:tcPr>
          <w:p w14:paraId="06415DD7">
            <w:pPr>
              <w:keepNext w:val="0"/>
              <w:keepLines w:val="0"/>
              <w:widowControl/>
              <w:suppressLineNumbers w:val="0"/>
              <w:ind w:firstLine="200" w:firstLineChars="10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sz w:val="20"/>
                <w:szCs w:val="20"/>
                <w:u w:val="none"/>
                <w:lang w:val="en-US" w:eastAsia="zh-CN"/>
              </w:rPr>
              <w:t>0.976</w:t>
            </w:r>
          </w:p>
        </w:tc>
      </w:tr>
    </w:tbl>
    <w:p w14:paraId="222DB4BF">
      <w:pPr>
        <w:rPr>
          <w:rFonts w:hint="default" w:ascii="Times New Roman" w:hAnsi="Times New Roman" w:cs="Times New Roman"/>
          <w:sz w:val="20"/>
          <w:szCs w:val="20"/>
          <w:lang w:val="en-US" w:eastAsia="zh-CN"/>
        </w:rPr>
      </w:pPr>
      <w:r>
        <w:rPr>
          <w:rFonts w:hint="default" w:ascii="Times New Roman" w:hAnsi="Times New Roman" w:cs="Times New Roman"/>
          <w:sz w:val="20"/>
          <w:szCs w:val="20"/>
          <w:vertAlign w:val="superscript"/>
          <w:lang w:val="en-US" w:eastAsia="zh-CN"/>
        </w:rPr>
        <w:t>a</w:t>
      </w:r>
      <w:r>
        <w:rPr>
          <w:rFonts w:hint="default" w:ascii="Times New Roman" w:hAnsi="Times New Roman" w:cs="Times New Roman"/>
          <w:sz w:val="20"/>
          <w:szCs w:val="20"/>
          <w:lang w:val="en-US" w:eastAsia="zh-CN"/>
        </w:rPr>
        <w:t>Adjusted for age, sex, BMI, education, smoking status, alcohol consumption</w:t>
      </w:r>
      <w:r>
        <w:rPr>
          <w:rFonts w:hint="eastAsia" w:ascii="Times New Roman" w:hAnsi="Times New Roman" w:cs="Times New Roman"/>
          <w:sz w:val="20"/>
          <w:szCs w:val="20"/>
          <w:lang w:val="en-US" w:eastAsia="zh-CN"/>
        </w:rPr>
        <w:t xml:space="preserve">, and </w:t>
      </w:r>
      <w:r>
        <w:rPr>
          <w:rFonts w:hint="default" w:ascii="Times New Roman" w:hAnsi="Times New Roman" w:cs="Times New Roman"/>
          <w:sz w:val="20"/>
          <w:szCs w:val="20"/>
          <w:lang w:val="en-US" w:eastAsia="zh-CN"/>
        </w:rPr>
        <w:t>hypertension.</w:t>
      </w:r>
    </w:p>
    <w:p w14:paraId="4D2A8ACC">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Abbreviations: SFA, saturated fatty acid; MUFA, monounsaturated fatty acid; PUFA, polyunsaturated fatty acid; TFA, trans fatty acid; FA, fatty acid; AA, arachidonic acid, C20:4n-6; EPA, eicosapentaenoic acid, C20:5n-3; DHA, docosahexaenoic acid, C22:6n3; ALA, α-linolenic acid, C18:3n-3; OA, oleic acid, C18:1.</w:t>
      </w:r>
    </w:p>
    <w:p w14:paraId="336A2406">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1232821D">
      <w:pPr>
        <w:rPr>
          <w:rFonts w:hint="eastAsia"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Table S4.</w:t>
      </w:r>
      <w:r>
        <w:rPr>
          <w:rFonts w:hint="eastAsia" w:ascii="Times New Roman" w:hAnsi="Times New Roman" w:cs="Times New Roman"/>
          <w:sz w:val="20"/>
          <w:szCs w:val="20"/>
          <w:lang w:val="en-US" w:eastAsia="zh-CN"/>
        </w:rPr>
        <w:t xml:space="preserve"> Association of high vs. low tertile fatty acid levels with intracranial aneurysm rupture.</w:t>
      </w:r>
    </w:p>
    <w:tbl>
      <w:tblPr>
        <w:tblStyle w:val="5"/>
        <w:tblW w:w="63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8"/>
        <w:gridCol w:w="1976"/>
        <w:gridCol w:w="2086"/>
        <w:gridCol w:w="986"/>
      </w:tblGrid>
      <w:tr w14:paraId="3110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288" w:type="dxa"/>
            <w:tcBorders>
              <w:top w:val="single" w:color="000000" w:sz="12" w:space="0"/>
              <w:left w:val="nil"/>
              <w:bottom w:val="single" w:color="000000" w:sz="4" w:space="0"/>
              <w:right w:val="nil"/>
              <w:tl2br w:val="nil"/>
            </w:tcBorders>
            <w:shd w:val="clear" w:color="auto" w:fill="FFFFFF"/>
            <w:noWrap/>
            <w:vAlign w:val="center"/>
          </w:tcPr>
          <w:p w14:paraId="5704FC6D">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kern w:val="0"/>
                <w:sz w:val="20"/>
                <w:szCs w:val="20"/>
                <w:u w:val="none"/>
                <w:lang w:val="en-US" w:eastAsia="zh-CN" w:bidi="ar"/>
              </w:rPr>
              <w:t>Erythrocyte fatty acids</w:t>
            </w:r>
          </w:p>
        </w:tc>
        <w:tc>
          <w:tcPr>
            <w:tcW w:w="1976" w:type="dxa"/>
            <w:tcBorders>
              <w:top w:val="single" w:color="000000" w:sz="12" w:space="0"/>
              <w:left w:val="nil"/>
              <w:bottom w:val="single" w:color="000000" w:sz="4" w:space="0"/>
              <w:right w:val="nil"/>
            </w:tcBorders>
            <w:shd w:val="clear" w:color="auto" w:fill="FFFFFF"/>
            <w:noWrap/>
            <w:vAlign w:val="center"/>
          </w:tcPr>
          <w:p w14:paraId="605EFB8F">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sz w:val="20"/>
                <w:szCs w:val="20"/>
                <w:u w:val="none"/>
              </w:rPr>
              <w:t>Unadjusted</w:t>
            </w:r>
          </w:p>
        </w:tc>
        <w:tc>
          <w:tcPr>
            <w:tcW w:w="2086" w:type="dxa"/>
            <w:tcBorders>
              <w:top w:val="single" w:color="000000" w:sz="12" w:space="0"/>
              <w:left w:val="nil"/>
              <w:bottom w:val="single" w:color="000000" w:sz="4" w:space="0"/>
              <w:right w:val="nil"/>
            </w:tcBorders>
            <w:shd w:val="clear" w:color="auto" w:fill="FFFFFF"/>
            <w:noWrap/>
            <w:vAlign w:val="center"/>
          </w:tcPr>
          <w:p w14:paraId="2328671D">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sz w:val="20"/>
                <w:szCs w:val="20"/>
                <w:u w:val="none"/>
              </w:rPr>
              <w:t>Fully adjusted</w:t>
            </w:r>
            <w:r>
              <w:rPr>
                <w:rFonts w:hint="default" w:ascii="Times New Roman" w:hAnsi="Times New Roman" w:eastAsia="宋体" w:cs="Times New Roman"/>
                <w:b/>
                <w:bCs w:val="0"/>
                <w:i w:val="0"/>
                <w:iCs w:val="0"/>
                <w:caps w:val="0"/>
                <w:color w:val="000000"/>
                <w:spacing w:val="0"/>
                <w:sz w:val="20"/>
                <w:szCs w:val="20"/>
                <w:shd w:val="clear" w:fill="FFFFFF"/>
                <w:vertAlign w:val="superscript"/>
                <w:lang w:val="en-US" w:eastAsia="zh-CN"/>
              </w:rPr>
              <w:t>a</w:t>
            </w:r>
          </w:p>
        </w:tc>
        <w:tc>
          <w:tcPr>
            <w:tcW w:w="986" w:type="dxa"/>
            <w:tcBorders>
              <w:top w:val="single" w:color="000000" w:sz="12" w:space="0"/>
              <w:left w:val="nil"/>
              <w:bottom w:val="single" w:color="000000" w:sz="4" w:space="0"/>
              <w:right w:val="nil"/>
            </w:tcBorders>
            <w:shd w:val="clear" w:color="auto" w:fill="FFFFFF"/>
            <w:noWrap/>
            <w:vAlign w:val="center"/>
          </w:tcPr>
          <w:p w14:paraId="4F002F1B">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kern w:val="0"/>
                <w:sz w:val="20"/>
                <w:szCs w:val="20"/>
                <w:u w:val="none"/>
                <w:lang w:val="en-US" w:eastAsia="zh-CN" w:bidi="ar"/>
              </w:rPr>
              <w:t>P</w:t>
            </w:r>
          </w:p>
        </w:tc>
      </w:tr>
      <w:tr w14:paraId="0B97C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288" w:type="dxa"/>
            <w:tcBorders>
              <w:top w:val="single" w:color="000000" w:sz="4" w:space="0"/>
              <w:left w:val="nil"/>
              <w:bottom w:val="nil"/>
              <w:right w:val="nil"/>
              <w:tl2br w:val="nil"/>
            </w:tcBorders>
            <w:shd w:val="clear" w:color="auto" w:fill="FFFFFF"/>
            <w:noWrap/>
            <w:vAlign w:val="center"/>
          </w:tcPr>
          <w:p w14:paraId="2F2DD077">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SFA</w:t>
            </w:r>
          </w:p>
        </w:tc>
        <w:tc>
          <w:tcPr>
            <w:tcW w:w="1976" w:type="dxa"/>
            <w:tcBorders>
              <w:top w:val="single" w:color="000000" w:sz="4" w:space="0"/>
              <w:left w:val="nil"/>
              <w:bottom w:val="nil"/>
              <w:right w:val="nil"/>
            </w:tcBorders>
            <w:shd w:val="clear" w:color="auto" w:fill="FFFFFF"/>
            <w:noWrap/>
            <w:vAlign w:val="center"/>
          </w:tcPr>
          <w:p w14:paraId="3F45284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1.68 (0.66–4.28)</w:t>
            </w:r>
          </w:p>
        </w:tc>
        <w:tc>
          <w:tcPr>
            <w:tcW w:w="2086" w:type="dxa"/>
            <w:tcBorders>
              <w:top w:val="single" w:color="000000" w:sz="4" w:space="0"/>
              <w:left w:val="nil"/>
              <w:bottom w:val="nil"/>
              <w:right w:val="nil"/>
            </w:tcBorders>
            <w:shd w:val="clear" w:color="auto" w:fill="FFFFFF"/>
            <w:noWrap/>
            <w:vAlign w:val="center"/>
          </w:tcPr>
          <w:p w14:paraId="530733F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2.17 (0.79–5.95)</w:t>
            </w:r>
          </w:p>
        </w:tc>
        <w:tc>
          <w:tcPr>
            <w:tcW w:w="986" w:type="dxa"/>
            <w:tcBorders>
              <w:top w:val="single" w:color="000000" w:sz="4" w:space="0"/>
              <w:left w:val="nil"/>
              <w:bottom w:val="nil"/>
              <w:right w:val="nil"/>
            </w:tcBorders>
            <w:shd w:val="clear" w:color="auto" w:fill="FFFFFF"/>
            <w:noWrap/>
            <w:vAlign w:val="center"/>
          </w:tcPr>
          <w:p w14:paraId="301CB26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0.134</w:t>
            </w:r>
          </w:p>
        </w:tc>
      </w:tr>
      <w:tr w14:paraId="1AC4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5265CB86">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C14:0</w:t>
            </w:r>
          </w:p>
        </w:tc>
        <w:tc>
          <w:tcPr>
            <w:tcW w:w="0" w:type="auto"/>
            <w:tcBorders>
              <w:top w:val="nil"/>
              <w:left w:val="nil"/>
              <w:bottom w:val="nil"/>
              <w:right w:val="nil"/>
            </w:tcBorders>
            <w:shd w:val="clear" w:color="auto" w:fill="FFFFFF"/>
            <w:noWrap/>
            <w:vAlign w:val="center"/>
          </w:tcPr>
          <w:p w14:paraId="35025AA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0.76 (0.3</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–1.92)</w:t>
            </w:r>
          </w:p>
        </w:tc>
        <w:tc>
          <w:tcPr>
            <w:tcW w:w="2086" w:type="dxa"/>
            <w:tcBorders>
              <w:top w:val="nil"/>
              <w:left w:val="nil"/>
              <w:bottom w:val="nil"/>
              <w:right w:val="nil"/>
            </w:tcBorders>
            <w:shd w:val="clear" w:color="auto" w:fill="FFFFFF"/>
            <w:noWrap/>
            <w:vAlign w:val="center"/>
          </w:tcPr>
          <w:p w14:paraId="1E1F754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0.7</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(0.26–1.9</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FFFFFF"/>
            <w:noWrap/>
            <w:vAlign w:val="center"/>
          </w:tcPr>
          <w:p w14:paraId="7415A0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0.484</w:t>
            </w:r>
          </w:p>
        </w:tc>
      </w:tr>
      <w:tr w14:paraId="1187E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033C0AE7">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C16:0</w:t>
            </w:r>
          </w:p>
        </w:tc>
        <w:tc>
          <w:tcPr>
            <w:tcW w:w="0" w:type="auto"/>
            <w:tcBorders>
              <w:top w:val="nil"/>
              <w:left w:val="nil"/>
              <w:bottom w:val="nil"/>
              <w:right w:val="nil"/>
            </w:tcBorders>
            <w:shd w:val="clear" w:color="auto" w:fill="FFFFFF"/>
            <w:noWrap/>
            <w:vAlign w:val="center"/>
          </w:tcPr>
          <w:p w14:paraId="43D0FAC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1.66 (0.65–4.2</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2086" w:type="dxa"/>
            <w:tcBorders>
              <w:top w:val="nil"/>
              <w:left w:val="nil"/>
              <w:bottom w:val="nil"/>
              <w:right w:val="nil"/>
            </w:tcBorders>
            <w:shd w:val="clear" w:color="auto" w:fill="FFFFFF"/>
            <w:noWrap/>
            <w:vAlign w:val="center"/>
          </w:tcPr>
          <w:p w14:paraId="189A6FC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2.21 (0.81–6.04)</w:t>
            </w:r>
          </w:p>
        </w:tc>
        <w:tc>
          <w:tcPr>
            <w:tcW w:w="986" w:type="dxa"/>
            <w:tcBorders>
              <w:top w:val="nil"/>
              <w:left w:val="nil"/>
              <w:bottom w:val="nil"/>
              <w:right w:val="nil"/>
            </w:tcBorders>
            <w:shd w:val="clear" w:color="auto" w:fill="FFFFFF"/>
            <w:noWrap/>
            <w:vAlign w:val="center"/>
          </w:tcPr>
          <w:p w14:paraId="101BC83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0.122</w:t>
            </w:r>
          </w:p>
        </w:tc>
      </w:tr>
      <w:tr w14:paraId="2A029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60E4573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C18:0</w:t>
            </w:r>
          </w:p>
        </w:tc>
        <w:tc>
          <w:tcPr>
            <w:tcW w:w="0" w:type="auto"/>
            <w:tcBorders>
              <w:top w:val="nil"/>
              <w:left w:val="nil"/>
              <w:bottom w:val="nil"/>
              <w:right w:val="nil"/>
            </w:tcBorders>
            <w:shd w:val="clear" w:color="auto" w:fill="FFFFFF"/>
            <w:noWrap/>
            <w:vAlign w:val="center"/>
          </w:tcPr>
          <w:p w14:paraId="72686E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1.49 (0.59–3.77)</w:t>
            </w:r>
          </w:p>
        </w:tc>
        <w:tc>
          <w:tcPr>
            <w:tcW w:w="2086" w:type="dxa"/>
            <w:tcBorders>
              <w:top w:val="nil"/>
              <w:left w:val="nil"/>
              <w:bottom w:val="nil"/>
              <w:right w:val="nil"/>
            </w:tcBorders>
            <w:shd w:val="clear" w:color="auto" w:fill="FFFFFF"/>
            <w:noWrap/>
            <w:vAlign w:val="center"/>
          </w:tcPr>
          <w:p w14:paraId="7EB7ABF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1.64 (0.62–4.32)</w:t>
            </w:r>
          </w:p>
        </w:tc>
        <w:tc>
          <w:tcPr>
            <w:tcW w:w="986" w:type="dxa"/>
            <w:tcBorders>
              <w:top w:val="nil"/>
              <w:left w:val="nil"/>
              <w:bottom w:val="nil"/>
              <w:right w:val="nil"/>
            </w:tcBorders>
            <w:shd w:val="clear" w:color="auto" w:fill="FFFFFF"/>
            <w:noWrap/>
            <w:vAlign w:val="center"/>
          </w:tcPr>
          <w:p w14:paraId="26C03D2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0.321</w:t>
            </w:r>
          </w:p>
        </w:tc>
      </w:tr>
      <w:tr w14:paraId="06362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011CB6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C20:0</w:t>
            </w:r>
          </w:p>
        </w:tc>
        <w:tc>
          <w:tcPr>
            <w:tcW w:w="0" w:type="auto"/>
            <w:tcBorders>
              <w:top w:val="nil"/>
              <w:left w:val="nil"/>
              <w:bottom w:val="nil"/>
              <w:right w:val="nil"/>
            </w:tcBorders>
            <w:shd w:val="clear" w:color="auto" w:fill="FFFFFF"/>
            <w:noWrap/>
            <w:vAlign w:val="center"/>
          </w:tcPr>
          <w:p w14:paraId="1CBC799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1.33 (0.53–3.34)</w:t>
            </w:r>
          </w:p>
        </w:tc>
        <w:tc>
          <w:tcPr>
            <w:tcW w:w="2086" w:type="dxa"/>
            <w:tcBorders>
              <w:top w:val="nil"/>
              <w:left w:val="nil"/>
              <w:bottom w:val="nil"/>
              <w:right w:val="nil"/>
            </w:tcBorders>
            <w:shd w:val="clear" w:color="auto" w:fill="FFFFFF"/>
            <w:noWrap/>
            <w:vAlign w:val="center"/>
          </w:tcPr>
          <w:p w14:paraId="307C11D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1.68 (0.62–4.55)</w:t>
            </w:r>
          </w:p>
        </w:tc>
        <w:tc>
          <w:tcPr>
            <w:tcW w:w="986" w:type="dxa"/>
            <w:tcBorders>
              <w:top w:val="nil"/>
              <w:left w:val="nil"/>
              <w:bottom w:val="nil"/>
              <w:right w:val="nil"/>
            </w:tcBorders>
            <w:shd w:val="clear" w:color="auto" w:fill="FFFFFF"/>
            <w:noWrap/>
            <w:vAlign w:val="center"/>
          </w:tcPr>
          <w:p w14:paraId="3F1663B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0.31</w:t>
            </w:r>
            <w:r>
              <w:rPr>
                <w:rFonts w:hint="eastAsia" w:ascii="Times New Roman" w:hAnsi="Times New Roman" w:eastAsia="宋体" w:cs="Times New Roman"/>
                <w:b w:val="0"/>
                <w:i w:val="0"/>
                <w:iCs w:val="0"/>
                <w:color w:val="000000"/>
                <w:kern w:val="0"/>
                <w:sz w:val="20"/>
                <w:szCs w:val="20"/>
                <w:u w:val="none"/>
                <w:lang w:val="en-US" w:eastAsia="zh-CN" w:bidi="ar"/>
              </w:rPr>
              <w:t>0</w:t>
            </w:r>
          </w:p>
        </w:tc>
      </w:tr>
      <w:tr w14:paraId="2D01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141DE5E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C22:0</w:t>
            </w:r>
          </w:p>
        </w:tc>
        <w:tc>
          <w:tcPr>
            <w:tcW w:w="0" w:type="auto"/>
            <w:tcBorders>
              <w:top w:val="nil"/>
              <w:left w:val="nil"/>
              <w:bottom w:val="nil"/>
              <w:right w:val="nil"/>
            </w:tcBorders>
            <w:shd w:val="clear" w:color="auto" w:fill="FFFFFF"/>
            <w:noWrap/>
            <w:vAlign w:val="center"/>
          </w:tcPr>
          <w:p w14:paraId="49D1672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1.33 (0.53–3.34)</w:t>
            </w:r>
          </w:p>
        </w:tc>
        <w:tc>
          <w:tcPr>
            <w:tcW w:w="2086" w:type="dxa"/>
            <w:tcBorders>
              <w:top w:val="nil"/>
              <w:left w:val="nil"/>
              <w:bottom w:val="nil"/>
              <w:right w:val="nil"/>
            </w:tcBorders>
            <w:shd w:val="clear" w:color="auto" w:fill="FFFFFF"/>
            <w:noWrap/>
            <w:vAlign w:val="center"/>
          </w:tcPr>
          <w:p w14:paraId="4222BB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1.47 (0.56–3.88)</w:t>
            </w:r>
          </w:p>
        </w:tc>
        <w:tc>
          <w:tcPr>
            <w:tcW w:w="986" w:type="dxa"/>
            <w:tcBorders>
              <w:top w:val="nil"/>
              <w:left w:val="nil"/>
              <w:bottom w:val="nil"/>
              <w:right w:val="nil"/>
            </w:tcBorders>
            <w:shd w:val="clear" w:color="auto" w:fill="FFFFFF"/>
            <w:noWrap/>
            <w:vAlign w:val="center"/>
          </w:tcPr>
          <w:p w14:paraId="333C023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0.436</w:t>
            </w:r>
          </w:p>
        </w:tc>
      </w:tr>
      <w:tr w14:paraId="0DE6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1732425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C24:0</w:t>
            </w:r>
          </w:p>
        </w:tc>
        <w:tc>
          <w:tcPr>
            <w:tcW w:w="0" w:type="auto"/>
            <w:tcBorders>
              <w:top w:val="nil"/>
              <w:left w:val="nil"/>
              <w:bottom w:val="nil"/>
              <w:right w:val="nil"/>
            </w:tcBorders>
            <w:shd w:val="clear" w:color="auto" w:fill="FFFFFF"/>
            <w:noWrap/>
            <w:vAlign w:val="center"/>
          </w:tcPr>
          <w:p w14:paraId="6B54A0F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1.07 (0.42–2.7</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2086" w:type="dxa"/>
            <w:tcBorders>
              <w:top w:val="nil"/>
              <w:left w:val="nil"/>
              <w:bottom w:val="nil"/>
              <w:right w:val="nil"/>
            </w:tcBorders>
            <w:shd w:val="clear" w:color="auto" w:fill="FFFFFF"/>
            <w:noWrap/>
            <w:vAlign w:val="center"/>
          </w:tcPr>
          <w:p w14:paraId="1611E4F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1.12 (0.43–2.93)</w:t>
            </w:r>
          </w:p>
        </w:tc>
        <w:tc>
          <w:tcPr>
            <w:tcW w:w="986" w:type="dxa"/>
            <w:tcBorders>
              <w:top w:val="nil"/>
              <w:left w:val="nil"/>
              <w:bottom w:val="nil"/>
              <w:right w:val="nil"/>
            </w:tcBorders>
            <w:shd w:val="clear" w:color="auto" w:fill="FFFFFF"/>
            <w:noWrap/>
            <w:vAlign w:val="center"/>
          </w:tcPr>
          <w:p w14:paraId="553E9B9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0.822</w:t>
            </w:r>
          </w:p>
        </w:tc>
      </w:tr>
      <w:tr w14:paraId="66F0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6688C0D5">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MUFA</w:t>
            </w:r>
          </w:p>
        </w:tc>
        <w:tc>
          <w:tcPr>
            <w:tcW w:w="0" w:type="auto"/>
            <w:tcBorders>
              <w:top w:val="nil"/>
              <w:left w:val="nil"/>
              <w:bottom w:val="nil"/>
              <w:right w:val="nil"/>
            </w:tcBorders>
            <w:shd w:val="clear" w:color="auto" w:fill="FFFFFF"/>
            <w:noWrap/>
            <w:vAlign w:val="center"/>
          </w:tcPr>
          <w:p w14:paraId="6CC5137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0.95 (0.38–2.38)</w:t>
            </w:r>
          </w:p>
        </w:tc>
        <w:tc>
          <w:tcPr>
            <w:tcW w:w="2086" w:type="dxa"/>
            <w:tcBorders>
              <w:top w:val="nil"/>
              <w:left w:val="nil"/>
              <w:bottom w:val="nil"/>
              <w:right w:val="nil"/>
            </w:tcBorders>
            <w:shd w:val="clear" w:color="auto" w:fill="FFFFFF"/>
            <w:noWrap/>
            <w:vAlign w:val="center"/>
          </w:tcPr>
          <w:p w14:paraId="75B0DBA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1.02 (0.38–2.75)</w:t>
            </w:r>
          </w:p>
        </w:tc>
        <w:tc>
          <w:tcPr>
            <w:tcW w:w="986" w:type="dxa"/>
            <w:tcBorders>
              <w:top w:val="nil"/>
              <w:left w:val="nil"/>
              <w:bottom w:val="nil"/>
              <w:right w:val="nil"/>
            </w:tcBorders>
            <w:shd w:val="clear" w:color="auto" w:fill="FFFFFF"/>
            <w:noWrap/>
            <w:vAlign w:val="center"/>
          </w:tcPr>
          <w:p w14:paraId="21BA7B0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0.969</w:t>
            </w:r>
          </w:p>
        </w:tc>
      </w:tr>
      <w:tr w14:paraId="0862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547188DD">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w:t>
            </w:r>
          </w:p>
        </w:tc>
        <w:tc>
          <w:tcPr>
            <w:tcW w:w="0" w:type="auto"/>
            <w:tcBorders>
              <w:top w:val="nil"/>
              <w:left w:val="nil"/>
              <w:bottom w:val="nil"/>
              <w:right w:val="nil"/>
            </w:tcBorders>
            <w:shd w:val="clear" w:color="auto" w:fill="FFFFFF"/>
            <w:noWrap/>
            <w:vAlign w:val="center"/>
          </w:tcPr>
          <w:p w14:paraId="5DDE628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0.61 (0.24–1.54)</w:t>
            </w:r>
          </w:p>
        </w:tc>
        <w:tc>
          <w:tcPr>
            <w:tcW w:w="2086" w:type="dxa"/>
            <w:tcBorders>
              <w:top w:val="nil"/>
              <w:left w:val="nil"/>
              <w:bottom w:val="nil"/>
              <w:right w:val="nil"/>
            </w:tcBorders>
            <w:shd w:val="clear" w:color="auto" w:fill="FFFFFF"/>
            <w:noWrap/>
            <w:vAlign w:val="center"/>
          </w:tcPr>
          <w:p w14:paraId="36E604B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0.58 (0.22–1.53)</w:t>
            </w:r>
          </w:p>
        </w:tc>
        <w:tc>
          <w:tcPr>
            <w:tcW w:w="986" w:type="dxa"/>
            <w:tcBorders>
              <w:top w:val="nil"/>
              <w:left w:val="nil"/>
              <w:bottom w:val="nil"/>
              <w:right w:val="nil"/>
            </w:tcBorders>
            <w:shd w:val="clear" w:color="auto" w:fill="FFFFFF"/>
            <w:noWrap/>
            <w:vAlign w:val="center"/>
          </w:tcPr>
          <w:p w14:paraId="783176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0.268</w:t>
            </w:r>
          </w:p>
        </w:tc>
      </w:tr>
      <w:tr w14:paraId="7F240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11A2F23A">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w:t>
            </w:r>
          </w:p>
        </w:tc>
        <w:tc>
          <w:tcPr>
            <w:tcW w:w="0" w:type="auto"/>
            <w:tcBorders>
              <w:top w:val="nil"/>
              <w:left w:val="nil"/>
              <w:bottom w:val="nil"/>
              <w:right w:val="nil"/>
            </w:tcBorders>
            <w:shd w:val="clear" w:color="auto" w:fill="FFFFFF"/>
            <w:noWrap/>
            <w:vAlign w:val="center"/>
          </w:tcPr>
          <w:p w14:paraId="0EDF77F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0.33 (0.11–0.98)</w:t>
            </w:r>
          </w:p>
        </w:tc>
        <w:tc>
          <w:tcPr>
            <w:tcW w:w="2086" w:type="dxa"/>
            <w:tcBorders>
              <w:top w:val="nil"/>
              <w:left w:val="nil"/>
              <w:bottom w:val="nil"/>
              <w:right w:val="nil"/>
            </w:tcBorders>
            <w:shd w:val="clear" w:color="auto" w:fill="FFFFFF"/>
            <w:noWrap/>
            <w:vAlign w:val="center"/>
          </w:tcPr>
          <w:p w14:paraId="64A5DEE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0.43 (0.17–1.11)</w:t>
            </w:r>
          </w:p>
        </w:tc>
        <w:tc>
          <w:tcPr>
            <w:tcW w:w="986" w:type="dxa"/>
            <w:tcBorders>
              <w:top w:val="nil"/>
              <w:left w:val="nil"/>
              <w:bottom w:val="nil"/>
              <w:right w:val="nil"/>
            </w:tcBorders>
            <w:shd w:val="clear" w:color="auto" w:fill="FFFFFF"/>
            <w:noWrap/>
            <w:vAlign w:val="center"/>
          </w:tcPr>
          <w:p w14:paraId="1272DD9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0.0</w:t>
            </w:r>
            <w:r>
              <w:rPr>
                <w:rFonts w:hint="eastAsia" w:ascii="Times New Roman" w:hAnsi="Times New Roman" w:eastAsia="宋体" w:cs="Times New Roman"/>
                <w:b w:val="0"/>
                <w:i w:val="0"/>
                <w:iCs w:val="0"/>
                <w:color w:val="000000"/>
                <w:kern w:val="0"/>
                <w:sz w:val="20"/>
                <w:szCs w:val="20"/>
                <w:u w:val="none"/>
                <w:lang w:val="en-US" w:eastAsia="zh-CN" w:bidi="ar"/>
              </w:rPr>
              <w:t>77</w:t>
            </w:r>
          </w:p>
        </w:tc>
      </w:tr>
      <w:tr w14:paraId="5D3E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A2B56F7">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C20:1</w:t>
            </w:r>
          </w:p>
        </w:tc>
        <w:tc>
          <w:tcPr>
            <w:tcW w:w="0" w:type="auto"/>
            <w:tcBorders>
              <w:top w:val="nil"/>
              <w:left w:val="nil"/>
              <w:bottom w:val="nil"/>
              <w:right w:val="nil"/>
            </w:tcBorders>
            <w:shd w:val="clear" w:color="auto" w:fill="FFFFFF"/>
            <w:noWrap/>
            <w:vAlign w:val="center"/>
          </w:tcPr>
          <w:p w14:paraId="349BA2B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1.66 (0.65–4.2</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2086" w:type="dxa"/>
            <w:tcBorders>
              <w:top w:val="nil"/>
              <w:left w:val="nil"/>
              <w:bottom w:val="nil"/>
              <w:right w:val="nil"/>
            </w:tcBorders>
            <w:shd w:val="clear" w:color="auto" w:fill="FFFFFF"/>
            <w:noWrap/>
            <w:vAlign w:val="center"/>
          </w:tcPr>
          <w:p w14:paraId="37A0A83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1.84 (0.66–5.1</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FFFFFF"/>
            <w:noWrap/>
            <w:vAlign w:val="center"/>
          </w:tcPr>
          <w:p w14:paraId="3D3F50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0.241</w:t>
            </w:r>
          </w:p>
        </w:tc>
      </w:tr>
      <w:tr w14:paraId="67D6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69F8C78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C24:1</w:t>
            </w:r>
          </w:p>
        </w:tc>
        <w:tc>
          <w:tcPr>
            <w:tcW w:w="0" w:type="auto"/>
            <w:tcBorders>
              <w:top w:val="nil"/>
              <w:left w:val="nil"/>
              <w:bottom w:val="nil"/>
              <w:right w:val="nil"/>
            </w:tcBorders>
            <w:shd w:val="clear" w:color="auto" w:fill="FFFFFF"/>
            <w:noWrap/>
            <w:vAlign w:val="center"/>
          </w:tcPr>
          <w:p w14:paraId="311BEEC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1.19 (0.47–3</w:t>
            </w:r>
            <w:r>
              <w:rPr>
                <w:rFonts w:hint="eastAsia" w:ascii="Times New Roman" w:hAnsi="Times New Roman" w:eastAsia="宋体" w:cs="Times New Roman"/>
                <w:b w:val="0"/>
                <w:i w:val="0"/>
                <w:iCs w:val="0"/>
                <w:color w:val="000000"/>
                <w:kern w:val="0"/>
                <w:sz w:val="20"/>
                <w:szCs w:val="20"/>
                <w:u w:val="none"/>
                <w:lang w:val="en-US" w:eastAsia="zh-CN" w:bidi="ar"/>
              </w:rPr>
              <w:t>.00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2086" w:type="dxa"/>
            <w:tcBorders>
              <w:top w:val="nil"/>
              <w:left w:val="nil"/>
              <w:bottom w:val="nil"/>
              <w:right w:val="nil"/>
            </w:tcBorders>
            <w:shd w:val="clear" w:color="auto" w:fill="FFFFFF"/>
            <w:noWrap/>
            <w:vAlign w:val="center"/>
          </w:tcPr>
          <w:p w14:paraId="0F99321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1.4</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(0.52–3.74)</w:t>
            </w:r>
          </w:p>
        </w:tc>
        <w:tc>
          <w:tcPr>
            <w:tcW w:w="986" w:type="dxa"/>
            <w:tcBorders>
              <w:top w:val="nil"/>
              <w:left w:val="nil"/>
              <w:bottom w:val="nil"/>
              <w:right w:val="nil"/>
            </w:tcBorders>
            <w:shd w:val="clear" w:color="auto" w:fill="FFFFFF"/>
            <w:noWrap/>
            <w:vAlign w:val="center"/>
          </w:tcPr>
          <w:p w14:paraId="73ADEC2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0.507</w:t>
            </w:r>
          </w:p>
        </w:tc>
      </w:tr>
      <w:tr w14:paraId="62316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6056B0D">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PUFA</w:t>
            </w:r>
          </w:p>
        </w:tc>
        <w:tc>
          <w:tcPr>
            <w:tcW w:w="0" w:type="auto"/>
            <w:tcBorders>
              <w:top w:val="nil"/>
              <w:left w:val="nil"/>
              <w:bottom w:val="nil"/>
              <w:right w:val="nil"/>
            </w:tcBorders>
            <w:shd w:val="clear" w:color="auto" w:fill="FFFFFF"/>
            <w:noWrap/>
            <w:vAlign w:val="center"/>
          </w:tcPr>
          <w:p w14:paraId="4559879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2.3</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(0.9</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–5.88)</w:t>
            </w:r>
          </w:p>
        </w:tc>
        <w:tc>
          <w:tcPr>
            <w:tcW w:w="2086" w:type="dxa"/>
            <w:tcBorders>
              <w:top w:val="nil"/>
              <w:left w:val="nil"/>
              <w:bottom w:val="nil"/>
              <w:right w:val="nil"/>
            </w:tcBorders>
            <w:shd w:val="clear" w:color="auto" w:fill="FFFFFF"/>
            <w:noWrap/>
            <w:vAlign w:val="center"/>
          </w:tcPr>
          <w:p w14:paraId="412E87F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2.42 (0.91–6.43)</w:t>
            </w:r>
          </w:p>
        </w:tc>
        <w:tc>
          <w:tcPr>
            <w:tcW w:w="986" w:type="dxa"/>
            <w:tcBorders>
              <w:top w:val="nil"/>
              <w:left w:val="nil"/>
              <w:bottom w:val="nil"/>
              <w:right w:val="nil"/>
            </w:tcBorders>
            <w:shd w:val="clear" w:color="auto" w:fill="FFFFFF"/>
            <w:noWrap/>
            <w:vAlign w:val="center"/>
          </w:tcPr>
          <w:p w14:paraId="5009B0A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0.077</w:t>
            </w:r>
          </w:p>
        </w:tc>
      </w:tr>
      <w:tr w14:paraId="224DC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75F680FB">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n-6 PUFA</w:t>
            </w:r>
          </w:p>
        </w:tc>
        <w:tc>
          <w:tcPr>
            <w:tcW w:w="0" w:type="auto"/>
            <w:tcBorders>
              <w:top w:val="nil"/>
              <w:left w:val="nil"/>
              <w:bottom w:val="nil"/>
              <w:right w:val="nil"/>
            </w:tcBorders>
            <w:shd w:val="clear" w:color="auto" w:fill="FFFFFF"/>
            <w:noWrap/>
            <w:vAlign w:val="center"/>
          </w:tcPr>
          <w:p w14:paraId="4EBD811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2.59 (1.01–6.68)</w:t>
            </w:r>
          </w:p>
        </w:tc>
        <w:tc>
          <w:tcPr>
            <w:tcW w:w="2086" w:type="dxa"/>
            <w:tcBorders>
              <w:top w:val="nil"/>
              <w:left w:val="nil"/>
              <w:bottom w:val="nil"/>
              <w:right w:val="nil"/>
            </w:tcBorders>
            <w:shd w:val="clear" w:color="auto" w:fill="FFFFFF"/>
            <w:noWrap/>
            <w:vAlign w:val="center"/>
          </w:tcPr>
          <w:p w14:paraId="307180B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2.76 (1.03–7.39)</w:t>
            </w:r>
          </w:p>
        </w:tc>
        <w:tc>
          <w:tcPr>
            <w:tcW w:w="986" w:type="dxa"/>
            <w:tcBorders>
              <w:top w:val="nil"/>
              <w:left w:val="nil"/>
              <w:bottom w:val="nil"/>
              <w:right w:val="nil"/>
            </w:tcBorders>
            <w:shd w:val="clear" w:color="auto" w:fill="FFFFFF"/>
            <w:noWrap/>
            <w:vAlign w:val="center"/>
          </w:tcPr>
          <w:p w14:paraId="326C5DD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0.044</w:t>
            </w:r>
          </w:p>
        </w:tc>
      </w:tr>
      <w:tr w14:paraId="749A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8F7EB6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C18:2 n-6</w:t>
            </w:r>
          </w:p>
        </w:tc>
        <w:tc>
          <w:tcPr>
            <w:tcW w:w="0" w:type="auto"/>
            <w:tcBorders>
              <w:top w:val="nil"/>
              <w:left w:val="nil"/>
              <w:bottom w:val="nil"/>
              <w:right w:val="nil"/>
            </w:tcBorders>
            <w:shd w:val="clear" w:color="auto" w:fill="FFFFFF"/>
            <w:noWrap/>
            <w:vAlign w:val="center"/>
          </w:tcPr>
          <w:p w14:paraId="1F833B2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2.32 (0.91–5.95)</w:t>
            </w:r>
          </w:p>
        </w:tc>
        <w:tc>
          <w:tcPr>
            <w:tcW w:w="2086" w:type="dxa"/>
            <w:tcBorders>
              <w:top w:val="nil"/>
              <w:left w:val="nil"/>
              <w:bottom w:val="nil"/>
              <w:right w:val="nil"/>
            </w:tcBorders>
            <w:shd w:val="clear" w:color="auto" w:fill="FFFFFF"/>
            <w:noWrap/>
            <w:vAlign w:val="center"/>
          </w:tcPr>
          <w:p w14:paraId="71EE25C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2.55 (0.93–6.99)</w:t>
            </w:r>
          </w:p>
        </w:tc>
        <w:tc>
          <w:tcPr>
            <w:tcW w:w="986" w:type="dxa"/>
            <w:tcBorders>
              <w:top w:val="nil"/>
              <w:left w:val="nil"/>
              <w:bottom w:val="nil"/>
              <w:right w:val="nil"/>
            </w:tcBorders>
            <w:shd w:val="clear" w:color="auto" w:fill="FFFFFF"/>
            <w:noWrap/>
            <w:vAlign w:val="center"/>
          </w:tcPr>
          <w:p w14:paraId="7B88386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0.069</w:t>
            </w:r>
          </w:p>
        </w:tc>
      </w:tr>
      <w:tr w14:paraId="241F0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0D0E821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n-6</w:t>
            </w:r>
          </w:p>
        </w:tc>
        <w:tc>
          <w:tcPr>
            <w:tcW w:w="0" w:type="auto"/>
            <w:tcBorders>
              <w:top w:val="nil"/>
              <w:left w:val="nil"/>
              <w:bottom w:val="nil"/>
              <w:right w:val="nil"/>
            </w:tcBorders>
            <w:shd w:val="clear" w:color="auto" w:fill="FFFFFF"/>
            <w:noWrap/>
            <w:vAlign w:val="center"/>
          </w:tcPr>
          <w:p w14:paraId="389B5DD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1.06 (0.42–2.67)</w:t>
            </w:r>
          </w:p>
        </w:tc>
        <w:tc>
          <w:tcPr>
            <w:tcW w:w="2086" w:type="dxa"/>
            <w:tcBorders>
              <w:top w:val="nil"/>
              <w:left w:val="nil"/>
              <w:bottom w:val="nil"/>
              <w:right w:val="nil"/>
            </w:tcBorders>
            <w:shd w:val="clear" w:color="auto" w:fill="FFFFFF"/>
            <w:noWrap/>
            <w:vAlign w:val="center"/>
          </w:tcPr>
          <w:p w14:paraId="0624813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1.14 (0.43–2.99)</w:t>
            </w:r>
          </w:p>
        </w:tc>
        <w:tc>
          <w:tcPr>
            <w:tcW w:w="986" w:type="dxa"/>
            <w:tcBorders>
              <w:top w:val="nil"/>
              <w:left w:val="nil"/>
              <w:bottom w:val="nil"/>
              <w:right w:val="nil"/>
            </w:tcBorders>
            <w:shd w:val="clear" w:color="auto" w:fill="FFFFFF"/>
            <w:noWrap/>
            <w:vAlign w:val="center"/>
          </w:tcPr>
          <w:p w14:paraId="5EF402E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0.792</w:t>
            </w:r>
          </w:p>
        </w:tc>
      </w:tr>
      <w:tr w14:paraId="07987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25B5A9DA">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C20:2 n-6</w:t>
            </w:r>
          </w:p>
        </w:tc>
        <w:tc>
          <w:tcPr>
            <w:tcW w:w="0" w:type="auto"/>
            <w:tcBorders>
              <w:top w:val="nil"/>
              <w:left w:val="nil"/>
              <w:bottom w:val="nil"/>
              <w:right w:val="nil"/>
            </w:tcBorders>
            <w:shd w:val="clear" w:color="auto" w:fill="FFFFFF"/>
            <w:noWrap/>
            <w:vAlign w:val="center"/>
          </w:tcPr>
          <w:p w14:paraId="2F80C65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2.05 (0.81–5.23)</w:t>
            </w:r>
          </w:p>
        </w:tc>
        <w:tc>
          <w:tcPr>
            <w:tcW w:w="2086" w:type="dxa"/>
            <w:tcBorders>
              <w:top w:val="nil"/>
              <w:left w:val="nil"/>
              <w:bottom w:val="nil"/>
              <w:right w:val="nil"/>
            </w:tcBorders>
            <w:shd w:val="clear" w:color="auto" w:fill="FFFFFF"/>
            <w:noWrap/>
            <w:vAlign w:val="center"/>
          </w:tcPr>
          <w:p w14:paraId="2293F3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2.53 (0.92–6.91)</w:t>
            </w:r>
          </w:p>
        </w:tc>
        <w:tc>
          <w:tcPr>
            <w:tcW w:w="986" w:type="dxa"/>
            <w:tcBorders>
              <w:top w:val="nil"/>
              <w:left w:val="nil"/>
              <w:bottom w:val="nil"/>
              <w:right w:val="nil"/>
            </w:tcBorders>
            <w:shd w:val="clear" w:color="auto" w:fill="FFFFFF"/>
            <w:noWrap/>
            <w:vAlign w:val="center"/>
          </w:tcPr>
          <w:p w14:paraId="07561AE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0.071</w:t>
            </w:r>
          </w:p>
        </w:tc>
      </w:tr>
      <w:tr w14:paraId="0B24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2EF0F91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C20:3 n-6</w:t>
            </w:r>
          </w:p>
        </w:tc>
        <w:tc>
          <w:tcPr>
            <w:tcW w:w="0" w:type="auto"/>
            <w:tcBorders>
              <w:top w:val="nil"/>
              <w:left w:val="nil"/>
              <w:bottom w:val="nil"/>
              <w:right w:val="nil"/>
            </w:tcBorders>
            <w:shd w:val="clear" w:color="auto" w:fill="FFFFFF"/>
            <w:noWrap/>
            <w:vAlign w:val="center"/>
          </w:tcPr>
          <w:p w14:paraId="7090E45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2.06 (0.81–5.25)</w:t>
            </w:r>
          </w:p>
        </w:tc>
        <w:tc>
          <w:tcPr>
            <w:tcW w:w="2086" w:type="dxa"/>
            <w:tcBorders>
              <w:top w:val="nil"/>
              <w:left w:val="nil"/>
              <w:bottom w:val="nil"/>
              <w:right w:val="nil"/>
            </w:tcBorders>
            <w:shd w:val="clear" w:color="auto" w:fill="FFFFFF"/>
            <w:noWrap/>
            <w:vAlign w:val="center"/>
          </w:tcPr>
          <w:p w14:paraId="2754B0B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2.25 (0.82–6.19)</w:t>
            </w:r>
          </w:p>
        </w:tc>
        <w:tc>
          <w:tcPr>
            <w:tcW w:w="986" w:type="dxa"/>
            <w:tcBorders>
              <w:top w:val="nil"/>
              <w:left w:val="nil"/>
              <w:bottom w:val="nil"/>
              <w:right w:val="nil"/>
            </w:tcBorders>
            <w:shd w:val="clear" w:color="auto" w:fill="FFFFFF"/>
            <w:noWrap/>
            <w:vAlign w:val="center"/>
          </w:tcPr>
          <w:p w14:paraId="7D51BA3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0.116</w:t>
            </w:r>
          </w:p>
        </w:tc>
      </w:tr>
      <w:tr w14:paraId="4637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4AAA10EC">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C20:4 n-6</w:t>
            </w:r>
          </w:p>
        </w:tc>
        <w:tc>
          <w:tcPr>
            <w:tcW w:w="0" w:type="auto"/>
            <w:tcBorders>
              <w:top w:val="nil"/>
              <w:left w:val="nil"/>
              <w:bottom w:val="nil"/>
              <w:right w:val="nil"/>
            </w:tcBorders>
            <w:shd w:val="clear" w:color="auto" w:fill="FFFFFF"/>
            <w:noWrap/>
            <w:vAlign w:val="center"/>
          </w:tcPr>
          <w:p w14:paraId="6F67B8E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4.2</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(1.58–11.17)</w:t>
            </w:r>
          </w:p>
        </w:tc>
        <w:tc>
          <w:tcPr>
            <w:tcW w:w="2086" w:type="dxa"/>
            <w:tcBorders>
              <w:top w:val="nil"/>
              <w:left w:val="nil"/>
              <w:bottom w:val="nil"/>
              <w:right w:val="nil"/>
            </w:tcBorders>
            <w:shd w:val="clear" w:color="auto" w:fill="FFFFFF"/>
            <w:noWrap/>
            <w:vAlign w:val="center"/>
          </w:tcPr>
          <w:p w14:paraId="28F1F3A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4.54 (1.6</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–12.86)</w:t>
            </w:r>
          </w:p>
        </w:tc>
        <w:tc>
          <w:tcPr>
            <w:tcW w:w="986" w:type="dxa"/>
            <w:tcBorders>
              <w:top w:val="nil"/>
              <w:left w:val="nil"/>
              <w:bottom w:val="nil"/>
              <w:right w:val="nil"/>
            </w:tcBorders>
            <w:shd w:val="clear" w:color="auto" w:fill="FFFFFF"/>
            <w:noWrap/>
            <w:vAlign w:val="center"/>
          </w:tcPr>
          <w:p w14:paraId="2D3CAEA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0.004</w:t>
            </w:r>
          </w:p>
        </w:tc>
      </w:tr>
      <w:tr w14:paraId="493F1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C9F4615">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C22:4 n-6</w:t>
            </w:r>
          </w:p>
        </w:tc>
        <w:tc>
          <w:tcPr>
            <w:tcW w:w="0" w:type="auto"/>
            <w:tcBorders>
              <w:top w:val="nil"/>
              <w:left w:val="nil"/>
              <w:bottom w:val="nil"/>
              <w:right w:val="nil"/>
            </w:tcBorders>
            <w:shd w:val="clear" w:color="auto" w:fill="FFFFFF"/>
            <w:noWrap/>
            <w:vAlign w:val="center"/>
          </w:tcPr>
          <w:p w14:paraId="7B6386D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1.19 (0.47–3</w:t>
            </w:r>
            <w:r>
              <w:rPr>
                <w:rFonts w:hint="eastAsia" w:ascii="Times New Roman" w:hAnsi="Times New Roman" w:eastAsia="宋体" w:cs="Times New Roman"/>
                <w:b w:val="0"/>
                <w:i w:val="0"/>
                <w:iCs w:val="0"/>
                <w:color w:val="000000"/>
                <w:kern w:val="0"/>
                <w:sz w:val="20"/>
                <w:szCs w:val="20"/>
                <w:u w:val="none"/>
                <w:lang w:val="en-US" w:eastAsia="zh-CN" w:bidi="ar"/>
              </w:rPr>
              <w:t>.00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2086" w:type="dxa"/>
            <w:tcBorders>
              <w:top w:val="nil"/>
              <w:left w:val="nil"/>
              <w:bottom w:val="nil"/>
              <w:right w:val="nil"/>
            </w:tcBorders>
            <w:shd w:val="clear" w:color="auto" w:fill="FFFFFF"/>
            <w:noWrap/>
            <w:vAlign w:val="center"/>
          </w:tcPr>
          <w:p w14:paraId="398F402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1.36 (0.5</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–3.64)</w:t>
            </w:r>
          </w:p>
        </w:tc>
        <w:tc>
          <w:tcPr>
            <w:tcW w:w="986" w:type="dxa"/>
            <w:tcBorders>
              <w:top w:val="nil"/>
              <w:left w:val="nil"/>
              <w:bottom w:val="nil"/>
              <w:right w:val="nil"/>
            </w:tcBorders>
            <w:shd w:val="clear" w:color="auto" w:fill="FFFFFF"/>
            <w:noWrap/>
            <w:vAlign w:val="center"/>
          </w:tcPr>
          <w:p w14:paraId="70E50D3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0.546</w:t>
            </w:r>
          </w:p>
        </w:tc>
      </w:tr>
      <w:tr w14:paraId="4CDF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585E2BA8">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C22:5 n-6</w:t>
            </w:r>
          </w:p>
        </w:tc>
        <w:tc>
          <w:tcPr>
            <w:tcW w:w="0" w:type="auto"/>
            <w:tcBorders>
              <w:top w:val="nil"/>
              <w:left w:val="nil"/>
              <w:bottom w:val="nil"/>
              <w:right w:val="nil"/>
            </w:tcBorders>
            <w:shd w:val="clear" w:color="auto" w:fill="FFFFFF"/>
            <w:noWrap/>
            <w:vAlign w:val="center"/>
          </w:tcPr>
          <w:p w14:paraId="0C857EF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2.59 (1.01–6.68)</w:t>
            </w:r>
          </w:p>
        </w:tc>
        <w:tc>
          <w:tcPr>
            <w:tcW w:w="2086" w:type="dxa"/>
            <w:tcBorders>
              <w:top w:val="nil"/>
              <w:left w:val="nil"/>
              <w:bottom w:val="nil"/>
              <w:right w:val="nil"/>
            </w:tcBorders>
            <w:shd w:val="clear" w:color="auto" w:fill="FFFFFF"/>
            <w:noWrap/>
            <w:vAlign w:val="center"/>
          </w:tcPr>
          <w:p w14:paraId="7400F12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2.68 (0.98–7.29)</w:t>
            </w:r>
          </w:p>
        </w:tc>
        <w:tc>
          <w:tcPr>
            <w:tcW w:w="986" w:type="dxa"/>
            <w:tcBorders>
              <w:top w:val="nil"/>
              <w:left w:val="nil"/>
              <w:bottom w:val="nil"/>
              <w:right w:val="nil"/>
            </w:tcBorders>
            <w:shd w:val="clear" w:color="auto" w:fill="FFFFFF"/>
            <w:noWrap/>
            <w:vAlign w:val="center"/>
          </w:tcPr>
          <w:p w14:paraId="3485858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0.054</w:t>
            </w:r>
          </w:p>
        </w:tc>
      </w:tr>
      <w:tr w14:paraId="5707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1E6C4666">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n-3 PUFA</w:t>
            </w:r>
          </w:p>
        </w:tc>
        <w:tc>
          <w:tcPr>
            <w:tcW w:w="0" w:type="auto"/>
            <w:tcBorders>
              <w:top w:val="nil"/>
              <w:left w:val="nil"/>
              <w:bottom w:val="nil"/>
              <w:right w:val="nil"/>
            </w:tcBorders>
            <w:shd w:val="clear" w:color="auto" w:fill="FFFFFF"/>
            <w:noWrap/>
            <w:vAlign w:val="center"/>
          </w:tcPr>
          <w:p w14:paraId="20D1CA8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0.38 (0.15–0.99)</w:t>
            </w:r>
          </w:p>
        </w:tc>
        <w:tc>
          <w:tcPr>
            <w:tcW w:w="2086" w:type="dxa"/>
            <w:tcBorders>
              <w:top w:val="nil"/>
              <w:left w:val="nil"/>
              <w:bottom w:val="nil"/>
              <w:right w:val="nil"/>
            </w:tcBorders>
            <w:shd w:val="clear" w:color="auto" w:fill="FFFFFF"/>
            <w:noWrap/>
            <w:vAlign w:val="center"/>
          </w:tcPr>
          <w:p w14:paraId="2069A59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(0.11–0.83)</w:t>
            </w:r>
          </w:p>
        </w:tc>
        <w:tc>
          <w:tcPr>
            <w:tcW w:w="986" w:type="dxa"/>
            <w:tcBorders>
              <w:top w:val="nil"/>
              <w:left w:val="nil"/>
              <w:bottom w:val="nil"/>
              <w:right w:val="nil"/>
            </w:tcBorders>
            <w:shd w:val="clear" w:color="auto" w:fill="FFFFFF"/>
            <w:noWrap/>
            <w:vAlign w:val="center"/>
          </w:tcPr>
          <w:p w14:paraId="11B7BA2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0.02</w:t>
            </w:r>
            <w:r>
              <w:rPr>
                <w:rFonts w:hint="eastAsia" w:ascii="Times New Roman" w:hAnsi="Times New Roman" w:eastAsia="宋体" w:cs="Times New Roman"/>
                <w:b w:val="0"/>
                <w:i w:val="0"/>
                <w:iCs w:val="0"/>
                <w:color w:val="000000"/>
                <w:kern w:val="0"/>
                <w:sz w:val="20"/>
                <w:szCs w:val="20"/>
                <w:u w:val="none"/>
                <w:lang w:val="en-US" w:eastAsia="zh-CN" w:bidi="ar"/>
              </w:rPr>
              <w:t>0</w:t>
            </w:r>
          </w:p>
        </w:tc>
      </w:tr>
      <w:tr w14:paraId="6F03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0B13B99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n-3</w:t>
            </w:r>
          </w:p>
        </w:tc>
        <w:tc>
          <w:tcPr>
            <w:tcW w:w="0" w:type="auto"/>
            <w:tcBorders>
              <w:top w:val="nil"/>
              <w:left w:val="nil"/>
              <w:bottom w:val="nil"/>
              <w:right w:val="nil"/>
            </w:tcBorders>
            <w:shd w:val="clear" w:color="auto" w:fill="FFFFFF"/>
            <w:noWrap/>
            <w:vAlign w:val="center"/>
          </w:tcPr>
          <w:p w14:paraId="54BFBE1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0.49 (0.19–1.24)</w:t>
            </w:r>
          </w:p>
        </w:tc>
        <w:tc>
          <w:tcPr>
            <w:tcW w:w="2086" w:type="dxa"/>
            <w:tcBorders>
              <w:top w:val="nil"/>
              <w:left w:val="nil"/>
              <w:bottom w:val="nil"/>
              <w:right w:val="nil"/>
            </w:tcBorders>
            <w:shd w:val="clear" w:color="auto" w:fill="FFFFFF"/>
            <w:noWrap/>
            <w:vAlign w:val="center"/>
          </w:tcPr>
          <w:p w14:paraId="69F5EE0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0.44 (0.16–1.21)</w:t>
            </w:r>
          </w:p>
        </w:tc>
        <w:tc>
          <w:tcPr>
            <w:tcW w:w="986" w:type="dxa"/>
            <w:tcBorders>
              <w:top w:val="nil"/>
              <w:left w:val="nil"/>
              <w:bottom w:val="nil"/>
              <w:right w:val="nil"/>
            </w:tcBorders>
            <w:shd w:val="clear" w:color="auto" w:fill="FFFFFF"/>
            <w:noWrap/>
            <w:vAlign w:val="center"/>
          </w:tcPr>
          <w:p w14:paraId="7E8F85A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0.111</w:t>
            </w:r>
          </w:p>
        </w:tc>
      </w:tr>
      <w:tr w14:paraId="0715C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50C689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C20:5 n-3</w:t>
            </w:r>
          </w:p>
        </w:tc>
        <w:tc>
          <w:tcPr>
            <w:tcW w:w="0" w:type="auto"/>
            <w:tcBorders>
              <w:top w:val="nil"/>
              <w:left w:val="nil"/>
              <w:bottom w:val="nil"/>
              <w:right w:val="nil"/>
            </w:tcBorders>
            <w:shd w:val="clear" w:color="auto" w:fill="FFFFFF"/>
            <w:noWrap/>
            <w:vAlign w:val="center"/>
          </w:tcPr>
          <w:p w14:paraId="17BFDD5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2.91 (1.12–7.52)</w:t>
            </w:r>
          </w:p>
        </w:tc>
        <w:tc>
          <w:tcPr>
            <w:tcW w:w="2086" w:type="dxa"/>
            <w:tcBorders>
              <w:top w:val="nil"/>
              <w:left w:val="nil"/>
              <w:bottom w:val="nil"/>
              <w:right w:val="nil"/>
            </w:tcBorders>
            <w:shd w:val="clear" w:color="auto" w:fill="FFFFFF"/>
            <w:noWrap/>
            <w:vAlign w:val="center"/>
          </w:tcPr>
          <w:p w14:paraId="391EE4D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3.13 (1.16–8.42)</w:t>
            </w:r>
          </w:p>
        </w:tc>
        <w:tc>
          <w:tcPr>
            <w:tcW w:w="986" w:type="dxa"/>
            <w:tcBorders>
              <w:top w:val="nil"/>
              <w:left w:val="nil"/>
              <w:bottom w:val="nil"/>
              <w:right w:val="nil"/>
            </w:tcBorders>
            <w:shd w:val="clear" w:color="auto" w:fill="FFFFFF"/>
            <w:noWrap/>
            <w:vAlign w:val="center"/>
          </w:tcPr>
          <w:p w14:paraId="5F0291C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0.024</w:t>
            </w:r>
          </w:p>
        </w:tc>
      </w:tr>
      <w:tr w14:paraId="67EB6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5C0B35C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C22:6 n-3</w:t>
            </w:r>
          </w:p>
        </w:tc>
        <w:tc>
          <w:tcPr>
            <w:tcW w:w="0" w:type="auto"/>
            <w:tcBorders>
              <w:top w:val="nil"/>
              <w:left w:val="nil"/>
              <w:bottom w:val="nil"/>
              <w:right w:val="nil"/>
            </w:tcBorders>
            <w:shd w:val="clear" w:color="auto" w:fill="FFFFFF"/>
            <w:noWrap/>
            <w:vAlign w:val="center"/>
          </w:tcPr>
          <w:p w14:paraId="519EECB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(0.11–0.8</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2086" w:type="dxa"/>
            <w:tcBorders>
              <w:top w:val="nil"/>
              <w:left w:val="nil"/>
              <w:bottom w:val="nil"/>
              <w:right w:val="nil"/>
            </w:tcBorders>
            <w:shd w:val="clear" w:color="auto" w:fill="FFFFFF"/>
            <w:noWrap/>
            <w:vAlign w:val="center"/>
          </w:tcPr>
          <w:p w14:paraId="1125B61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0.24 (0.09–0.68)</w:t>
            </w:r>
          </w:p>
        </w:tc>
        <w:tc>
          <w:tcPr>
            <w:tcW w:w="986" w:type="dxa"/>
            <w:tcBorders>
              <w:top w:val="nil"/>
              <w:left w:val="nil"/>
              <w:bottom w:val="nil"/>
              <w:right w:val="nil"/>
            </w:tcBorders>
            <w:shd w:val="clear" w:color="auto" w:fill="FFFFFF"/>
            <w:noWrap/>
            <w:vAlign w:val="center"/>
          </w:tcPr>
          <w:p w14:paraId="24DEB15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0.007</w:t>
            </w:r>
          </w:p>
        </w:tc>
      </w:tr>
      <w:tr w14:paraId="699C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4E787214">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TFA</w:t>
            </w:r>
          </w:p>
        </w:tc>
        <w:tc>
          <w:tcPr>
            <w:tcW w:w="0" w:type="auto"/>
            <w:tcBorders>
              <w:top w:val="nil"/>
              <w:left w:val="nil"/>
              <w:bottom w:val="nil"/>
              <w:right w:val="nil"/>
            </w:tcBorders>
            <w:shd w:val="clear" w:color="auto" w:fill="FFFFFF"/>
            <w:noWrap/>
            <w:vAlign w:val="center"/>
          </w:tcPr>
          <w:p w14:paraId="33FC812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1.06 (0.42–2.64)</w:t>
            </w:r>
          </w:p>
        </w:tc>
        <w:tc>
          <w:tcPr>
            <w:tcW w:w="2086" w:type="dxa"/>
            <w:tcBorders>
              <w:top w:val="nil"/>
              <w:left w:val="nil"/>
              <w:bottom w:val="nil"/>
              <w:right w:val="nil"/>
            </w:tcBorders>
            <w:shd w:val="clear" w:color="auto" w:fill="FFFFFF"/>
            <w:noWrap/>
            <w:vAlign w:val="center"/>
          </w:tcPr>
          <w:p w14:paraId="7DE6F12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1.16 (0.41–3.28)</w:t>
            </w:r>
          </w:p>
        </w:tc>
        <w:tc>
          <w:tcPr>
            <w:tcW w:w="986" w:type="dxa"/>
            <w:tcBorders>
              <w:top w:val="nil"/>
              <w:left w:val="nil"/>
              <w:bottom w:val="nil"/>
              <w:right w:val="nil"/>
            </w:tcBorders>
            <w:shd w:val="clear" w:color="auto" w:fill="FFFFFF"/>
            <w:noWrap/>
            <w:vAlign w:val="center"/>
          </w:tcPr>
          <w:p w14:paraId="274B564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0.779</w:t>
            </w:r>
          </w:p>
        </w:tc>
      </w:tr>
      <w:tr w14:paraId="78B0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3C56036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 n-7t</w:t>
            </w:r>
          </w:p>
        </w:tc>
        <w:tc>
          <w:tcPr>
            <w:tcW w:w="0" w:type="auto"/>
            <w:tcBorders>
              <w:top w:val="nil"/>
              <w:left w:val="nil"/>
              <w:bottom w:val="nil"/>
              <w:right w:val="nil"/>
            </w:tcBorders>
            <w:shd w:val="clear" w:color="auto" w:fill="FFFFFF"/>
            <w:noWrap/>
            <w:vAlign w:val="center"/>
          </w:tcPr>
          <w:p w14:paraId="0B5825C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1.33 (0.53–3.34)</w:t>
            </w:r>
          </w:p>
        </w:tc>
        <w:tc>
          <w:tcPr>
            <w:tcW w:w="2086" w:type="dxa"/>
            <w:tcBorders>
              <w:top w:val="nil"/>
              <w:left w:val="nil"/>
              <w:bottom w:val="nil"/>
              <w:right w:val="nil"/>
            </w:tcBorders>
            <w:shd w:val="clear" w:color="auto" w:fill="FFFFFF"/>
            <w:noWrap/>
            <w:vAlign w:val="center"/>
          </w:tcPr>
          <w:p w14:paraId="378E9B2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1.46 (0.54–3.94)</w:t>
            </w:r>
          </w:p>
        </w:tc>
        <w:tc>
          <w:tcPr>
            <w:tcW w:w="986" w:type="dxa"/>
            <w:tcBorders>
              <w:top w:val="nil"/>
              <w:left w:val="nil"/>
              <w:bottom w:val="nil"/>
              <w:right w:val="nil"/>
            </w:tcBorders>
            <w:shd w:val="clear" w:color="auto" w:fill="FFFFFF"/>
            <w:noWrap/>
            <w:vAlign w:val="center"/>
          </w:tcPr>
          <w:p w14:paraId="153FE7C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0.459</w:t>
            </w:r>
          </w:p>
        </w:tc>
      </w:tr>
      <w:tr w14:paraId="07A1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13CA1CE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 n-9t</w:t>
            </w:r>
          </w:p>
        </w:tc>
        <w:tc>
          <w:tcPr>
            <w:tcW w:w="0" w:type="auto"/>
            <w:tcBorders>
              <w:top w:val="nil"/>
              <w:left w:val="nil"/>
              <w:bottom w:val="nil"/>
              <w:right w:val="nil"/>
            </w:tcBorders>
            <w:shd w:val="clear" w:color="auto" w:fill="FFFFFF"/>
            <w:noWrap/>
            <w:vAlign w:val="center"/>
          </w:tcPr>
          <w:p w14:paraId="0A77FA3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0.61 (0.24–1.55)</w:t>
            </w:r>
          </w:p>
        </w:tc>
        <w:tc>
          <w:tcPr>
            <w:tcW w:w="2086" w:type="dxa"/>
            <w:tcBorders>
              <w:top w:val="nil"/>
              <w:left w:val="nil"/>
              <w:bottom w:val="nil"/>
              <w:right w:val="nil"/>
            </w:tcBorders>
            <w:shd w:val="clear" w:color="auto" w:fill="FFFFFF"/>
            <w:noWrap/>
            <w:vAlign w:val="center"/>
          </w:tcPr>
          <w:p w14:paraId="498FCAE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0.65 (0.24–1.78)</w:t>
            </w:r>
          </w:p>
        </w:tc>
        <w:tc>
          <w:tcPr>
            <w:tcW w:w="986" w:type="dxa"/>
            <w:tcBorders>
              <w:top w:val="nil"/>
              <w:left w:val="nil"/>
              <w:bottom w:val="nil"/>
              <w:right w:val="nil"/>
            </w:tcBorders>
            <w:shd w:val="clear" w:color="auto" w:fill="FFFFFF"/>
            <w:noWrap/>
            <w:vAlign w:val="center"/>
          </w:tcPr>
          <w:p w14:paraId="2F36EDC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0.405</w:t>
            </w:r>
          </w:p>
        </w:tc>
      </w:tr>
      <w:tr w14:paraId="08287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524319A8">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FA index</w:t>
            </w:r>
          </w:p>
        </w:tc>
        <w:tc>
          <w:tcPr>
            <w:tcW w:w="0" w:type="auto"/>
            <w:tcBorders>
              <w:top w:val="nil"/>
              <w:left w:val="nil"/>
              <w:bottom w:val="nil"/>
              <w:right w:val="nil"/>
            </w:tcBorders>
            <w:shd w:val="clear" w:color="auto" w:fill="FFFFFF"/>
            <w:noWrap/>
            <w:vAlign w:val="center"/>
          </w:tcPr>
          <w:p w14:paraId="70DE9EE3">
            <w:pPr>
              <w:jc w:val="center"/>
              <w:rPr>
                <w:rFonts w:hint="default" w:ascii="Times New Roman" w:hAnsi="Times New Roman" w:eastAsia="宋体" w:cs="Times New Roman"/>
                <w:b w:val="0"/>
                <w:i w:val="0"/>
                <w:iCs w:val="0"/>
                <w:color w:val="000000"/>
                <w:sz w:val="20"/>
                <w:szCs w:val="20"/>
                <w:u w:val="none"/>
              </w:rPr>
            </w:pPr>
          </w:p>
        </w:tc>
        <w:tc>
          <w:tcPr>
            <w:tcW w:w="2086" w:type="dxa"/>
            <w:tcBorders>
              <w:top w:val="nil"/>
              <w:left w:val="nil"/>
              <w:bottom w:val="nil"/>
              <w:right w:val="nil"/>
            </w:tcBorders>
            <w:shd w:val="clear" w:color="auto" w:fill="FFFFFF"/>
            <w:noWrap/>
            <w:vAlign w:val="center"/>
          </w:tcPr>
          <w:p w14:paraId="2D89DE9F">
            <w:pPr>
              <w:jc w:val="center"/>
              <w:rPr>
                <w:rFonts w:hint="default" w:ascii="Times New Roman" w:hAnsi="Times New Roman" w:eastAsia="宋体" w:cs="Times New Roman"/>
                <w:b w:val="0"/>
                <w:i w:val="0"/>
                <w:iCs w:val="0"/>
                <w:color w:val="000000"/>
                <w:sz w:val="20"/>
                <w:szCs w:val="20"/>
                <w:u w:val="none"/>
              </w:rPr>
            </w:pPr>
          </w:p>
        </w:tc>
        <w:tc>
          <w:tcPr>
            <w:tcW w:w="986" w:type="dxa"/>
            <w:tcBorders>
              <w:top w:val="nil"/>
              <w:left w:val="nil"/>
              <w:bottom w:val="nil"/>
              <w:right w:val="nil"/>
            </w:tcBorders>
            <w:shd w:val="clear" w:color="auto" w:fill="FFFFFF"/>
            <w:noWrap/>
            <w:vAlign w:val="center"/>
          </w:tcPr>
          <w:p w14:paraId="663C4C5E">
            <w:pPr>
              <w:jc w:val="center"/>
              <w:rPr>
                <w:rFonts w:hint="default" w:ascii="Times New Roman" w:hAnsi="Times New Roman" w:eastAsia="宋体" w:cs="Times New Roman"/>
                <w:b w:val="0"/>
                <w:i w:val="0"/>
                <w:iCs w:val="0"/>
                <w:color w:val="000000"/>
                <w:sz w:val="20"/>
                <w:szCs w:val="20"/>
                <w:u w:val="none"/>
              </w:rPr>
            </w:pPr>
          </w:p>
        </w:tc>
      </w:tr>
      <w:tr w14:paraId="1CE7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75240C4F">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n-3 index</w:t>
            </w:r>
          </w:p>
        </w:tc>
        <w:tc>
          <w:tcPr>
            <w:tcW w:w="0" w:type="auto"/>
            <w:tcBorders>
              <w:top w:val="nil"/>
              <w:left w:val="nil"/>
              <w:bottom w:val="nil"/>
              <w:right w:val="nil"/>
            </w:tcBorders>
            <w:shd w:val="clear" w:color="auto" w:fill="FFFFFF"/>
            <w:noWrap/>
            <w:vAlign w:val="center"/>
          </w:tcPr>
          <w:p w14:paraId="22447FD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0.43 (0.17–1.11)</w:t>
            </w:r>
          </w:p>
        </w:tc>
        <w:tc>
          <w:tcPr>
            <w:tcW w:w="2086" w:type="dxa"/>
            <w:tcBorders>
              <w:top w:val="nil"/>
              <w:left w:val="nil"/>
              <w:bottom w:val="nil"/>
              <w:right w:val="nil"/>
            </w:tcBorders>
            <w:shd w:val="clear" w:color="auto" w:fill="FFFFFF"/>
            <w:noWrap/>
            <w:vAlign w:val="center"/>
          </w:tcPr>
          <w:p w14:paraId="31CDA81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0.33 (0.12–0.9</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w:t>
            </w:r>
          </w:p>
        </w:tc>
        <w:tc>
          <w:tcPr>
            <w:tcW w:w="986" w:type="dxa"/>
            <w:tcBorders>
              <w:top w:val="nil"/>
              <w:left w:val="nil"/>
              <w:bottom w:val="nil"/>
              <w:right w:val="nil"/>
            </w:tcBorders>
            <w:shd w:val="clear" w:color="auto" w:fill="FFFFFF"/>
            <w:noWrap/>
            <w:vAlign w:val="center"/>
          </w:tcPr>
          <w:p w14:paraId="7C5953B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0.031</w:t>
            </w:r>
          </w:p>
        </w:tc>
      </w:tr>
      <w:tr w14:paraId="396B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88" w:type="dxa"/>
            <w:tcBorders>
              <w:top w:val="nil"/>
              <w:left w:val="nil"/>
              <w:bottom w:val="nil"/>
              <w:right w:val="nil"/>
            </w:tcBorders>
            <w:shd w:val="clear" w:color="auto" w:fill="FFFFFF"/>
            <w:noWrap/>
            <w:vAlign w:val="center"/>
          </w:tcPr>
          <w:p w14:paraId="169B05ED">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n-6:n-3</w:t>
            </w:r>
          </w:p>
        </w:tc>
        <w:tc>
          <w:tcPr>
            <w:tcW w:w="0" w:type="auto"/>
            <w:tcBorders>
              <w:top w:val="nil"/>
              <w:left w:val="nil"/>
              <w:bottom w:val="nil"/>
              <w:right w:val="nil"/>
            </w:tcBorders>
            <w:shd w:val="clear" w:color="auto" w:fill="FFFFFF"/>
            <w:noWrap/>
            <w:vAlign w:val="center"/>
          </w:tcPr>
          <w:p w14:paraId="403956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4.8</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 xml:space="preserve"> (1.78–12.97)</w:t>
            </w:r>
          </w:p>
        </w:tc>
        <w:tc>
          <w:tcPr>
            <w:tcW w:w="2086" w:type="dxa"/>
            <w:tcBorders>
              <w:top w:val="nil"/>
              <w:left w:val="nil"/>
              <w:bottom w:val="nil"/>
              <w:right w:val="nil"/>
            </w:tcBorders>
            <w:shd w:val="clear" w:color="auto" w:fill="FFFFFF"/>
            <w:noWrap/>
            <w:vAlign w:val="center"/>
          </w:tcPr>
          <w:p w14:paraId="7F66787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6.38 (2.19–18.63)</w:t>
            </w:r>
          </w:p>
        </w:tc>
        <w:tc>
          <w:tcPr>
            <w:tcW w:w="986" w:type="dxa"/>
            <w:tcBorders>
              <w:top w:val="nil"/>
              <w:left w:val="nil"/>
              <w:bottom w:val="nil"/>
              <w:right w:val="nil"/>
            </w:tcBorders>
            <w:shd w:val="clear" w:color="auto" w:fill="FFFFFF"/>
            <w:noWrap/>
            <w:vAlign w:val="center"/>
          </w:tcPr>
          <w:p w14:paraId="4ACE615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&lt; 0.001</w:t>
            </w:r>
          </w:p>
        </w:tc>
      </w:tr>
      <w:tr w14:paraId="7EDF5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1288" w:type="dxa"/>
            <w:tcBorders>
              <w:top w:val="nil"/>
              <w:left w:val="nil"/>
              <w:bottom w:val="single" w:color="000000" w:sz="12" w:space="0"/>
              <w:right w:val="nil"/>
            </w:tcBorders>
            <w:shd w:val="clear" w:color="auto" w:fill="FFFFFF"/>
            <w:noWrap/>
            <w:vAlign w:val="center"/>
          </w:tcPr>
          <w:p w14:paraId="3DB2449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AA:EPA</w:t>
            </w:r>
          </w:p>
        </w:tc>
        <w:tc>
          <w:tcPr>
            <w:tcW w:w="0" w:type="auto"/>
            <w:tcBorders>
              <w:top w:val="nil"/>
              <w:left w:val="nil"/>
              <w:bottom w:val="single" w:color="000000" w:sz="12" w:space="0"/>
              <w:right w:val="nil"/>
            </w:tcBorders>
            <w:shd w:val="clear" w:color="auto" w:fill="FFFFFF"/>
            <w:noWrap/>
            <w:vAlign w:val="center"/>
          </w:tcPr>
          <w:p w14:paraId="2888B66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0.76 (0.3</w:t>
            </w:r>
            <w:r>
              <w:rPr>
                <w:rFonts w:hint="eastAsia" w:ascii="Times New Roman" w:hAnsi="Times New Roman" w:eastAsia="宋体" w:cs="Times New Roman"/>
                <w:b w:val="0"/>
                <w:i w:val="0"/>
                <w:iCs w:val="0"/>
                <w:color w:val="000000"/>
                <w:kern w:val="0"/>
                <w:sz w:val="20"/>
                <w:szCs w:val="20"/>
                <w:u w:val="none"/>
                <w:lang w:val="en-US" w:eastAsia="zh-CN" w:bidi="ar"/>
              </w:rPr>
              <w:t>0</w:t>
            </w:r>
            <w:r>
              <w:rPr>
                <w:rFonts w:hint="default" w:ascii="Times New Roman" w:hAnsi="Times New Roman" w:eastAsia="宋体" w:cs="Times New Roman"/>
                <w:b w:val="0"/>
                <w:i w:val="0"/>
                <w:iCs w:val="0"/>
                <w:color w:val="000000"/>
                <w:kern w:val="0"/>
                <w:sz w:val="20"/>
                <w:szCs w:val="20"/>
                <w:u w:val="none"/>
                <w:lang w:val="en-US" w:eastAsia="zh-CN" w:bidi="ar"/>
              </w:rPr>
              <w:t>–1.92)</w:t>
            </w:r>
          </w:p>
        </w:tc>
        <w:tc>
          <w:tcPr>
            <w:tcW w:w="2086" w:type="dxa"/>
            <w:tcBorders>
              <w:top w:val="nil"/>
              <w:left w:val="nil"/>
              <w:bottom w:val="single" w:color="000000" w:sz="12" w:space="0"/>
              <w:right w:val="nil"/>
            </w:tcBorders>
            <w:shd w:val="clear" w:color="auto" w:fill="FFFFFF"/>
            <w:noWrap/>
            <w:vAlign w:val="center"/>
          </w:tcPr>
          <w:p w14:paraId="7C3B79B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0.72 (0.28–1.85)</w:t>
            </w:r>
          </w:p>
        </w:tc>
        <w:tc>
          <w:tcPr>
            <w:tcW w:w="986" w:type="dxa"/>
            <w:tcBorders>
              <w:top w:val="nil"/>
              <w:left w:val="nil"/>
              <w:bottom w:val="single" w:color="000000" w:sz="12" w:space="0"/>
              <w:right w:val="nil"/>
            </w:tcBorders>
            <w:shd w:val="clear" w:color="auto" w:fill="FFFFFF"/>
            <w:noWrap/>
            <w:vAlign w:val="center"/>
          </w:tcPr>
          <w:p w14:paraId="76DEC64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0.488</w:t>
            </w:r>
          </w:p>
        </w:tc>
      </w:tr>
    </w:tbl>
    <w:p w14:paraId="151FD98D">
      <w:pPr>
        <w:rPr>
          <w:rFonts w:hint="default" w:ascii="Times New Roman" w:hAnsi="Times New Roman" w:cs="Times New Roman"/>
          <w:sz w:val="20"/>
          <w:szCs w:val="20"/>
          <w:lang w:val="en-US" w:eastAsia="zh-CN"/>
        </w:rPr>
      </w:pPr>
      <w:r>
        <w:rPr>
          <w:rFonts w:hint="default" w:ascii="Times New Roman" w:hAnsi="Times New Roman" w:cs="Times New Roman"/>
          <w:sz w:val="20"/>
          <w:szCs w:val="20"/>
          <w:vertAlign w:val="superscript"/>
          <w:lang w:val="en-US" w:eastAsia="zh-CN"/>
        </w:rPr>
        <w:t>a</w:t>
      </w:r>
      <w:r>
        <w:rPr>
          <w:rFonts w:hint="default" w:ascii="Times New Roman" w:hAnsi="Times New Roman" w:cs="Times New Roman"/>
          <w:sz w:val="20"/>
          <w:szCs w:val="20"/>
          <w:lang w:val="en-US" w:eastAsia="zh-CN"/>
        </w:rPr>
        <w:t>Adjusted for age, sex, BMI, education, smoking status, alcohol consumption, diabetes, hypertension, coronary artery disease, and ischemic stroke.</w:t>
      </w:r>
    </w:p>
    <w:p w14:paraId="6C4FF4DC">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Abbreviations: SFA, saturated fatty acid; MUFA, monounsaturated fatty acid; PUFA, polyunsaturated fatty acid; TFA, trans fatty acid; FA, fatty acid; AA, arachidonic acid, C20:4n-6; EPA, eicosapentaenoic acid, C20:5n-3; DHA, docosahexaenoic acid, C22:6n3; ALA, α-linolenic acid, C18:3n-3; OA, oleic acid, C18:1.</w:t>
      </w:r>
    </w:p>
    <w:p w14:paraId="09CE941E">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6AAB8A16">
      <w:pPr>
        <w:rPr>
          <w:rFonts w:hint="eastAsia"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Table S5.</w:t>
      </w:r>
      <w:r>
        <w:rPr>
          <w:rFonts w:hint="eastAsia" w:ascii="Times New Roman" w:hAnsi="Times New Roman" w:cs="Times New Roman"/>
          <w:sz w:val="20"/>
          <w:szCs w:val="20"/>
          <w:lang w:val="en-US" w:eastAsia="zh-CN"/>
        </w:rPr>
        <w:t xml:space="preserve"> Association between fatty acid levels and the rupture of intracranial aneurysms in participants without metabolic or cardiovascular comorbidities (</w:t>
      </w:r>
      <w:r>
        <w:rPr>
          <w:rFonts w:hint="default" w:ascii="Times New Roman" w:hAnsi="Times New Roman" w:cs="Times New Roman"/>
          <w:sz w:val="20"/>
          <w:szCs w:val="20"/>
          <w:lang w:val="en-US" w:eastAsia="zh-CN"/>
        </w:rPr>
        <w:t>diabetes, coronary artery disease, and ischemic stroke</w:t>
      </w:r>
      <w:r>
        <w:rPr>
          <w:rFonts w:hint="eastAsia" w:ascii="Times New Roman" w:hAnsi="Times New Roman" w:cs="Times New Roman"/>
          <w:sz w:val="20"/>
          <w:szCs w:val="20"/>
          <w:lang w:val="en-US" w:eastAsia="zh-CN"/>
        </w:rPr>
        <w:t>).</w:t>
      </w:r>
    </w:p>
    <w:tbl>
      <w:tblPr>
        <w:tblStyle w:val="5"/>
        <w:tblW w:w="67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4"/>
        <w:gridCol w:w="2108"/>
        <w:gridCol w:w="2225"/>
        <w:gridCol w:w="1051"/>
      </w:tblGrid>
      <w:tr w14:paraId="6D149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 w:hRule="atLeast"/>
          <w:jc w:val="center"/>
        </w:trPr>
        <w:tc>
          <w:tcPr>
            <w:tcW w:w="1374" w:type="dxa"/>
            <w:tcBorders>
              <w:top w:val="single" w:color="000000" w:sz="12" w:space="0"/>
              <w:left w:val="nil"/>
              <w:bottom w:val="single" w:color="000000" w:sz="4" w:space="0"/>
              <w:right w:val="nil"/>
              <w:tl2br w:val="nil"/>
            </w:tcBorders>
            <w:shd w:val="clear" w:color="auto" w:fill="FFFFFF"/>
            <w:noWrap/>
            <w:vAlign w:val="center"/>
          </w:tcPr>
          <w:p w14:paraId="0EF2E862">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kern w:val="0"/>
                <w:sz w:val="20"/>
                <w:szCs w:val="20"/>
                <w:u w:val="none"/>
                <w:lang w:val="en-US" w:eastAsia="zh-CN" w:bidi="ar"/>
              </w:rPr>
              <w:t>Erythrocyte fatty acids</w:t>
            </w:r>
          </w:p>
        </w:tc>
        <w:tc>
          <w:tcPr>
            <w:tcW w:w="2108" w:type="dxa"/>
            <w:tcBorders>
              <w:top w:val="single" w:color="000000" w:sz="12" w:space="0"/>
              <w:left w:val="nil"/>
              <w:bottom w:val="single" w:color="000000" w:sz="4" w:space="0"/>
              <w:right w:val="nil"/>
            </w:tcBorders>
            <w:shd w:val="clear" w:color="auto" w:fill="FFFFFF"/>
            <w:noWrap/>
            <w:vAlign w:val="center"/>
          </w:tcPr>
          <w:p w14:paraId="6791DDEB">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sz w:val="20"/>
                <w:szCs w:val="20"/>
                <w:u w:val="none"/>
              </w:rPr>
              <w:t>Unadjusted</w:t>
            </w:r>
          </w:p>
        </w:tc>
        <w:tc>
          <w:tcPr>
            <w:tcW w:w="2225" w:type="dxa"/>
            <w:tcBorders>
              <w:top w:val="single" w:color="000000" w:sz="12" w:space="0"/>
              <w:left w:val="nil"/>
              <w:bottom w:val="single" w:color="000000" w:sz="4" w:space="0"/>
              <w:right w:val="nil"/>
            </w:tcBorders>
            <w:shd w:val="clear" w:color="auto" w:fill="FFFFFF"/>
            <w:noWrap/>
            <w:vAlign w:val="center"/>
          </w:tcPr>
          <w:p w14:paraId="25EBDC76">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sz w:val="20"/>
                <w:szCs w:val="20"/>
                <w:u w:val="none"/>
              </w:rPr>
              <w:t>Fully adjusted</w:t>
            </w:r>
            <w:r>
              <w:rPr>
                <w:rFonts w:hint="default" w:ascii="Times New Roman" w:hAnsi="Times New Roman" w:eastAsia="宋体" w:cs="Times New Roman"/>
                <w:b/>
                <w:bCs w:val="0"/>
                <w:i w:val="0"/>
                <w:iCs w:val="0"/>
                <w:caps w:val="0"/>
                <w:color w:val="000000"/>
                <w:spacing w:val="0"/>
                <w:sz w:val="20"/>
                <w:szCs w:val="20"/>
                <w:shd w:val="clear" w:fill="FFFFFF"/>
                <w:vertAlign w:val="superscript"/>
                <w:lang w:val="en-US" w:eastAsia="zh-CN"/>
              </w:rPr>
              <w:t>a</w:t>
            </w:r>
          </w:p>
        </w:tc>
        <w:tc>
          <w:tcPr>
            <w:tcW w:w="1051" w:type="dxa"/>
            <w:tcBorders>
              <w:top w:val="single" w:color="000000" w:sz="12" w:space="0"/>
              <w:left w:val="nil"/>
              <w:bottom w:val="single" w:color="000000" w:sz="4" w:space="0"/>
              <w:right w:val="nil"/>
            </w:tcBorders>
            <w:shd w:val="clear" w:color="auto" w:fill="FFFFFF"/>
            <w:noWrap/>
            <w:vAlign w:val="center"/>
          </w:tcPr>
          <w:p w14:paraId="754936CC">
            <w:pPr>
              <w:keepNext w:val="0"/>
              <w:keepLines w:val="0"/>
              <w:widowControl/>
              <w:suppressLineNumbers w:val="0"/>
              <w:jc w:val="center"/>
              <w:textAlignment w:val="center"/>
              <w:rPr>
                <w:rFonts w:hint="default" w:ascii="Times New Roman" w:hAnsi="Times New Roman" w:eastAsia="宋体" w:cs="Times New Roman"/>
                <w:b/>
                <w:bCs w:val="0"/>
                <w:i w:val="0"/>
                <w:iCs w:val="0"/>
                <w:color w:val="000000"/>
                <w:kern w:val="2"/>
                <w:sz w:val="20"/>
                <w:szCs w:val="20"/>
                <w:u w:val="none"/>
                <w:lang w:val="en-US" w:eastAsia="zh-CN" w:bidi="ar-SA"/>
              </w:rPr>
            </w:pPr>
            <w:r>
              <w:rPr>
                <w:rFonts w:hint="default" w:ascii="Times New Roman" w:hAnsi="Times New Roman" w:eastAsia="宋体" w:cs="Times New Roman"/>
                <w:b/>
                <w:bCs w:val="0"/>
                <w:i w:val="0"/>
                <w:iCs w:val="0"/>
                <w:color w:val="000000"/>
                <w:kern w:val="0"/>
                <w:sz w:val="20"/>
                <w:szCs w:val="20"/>
                <w:u w:val="none"/>
                <w:lang w:val="en-US" w:eastAsia="zh-CN" w:bidi="ar"/>
              </w:rPr>
              <w:t>P</w:t>
            </w:r>
          </w:p>
        </w:tc>
      </w:tr>
      <w:tr w14:paraId="4EEC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single" w:color="000000" w:sz="4" w:space="0"/>
              <w:left w:val="nil"/>
              <w:bottom w:val="nil"/>
              <w:right w:val="nil"/>
              <w:tl2br w:val="nil"/>
            </w:tcBorders>
            <w:shd w:val="clear" w:color="auto" w:fill="FFFFFF"/>
            <w:noWrap/>
            <w:vAlign w:val="center"/>
          </w:tcPr>
          <w:p w14:paraId="412C8524">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SFA</w:t>
            </w:r>
          </w:p>
        </w:tc>
        <w:tc>
          <w:tcPr>
            <w:tcW w:w="2108" w:type="dxa"/>
            <w:tcBorders>
              <w:top w:val="single" w:color="000000" w:sz="4" w:space="0"/>
              <w:left w:val="nil"/>
              <w:bottom w:val="nil"/>
              <w:right w:val="nil"/>
            </w:tcBorders>
            <w:shd w:val="clear" w:color="auto" w:fill="FFFFFF"/>
            <w:noWrap/>
            <w:vAlign w:val="center"/>
          </w:tcPr>
          <w:p w14:paraId="4F550B1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1.04 (0.67–1.60)</w:t>
            </w:r>
          </w:p>
        </w:tc>
        <w:tc>
          <w:tcPr>
            <w:tcW w:w="2225" w:type="dxa"/>
            <w:tcBorders>
              <w:top w:val="single" w:color="000000" w:sz="4" w:space="0"/>
              <w:left w:val="nil"/>
              <w:bottom w:val="nil"/>
              <w:right w:val="nil"/>
            </w:tcBorders>
            <w:shd w:val="clear" w:color="auto" w:fill="FFFFFF"/>
            <w:noWrap/>
            <w:vAlign w:val="center"/>
          </w:tcPr>
          <w:p w14:paraId="24D5E7C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1.36 (0.85–2.2</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051" w:type="dxa"/>
            <w:tcBorders>
              <w:top w:val="single" w:color="000000" w:sz="4" w:space="0"/>
              <w:left w:val="nil"/>
              <w:bottom w:val="nil"/>
              <w:right w:val="nil"/>
            </w:tcBorders>
            <w:shd w:val="clear" w:color="auto" w:fill="FFFFFF"/>
            <w:noWrap/>
            <w:vAlign w:val="center"/>
          </w:tcPr>
          <w:p w14:paraId="1638147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0.203</w:t>
            </w:r>
          </w:p>
        </w:tc>
      </w:tr>
      <w:tr w14:paraId="02A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336B722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C14:0</w:t>
            </w:r>
          </w:p>
        </w:tc>
        <w:tc>
          <w:tcPr>
            <w:tcW w:w="2108" w:type="dxa"/>
            <w:tcBorders>
              <w:top w:val="nil"/>
              <w:left w:val="nil"/>
              <w:bottom w:val="nil"/>
              <w:right w:val="nil"/>
            </w:tcBorders>
            <w:shd w:val="clear" w:color="auto" w:fill="FFFFFF"/>
            <w:noWrap/>
            <w:vAlign w:val="center"/>
          </w:tcPr>
          <w:p w14:paraId="7A90AD7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0.67 (0.42–1.06)</w:t>
            </w:r>
          </w:p>
        </w:tc>
        <w:tc>
          <w:tcPr>
            <w:tcW w:w="2225" w:type="dxa"/>
            <w:tcBorders>
              <w:top w:val="nil"/>
              <w:left w:val="nil"/>
              <w:bottom w:val="nil"/>
              <w:right w:val="nil"/>
            </w:tcBorders>
            <w:shd w:val="clear" w:color="auto" w:fill="FFFFFF"/>
            <w:noWrap/>
            <w:vAlign w:val="center"/>
          </w:tcPr>
          <w:p w14:paraId="41C8E71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0.82 (0.5–1.33)</w:t>
            </w:r>
          </w:p>
        </w:tc>
        <w:tc>
          <w:tcPr>
            <w:tcW w:w="1051" w:type="dxa"/>
            <w:tcBorders>
              <w:top w:val="nil"/>
              <w:left w:val="nil"/>
              <w:bottom w:val="nil"/>
              <w:right w:val="nil"/>
            </w:tcBorders>
            <w:shd w:val="clear" w:color="auto" w:fill="FFFFFF"/>
            <w:noWrap/>
            <w:vAlign w:val="center"/>
          </w:tcPr>
          <w:p w14:paraId="2CE941F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0.419</w:t>
            </w:r>
          </w:p>
        </w:tc>
      </w:tr>
      <w:tr w14:paraId="5B42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4592177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C16:0</w:t>
            </w:r>
          </w:p>
        </w:tc>
        <w:tc>
          <w:tcPr>
            <w:tcW w:w="2108" w:type="dxa"/>
            <w:tcBorders>
              <w:top w:val="nil"/>
              <w:left w:val="nil"/>
              <w:bottom w:val="nil"/>
              <w:right w:val="nil"/>
            </w:tcBorders>
            <w:shd w:val="clear" w:color="auto" w:fill="FFFFFF"/>
            <w:noWrap/>
            <w:vAlign w:val="center"/>
          </w:tcPr>
          <w:p w14:paraId="0DB6EE1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 (0.67–1.59)</w:t>
            </w:r>
          </w:p>
        </w:tc>
        <w:tc>
          <w:tcPr>
            <w:tcW w:w="2225" w:type="dxa"/>
            <w:tcBorders>
              <w:top w:val="nil"/>
              <w:left w:val="nil"/>
              <w:bottom w:val="nil"/>
              <w:right w:val="nil"/>
            </w:tcBorders>
            <w:shd w:val="clear" w:color="auto" w:fill="FFFFFF"/>
            <w:noWrap/>
            <w:vAlign w:val="center"/>
          </w:tcPr>
          <w:p w14:paraId="244DBC2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1.56 (0.94–2.59)</w:t>
            </w:r>
          </w:p>
        </w:tc>
        <w:tc>
          <w:tcPr>
            <w:tcW w:w="1051" w:type="dxa"/>
            <w:tcBorders>
              <w:top w:val="nil"/>
              <w:left w:val="nil"/>
              <w:bottom w:val="nil"/>
              <w:right w:val="nil"/>
            </w:tcBorders>
            <w:shd w:val="clear" w:color="auto" w:fill="FFFFFF"/>
            <w:noWrap/>
            <w:vAlign w:val="center"/>
          </w:tcPr>
          <w:p w14:paraId="585CB6F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0.087</w:t>
            </w:r>
          </w:p>
        </w:tc>
      </w:tr>
      <w:tr w14:paraId="240B7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753ADC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C18:0</w:t>
            </w:r>
          </w:p>
        </w:tc>
        <w:tc>
          <w:tcPr>
            <w:tcW w:w="2108" w:type="dxa"/>
            <w:tcBorders>
              <w:top w:val="nil"/>
              <w:left w:val="nil"/>
              <w:bottom w:val="nil"/>
              <w:right w:val="nil"/>
            </w:tcBorders>
            <w:shd w:val="clear" w:color="auto" w:fill="FFFFFF"/>
            <w:noWrap/>
            <w:vAlign w:val="center"/>
          </w:tcPr>
          <w:p w14:paraId="40EBDE1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1.01(0.65–1.56)</w:t>
            </w:r>
          </w:p>
        </w:tc>
        <w:tc>
          <w:tcPr>
            <w:tcW w:w="2225" w:type="dxa"/>
            <w:tcBorders>
              <w:top w:val="nil"/>
              <w:left w:val="nil"/>
              <w:bottom w:val="nil"/>
              <w:right w:val="nil"/>
            </w:tcBorders>
            <w:shd w:val="clear" w:color="auto" w:fill="FFFFFF"/>
            <w:noWrap/>
            <w:vAlign w:val="center"/>
          </w:tcPr>
          <w:p w14:paraId="51D3452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1.42 (0.87–2.33)</w:t>
            </w:r>
          </w:p>
        </w:tc>
        <w:tc>
          <w:tcPr>
            <w:tcW w:w="1051" w:type="dxa"/>
            <w:tcBorders>
              <w:top w:val="nil"/>
              <w:left w:val="nil"/>
              <w:bottom w:val="nil"/>
              <w:right w:val="nil"/>
            </w:tcBorders>
            <w:shd w:val="clear" w:color="auto" w:fill="FFFFFF"/>
            <w:noWrap/>
            <w:vAlign w:val="center"/>
          </w:tcPr>
          <w:p w14:paraId="089E00A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0.161</w:t>
            </w:r>
          </w:p>
        </w:tc>
      </w:tr>
      <w:tr w14:paraId="4E085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363B5E24">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C20:0</w:t>
            </w:r>
          </w:p>
        </w:tc>
        <w:tc>
          <w:tcPr>
            <w:tcW w:w="2108" w:type="dxa"/>
            <w:tcBorders>
              <w:top w:val="nil"/>
              <w:left w:val="nil"/>
              <w:bottom w:val="nil"/>
              <w:right w:val="nil"/>
            </w:tcBorders>
            <w:shd w:val="clear" w:color="auto" w:fill="FFFFFF"/>
            <w:noWrap/>
            <w:vAlign w:val="center"/>
          </w:tcPr>
          <w:p w14:paraId="3AE1EC6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1.07 (0.69–1.65)</w:t>
            </w:r>
          </w:p>
        </w:tc>
        <w:tc>
          <w:tcPr>
            <w:tcW w:w="2225" w:type="dxa"/>
            <w:tcBorders>
              <w:top w:val="nil"/>
              <w:left w:val="nil"/>
              <w:bottom w:val="nil"/>
              <w:right w:val="nil"/>
            </w:tcBorders>
            <w:shd w:val="clear" w:color="auto" w:fill="FFFFFF"/>
            <w:noWrap/>
            <w:vAlign w:val="center"/>
          </w:tcPr>
          <w:p w14:paraId="5D401D4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1.21 (0.75–1.93)</w:t>
            </w:r>
          </w:p>
        </w:tc>
        <w:tc>
          <w:tcPr>
            <w:tcW w:w="1051" w:type="dxa"/>
            <w:tcBorders>
              <w:top w:val="nil"/>
              <w:left w:val="nil"/>
              <w:bottom w:val="nil"/>
              <w:right w:val="nil"/>
            </w:tcBorders>
            <w:shd w:val="clear" w:color="auto" w:fill="FFFFFF"/>
            <w:noWrap/>
            <w:vAlign w:val="center"/>
          </w:tcPr>
          <w:p w14:paraId="28AD2D3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0.432</w:t>
            </w:r>
          </w:p>
        </w:tc>
      </w:tr>
      <w:tr w14:paraId="6684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7C922164">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C22:0</w:t>
            </w:r>
          </w:p>
        </w:tc>
        <w:tc>
          <w:tcPr>
            <w:tcW w:w="2108" w:type="dxa"/>
            <w:tcBorders>
              <w:top w:val="nil"/>
              <w:left w:val="nil"/>
              <w:bottom w:val="nil"/>
              <w:right w:val="nil"/>
            </w:tcBorders>
            <w:shd w:val="clear" w:color="auto" w:fill="FFFFFF"/>
            <w:noWrap/>
            <w:vAlign w:val="center"/>
          </w:tcPr>
          <w:p w14:paraId="1D2DC69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 (0.65–1.54)</w:t>
            </w:r>
          </w:p>
        </w:tc>
        <w:tc>
          <w:tcPr>
            <w:tcW w:w="2225" w:type="dxa"/>
            <w:tcBorders>
              <w:top w:val="nil"/>
              <w:left w:val="nil"/>
              <w:bottom w:val="nil"/>
              <w:right w:val="nil"/>
            </w:tcBorders>
            <w:shd w:val="clear" w:color="auto" w:fill="FFFFFF"/>
            <w:noWrap/>
            <w:vAlign w:val="center"/>
          </w:tcPr>
          <w:p w14:paraId="0CDBA30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1.07 (0.68–1.67)</w:t>
            </w:r>
          </w:p>
        </w:tc>
        <w:tc>
          <w:tcPr>
            <w:tcW w:w="1051" w:type="dxa"/>
            <w:tcBorders>
              <w:top w:val="nil"/>
              <w:left w:val="nil"/>
              <w:bottom w:val="nil"/>
              <w:right w:val="nil"/>
            </w:tcBorders>
            <w:shd w:val="clear" w:color="auto" w:fill="FFFFFF"/>
            <w:noWrap/>
            <w:vAlign w:val="center"/>
          </w:tcPr>
          <w:p w14:paraId="3CA1088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0.781</w:t>
            </w:r>
          </w:p>
        </w:tc>
      </w:tr>
      <w:tr w14:paraId="096E5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C9F8C98">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C24:0</w:t>
            </w:r>
          </w:p>
        </w:tc>
        <w:tc>
          <w:tcPr>
            <w:tcW w:w="2108" w:type="dxa"/>
            <w:tcBorders>
              <w:top w:val="nil"/>
              <w:left w:val="nil"/>
              <w:bottom w:val="nil"/>
              <w:right w:val="nil"/>
            </w:tcBorders>
            <w:shd w:val="clear" w:color="auto" w:fill="FFFFFF"/>
            <w:noWrap/>
            <w:vAlign w:val="center"/>
          </w:tcPr>
          <w:p w14:paraId="3443CE1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0.97 (0.63–1.50)</w:t>
            </w:r>
          </w:p>
        </w:tc>
        <w:tc>
          <w:tcPr>
            <w:tcW w:w="2225" w:type="dxa"/>
            <w:tcBorders>
              <w:top w:val="nil"/>
              <w:left w:val="nil"/>
              <w:bottom w:val="nil"/>
              <w:right w:val="nil"/>
            </w:tcBorders>
            <w:shd w:val="clear" w:color="auto" w:fill="FFFFFF"/>
            <w:noWrap/>
            <w:vAlign w:val="center"/>
          </w:tcPr>
          <w:p w14:paraId="5E75931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0.9</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 xml:space="preserve"> (0.57–1.43)</w:t>
            </w:r>
          </w:p>
        </w:tc>
        <w:tc>
          <w:tcPr>
            <w:tcW w:w="1051" w:type="dxa"/>
            <w:tcBorders>
              <w:top w:val="nil"/>
              <w:left w:val="nil"/>
              <w:bottom w:val="nil"/>
              <w:right w:val="nil"/>
            </w:tcBorders>
            <w:shd w:val="clear" w:color="auto" w:fill="FFFFFF"/>
            <w:noWrap/>
            <w:vAlign w:val="center"/>
          </w:tcPr>
          <w:p w14:paraId="27DD15E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0.66</w:t>
            </w:r>
            <w:r>
              <w:rPr>
                <w:rFonts w:hint="eastAsia" w:ascii="Times New Roman" w:hAnsi="Times New Roman" w:eastAsia="宋体" w:cs="Times New Roman"/>
                <w:i w:val="0"/>
                <w:iCs w:val="0"/>
                <w:color w:val="000000"/>
                <w:kern w:val="0"/>
                <w:sz w:val="20"/>
                <w:szCs w:val="20"/>
                <w:u w:val="none"/>
                <w:lang w:val="en-US" w:eastAsia="zh-CN" w:bidi="ar"/>
              </w:rPr>
              <w:t>0</w:t>
            </w:r>
          </w:p>
        </w:tc>
      </w:tr>
      <w:tr w14:paraId="1E748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38573B80">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MUFA</w:t>
            </w:r>
          </w:p>
        </w:tc>
        <w:tc>
          <w:tcPr>
            <w:tcW w:w="2108" w:type="dxa"/>
            <w:tcBorders>
              <w:top w:val="nil"/>
              <w:left w:val="nil"/>
              <w:bottom w:val="nil"/>
              <w:right w:val="nil"/>
            </w:tcBorders>
            <w:shd w:val="clear" w:color="auto" w:fill="FFFFFF"/>
            <w:noWrap/>
            <w:vAlign w:val="center"/>
          </w:tcPr>
          <w:p w14:paraId="74D8713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0.72 (0.46–1.13)</w:t>
            </w:r>
          </w:p>
        </w:tc>
        <w:tc>
          <w:tcPr>
            <w:tcW w:w="2225" w:type="dxa"/>
            <w:tcBorders>
              <w:top w:val="nil"/>
              <w:left w:val="nil"/>
              <w:bottom w:val="nil"/>
              <w:right w:val="nil"/>
            </w:tcBorders>
            <w:shd w:val="clear" w:color="auto" w:fill="FFFFFF"/>
            <w:noWrap/>
            <w:vAlign w:val="center"/>
          </w:tcPr>
          <w:p w14:paraId="3FA4F6E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0.88 (0.54–1.43)</w:t>
            </w:r>
          </w:p>
        </w:tc>
        <w:tc>
          <w:tcPr>
            <w:tcW w:w="1051" w:type="dxa"/>
            <w:tcBorders>
              <w:top w:val="nil"/>
              <w:left w:val="nil"/>
              <w:bottom w:val="nil"/>
              <w:right w:val="nil"/>
            </w:tcBorders>
            <w:shd w:val="clear" w:color="auto" w:fill="FFFFFF"/>
            <w:noWrap/>
            <w:vAlign w:val="center"/>
          </w:tcPr>
          <w:p w14:paraId="376D2B0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0.602</w:t>
            </w:r>
          </w:p>
        </w:tc>
      </w:tr>
      <w:tr w14:paraId="72E1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0E8F7F2">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w:t>
            </w:r>
          </w:p>
        </w:tc>
        <w:tc>
          <w:tcPr>
            <w:tcW w:w="2108" w:type="dxa"/>
            <w:tcBorders>
              <w:top w:val="nil"/>
              <w:left w:val="nil"/>
              <w:bottom w:val="nil"/>
              <w:right w:val="nil"/>
            </w:tcBorders>
            <w:shd w:val="clear" w:color="auto" w:fill="FFFFFF"/>
            <w:noWrap/>
            <w:vAlign w:val="center"/>
          </w:tcPr>
          <w:p w14:paraId="26B2958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0.69 (0.42–1.12)</w:t>
            </w:r>
          </w:p>
        </w:tc>
        <w:tc>
          <w:tcPr>
            <w:tcW w:w="2225" w:type="dxa"/>
            <w:tcBorders>
              <w:top w:val="nil"/>
              <w:left w:val="nil"/>
              <w:bottom w:val="nil"/>
              <w:right w:val="nil"/>
            </w:tcBorders>
            <w:shd w:val="clear" w:color="auto" w:fill="FFFFFF"/>
            <w:noWrap/>
            <w:vAlign w:val="center"/>
          </w:tcPr>
          <w:p w14:paraId="107C24F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0.87 (0.55–1.4</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051" w:type="dxa"/>
            <w:tcBorders>
              <w:top w:val="nil"/>
              <w:left w:val="nil"/>
              <w:bottom w:val="nil"/>
              <w:right w:val="nil"/>
            </w:tcBorders>
            <w:shd w:val="clear" w:color="auto" w:fill="FFFFFF"/>
            <w:noWrap/>
            <w:vAlign w:val="center"/>
          </w:tcPr>
          <w:p w14:paraId="50A75C4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0.579</w:t>
            </w:r>
          </w:p>
        </w:tc>
      </w:tr>
      <w:tr w14:paraId="041F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7D185A84">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w:t>
            </w:r>
          </w:p>
        </w:tc>
        <w:tc>
          <w:tcPr>
            <w:tcW w:w="2108" w:type="dxa"/>
            <w:tcBorders>
              <w:top w:val="nil"/>
              <w:left w:val="nil"/>
              <w:bottom w:val="nil"/>
              <w:right w:val="nil"/>
            </w:tcBorders>
            <w:shd w:val="clear" w:color="auto" w:fill="FFFFFF"/>
            <w:noWrap/>
            <w:vAlign w:val="center"/>
          </w:tcPr>
          <w:p w14:paraId="247CF39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0.60 (0.37–0.96)</w:t>
            </w:r>
          </w:p>
        </w:tc>
        <w:tc>
          <w:tcPr>
            <w:tcW w:w="2225" w:type="dxa"/>
            <w:tcBorders>
              <w:top w:val="nil"/>
              <w:left w:val="nil"/>
              <w:bottom w:val="nil"/>
              <w:right w:val="nil"/>
            </w:tcBorders>
            <w:shd w:val="clear" w:color="auto" w:fill="FFFFFF"/>
            <w:noWrap/>
            <w:vAlign w:val="center"/>
          </w:tcPr>
          <w:p w14:paraId="0D68022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0.76 (0.45–1.29)</w:t>
            </w:r>
          </w:p>
        </w:tc>
        <w:tc>
          <w:tcPr>
            <w:tcW w:w="1051" w:type="dxa"/>
            <w:tcBorders>
              <w:top w:val="nil"/>
              <w:left w:val="nil"/>
              <w:bottom w:val="nil"/>
              <w:right w:val="nil"/>
            </w:tcBorders>
            <w:shd w:val="clear" w:color="auto" w:fill="FFFFFF"/>
            <w:noWrap/>
            <w:vAlign w:val="center"/>
          </w:tcPr>
          <w:p w14:paraId="7B28E08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0.316</w:t>
            </w:r>
          </w:p>
        </w:tc>
      </w:tr>
      <w:tr w14:paraId="50F3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2A4388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C20:1</w:t>
            </w:r>
          </w:p>
        </w:tc>
        <w:tc>
          <w:tcPr>
            <w:tcW w:w="2108" w:type="dxa"/>
            <w:tcBorders>
              <w:top w:val="nil"/>
              <w:left w:val="nil"/>
              <w:bottom w:val="nil"/>
              <w:right w:val="nil"/>
            </w:tcBorders>
            <w:shd w:val="clear" w:color="auto" w:fill="FFFFFF"/>
            <w:noWrap/>
            <w:vAlign w:val="center"/>
          </w:tcPr>
          <w:p w14:paraId="7BC675C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 (0.74–1.78)</w:t>
            </w:r>
          </w:p>
        </w:tc>
        <w:tc>
          <w:tcPr>
            <w:tcW w:w="2225" w:type="dxa"/>
            <w:tcBorders>
              <w:top w:val="nil"/>
              <w:left w:val="nil"/>
              <w:bottom w:val="nil"/>
              <w:right w:val="nil"/>
            </w:tcBorders>
            <w:shd w:val="clear" w:color="auto" w:fill="FFFFFF"/>
            <w:noWrap/>
            <w:vAlign w:val="center"/>
          </w:tcPr>
          <w:p w14:paraId="4993DE1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1.1</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 xml:space="preserve"> (0.69–1.76)</w:t>
            </w:r>
          </w:p>
        </w:tc>
        <w:tc>
          <w:tcPr>
            <w:tcW w:w="1051" w:type="dxa"/>
            <w:tcBorders>
              <w:top w:val="nil"/>
              <w:left w:val="nil"/>
              <w:bottom w:val="nil"/>
              <w:right w:val="nil"/>
            </w:tcBorders>
            <w:shd w:val="clear" w:color="auto" w:fill="FFFFFF"/>
            <w:noWrap/>
            <w:vAlign w:val="center"/>
          </w:tcPr>
          <w:p w14:paraId="74E5FD4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0.693</w:t>
            </w:r>
          </w:p>
        </w:tc>
      </w:tr>
      <w:tr w14:paraId="2D9A4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70B103B5">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C24:1</w:t>
            </w:r>
          </w:p>
        </w:tc>
        <w:tc>
          <w:tcPr>
            <w:tcW w:w="2108" w:type="dxa"/>
            <w:tcBorders>
              <w:top w:val="nil"/>
              <w:left w:val="nil"/>
              <w:bottom w:val="nil"/>
              <w:right w:val="nil"/>
            </w:tcBorders>
            <w:shd w:val="clear" w:color="auto" w:fill="FFFFFF"/>
            <w:noWrap/>
            <w:vAlign w:val="center"/>
          </w:tcPr>
          <w:p w14:paraId="744E225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0.99 (0.64–1.53)</w:t>
            </w:r>
          </w:p>
        </w:tc>
        <w:tc>
          <w:tcPr>
            <w:tcW w:w="2225" w:type="dxa"/>
            <w:tcBorders>
              <w:top w:val="nil"/>
              <w:left w:val="nil"/>
              <w:bottom w:val="nil"/>
              <w:right w:val="nil"/>
            </w:tcBorders>
            <w:shd w:val="clear" w:color="auto" w:fill="FFFFFF"/>
            <w:noWrap/>
            <w:vAlign w:val="center"/>
          </w:tcPr>
          <w:p w14:paraId="5CA8F9A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1.04 (0.66–1.63)</w:t>
            </w:r>
          </w:p>
        </w:tc>
        <w:tc>
          <w:tcPr>
            <w:tcW w:w="1051" w:type="dxa"/>
            <w:tcBorders>
              <w:top w:val="nil"/>
              <w:left w:val="nil"/>
              <w:bottom w:val="nil"/>
              <w:right w:val="nil"/>
            </w:tcBorders>
            <w:shd w:val="clear" w:color="auto" w:fill="FFFFFF"/>
            <w:noWrap/>
            <w:vAlign w:val="center"/>
          </w:tcPr>
          <w:p w14:paraId="7F85E60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0.864</w:t>
            </w:r>
          </w:p>
        </w:tc>
      </w:tr>
      <w:tr w14:paraId="78E11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54DAD5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PUFA</w:t>
            </w:r>
          </w:p>
        </w:tc>
        <w:tc>
          <w:tcPr>
            <w:tcW w:w="2108" w:type="dxa"/>
            <w:tcBorders>
              <w:top w:val="nil"/>
              <w:left w:val="nil"/>
              <w:bottom w:val="nil"/>
              <w:right w:val="nil"/>
            </w:tcBorders>
            <w:shd w:val="clear" w:color="auto" w:fill="FFFFFF"/>
            <w:noWrap/>
            <w:vAlign w:val="center"/>
          </w:tcPr>
          <w:p w14:paraId="02EE4BE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1.35 (0.86–2.13)</w:t>
            </w:r>
          </w:p>
        </w:tc>
        <w:tc>
          <w:tcPr>
            <w:tcW w:w="2225" w:type="dxa"/>
            <w:tcBorders>
              <w:top w:val="nil"/>
              <w:left w:val="nil"/>
              <w:bottom w:val="nil"/>
              <w:right w:val="nil"/>
            </w:tcBorders>
            <w:shd w:val="clear" w:color="auto" w:fill="FFFFFF"/>
            <w:noWrap/>
            <w:vAlign w:val="center"/>
          </w:tcPr>
          <w:p w14:paraId="40E8E16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1.93 (1.17–3.17)</w:t>
            </w:r>
          </w:p>
        </w:tc>
        <w:tc>
          <w:tcPr>
            <w:tcW w:w="1051" w:type="dxa"/>
            <w:tcBorders>
              <w:top w:val="nil"/>
              <w:left w:val="nil"/>
              <w:bottom w:val="nil"/>
              <w:right w:val="nil"/>
            </w:tcBorders>
            <w:shd w:val="clear" w:color="auto" w:fill="FFFFFF"/>
            <w:noWrap/>
            <w:vAlign w:val="center"/>
          </w:tcPr>
          <w:p w14:paraId="456DB76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0.01</w:t>
            </w:r>
            <w:r>
              <w:rPr>
                <w:rFonts w:hint="eastAsia" w:ascii="Times New Roman" w:hAnsi="Times New Roman" w:eastAsia="宋体" w:cs="Times New Roman"/>
                <w:i w:val="0"/>
                <w:iCs w:val="0"/>
                <w:color w:val="000000"/>
                <w:kern w:val="0"/>
                <w:sz w:val="20"/>
                <w:szCs w:val="20"/>
                <w:u w:val="none"/>
                <w:lang w:val="en-US" w:eastAsia="zh-CN" w:bidi="ar"/>
              </w:rPr>
              <w:t>0</w:t>
            </w:r>
          </w:p>
        </w:tc>
      </w:tr>
      <w:tr w14:paraId="551EE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BA9D66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n-6 PUFA</w:t>
            </w:r>
          </w:p>
        </w:tc>
        <w:tc>
          <w:tcPr>
            <w:tcW w:w="2108" w:type="dxa"/>
            <w:tcBorders>
              <w:top w:val="nil"/>
              <w:left w:val="nil"/>
              <w:bottom w:val="nil"/>
              <w:right w:val="nil"/>
            </w:tcBorders>
            <w:shd w:val="clear" w:color="auto" w:fill="FFFFFF"/>
            <w:noWrap/>
            <w:vAlign w:val="center"/>
          </w:tcPr>
          <w:p w14:paraId="0D1CB0F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1.39 (0.88–2.20)</w:t>
            </w:r>
          </w:p>
        </w:tc>
        <w:tc>
          <w:tcPr>
            <w:tcW w:w="2225" w:type="dxa"/>
            <w:tcBorders>
              <w:top w:val="nil"/>
              <w:left w:val="nil"/>
              <w:bottom w:val="nil"/>
              <w:right w:val="nil"/>
            </w:tcBorders>
            <w:shd w:val="clear" w:color="auto" w:fill="FFFFFF"/>
            <w:noWrap/>
            <w:vAlign w:val="center"/>
          </w:tcPr>
          <w:p w14:paraId="0203863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2.12 (1.27–3.54)</w:t>
            </w:r>
          </w:p>
        </w:tc>
        <w:tc>
          <w:tcPr>
            <w:tcW w:w="1051" w:type="dxa"/>
            <w:tcBorders>
              <w:top w:val="nil"/>
              <w:left w:val="nil"/>
              <w:bottom w:val="nil"/>
              <w:right w:val="nil"/>
            </w:tcBorders>
            <w:shd w:val="clear" w:color="auto" w:fill="FFFFFF"/>
            <w:noWrap/>
            <w:vAlign w:val="center"/>
          </w:tcPr>
          <w:p w14:paraId="7E9F13D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0.004</w:t>
            </w:r>
          </w:p>
        </w:tc>
      </w:tr>
      <w:tr w14:paraId="26175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jc w:val="center"/>
        </w:trPr>
        <w:tc>
          <w:tcPr>
            <w:tcW w:w="1374" w:type="dxa"/>
            <w:tcBorders>
              <w:top w:val="nil"/>
              <w:left w:val="nil"/>
              <w:bottom w:val="nil"/>
              <w:right w:val="nil"/>
            </w:tcBorders>
            <w:shd w:val="clear" w:color="auto" w:fill="FFFFFF"/>
            <w:noWrap/>
            <w:vAlign w:val="center"/>
          </w:tcPr>
          <w:p w14:paraId="05D354F7">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C18:2 n-6</w:t>
            </w:r>
          </w:p>
        </w:tc>
        <w:tc>
          <w:tcPr>
            <w:tcW w:w="2108" w:type="dxa"/>
            <w:tcBorders>
              <w:top w:val="nil"/>
              <w:left w:val="nil"/>
              <w:bottom w:val="nil"/>
              <w:right w:val="nil"/>
            </w:tcBorders>
            <w:shd w:val="clear" w:color="auto" w:fill="FFFFFF"/>
            <w:noWrap/>
            <w:vAlign w:val="center"/>
          </w:tcPr>
          <w:p w14:paraId="585C274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 (0.74–1.78)</w:t>
            </w:r>
          </w:p>
        </w:tc>
        <w:tc>
          <w:tcPr>
            <w:tcW w:w="2225" w:type="dxa"/>
            <w:tcBorders>
              <w:top w:val="nil"/>
              <w:left w:val="nil"/>
              <w:bottom w:val="nil"/>
              <w:right w:val="nil"/>
            </w:tcBorders>
            <w:shd w:val="clear" w:color="auto" w:fill="FFFFFF"/>
            <w:noWrap/>
            <w:vAlign w:val="center"/>
          </w:tcPr>
          <w:p w14:paraId="658F713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1.55 (0.96–2.49)</w:t>
            </w:r>
          </w:p>
        </w:tc>
        <w:tc>
          <w:tcPr>
            <w:tcW w:w="1051" w:type="dxa"/>
            <w:tcBorders>
              <w:top w:val="nil"/>
              <w:left w:val="nil"/>
              <w:bottom w:val="nil"/>
              <w:right w:val="nil"/>
            </w:tcBorders>
            <w:shd w:val="clear" w:color="auto" w:fill="FFFFFF"/>
            <w:noWrap/>
            <w:vAlign w:val="center"/>
          </w:tcPr>
          <w:p w14:paraId="252F286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0.071</w:t>
            </w:r>
          </w:p>
        </w:tc>
      </w:tr>
      <w:tr w14:paraId="51340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3EB70D5">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n-6</w:t>
            </w:r>
          </w:p>
        </w:tc>
        <w:tc>
          <w:tcPr>
            <w:tcW w:w="2108" w:type="dxa"/>
            <w:tcBorders>
              <w:top w:val="nil"/>
              <w:left w:val="nil"/>
              <w:bottom w:val="nil"/>
              <w:right w:val="nil"/>
            </w:tcBorders>
            <w:shd w:val="clear" w:color="auto" w:fill="FFFFFF"/>
            <w:noWrap/>
            <w:vAlign w:val="center"/>
          </w:tcPr>
          <w:p w14:paraId="0D4BBE2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0.96 (0.62–1.48)</w:t>
            </w:r>
          </w:p>
        </w:tc>
        <w:tc>
          <w:tcPr>
            <w:tcW w:w="2225" w:type="dxa"/>
            <w:tcBorders>
              <w:top w:val="nil"/>
              <w:left w:val="nil"/>
              <w:bottom w:val="nil"/>
              <w:right w:val="nil"/>
            </w:tcBorders>
            <w:shd w:val="clear" w:color="auto" w:fill="FFFFFF"/>
            <w:noWrap/>
            <w:vAlign w:val="center"/>
          </w:tcPr>
          <w:p w14:paraId="0CE6207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0.98 (0.62–1.56)</w:t>
            </w:r>
          </w:p>
        </w:tc>
        <w:tc>
          <w:tcPr>
            <w:tcW w:w="1051" w:type="dxa"/>
            <w:tcBorders>
              <w:top w:val="nil"/>
              <w:left w:val="nil"/>
              <w:bottom w:val="nil"/>
              <w:right w:val="nil"/>
            </w:tcBorders>
            <w:shd w:val="clear" w:color="auto" w:fill="FFFFFF"/>
            <w:noWrap/>
            <w:vAlign w:val="center"/>
          </w:tcPr>
          <w:p w14:paraId="7F6AFDB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0.946</w:t>
            </w:r>
          </w:p>
        </w:tc>
      </w:tr>
      <w:tr w14:paraId="459E4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76D2DEA">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C20:2 n-6</w:t>
            </w:r>
          </w:p>
        </w:tc>
        <w:tc>
          <w:tcPr>
            <w:tcW w:w="2108" w:type="dxa"/>
            <w:tcBorders>
              <w:top w:val="nil"/>
              <w:left w:val="nil"/>
              <w:bottom w:val="nil"/>
              <w:right w:val="nil"/>
            </w:tcBorders>
            <w:shd w:val="clear" w:color="auto" w:fill="FFFFFF"/>
            <w:noWrap/>
            <w:vAlign w:val="center"/>
          </w:tcPr>
          <w:p w14:paraId="1E03D28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1.27 (0.82–1.98)</w:t>
            </w:r>
          </w:p>
        </w:tc>
        <w:tc>
          <w:tcPr>
            <w:tcW w:w="2225" w:type="dxa"/>
            <w:tcBorders>
              <w:top w:val="nil"/>
              <w:left w:val="nil"/>
              <w:bottom w:val="nil"/>
              <w:right w:val="nil"/>
            </w:tcBorders>
            <w:shd w:val="clear" w:color="auto" w:fill="FFFFFF"/>
            <w:noWrap/>
            <w:vAlign w:val="center"/>
          </w:tcPr>
          <w:p w14:paraId="6C7BE70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1.51 (0.92–2.45)</w:t>
            </w:r>
          </w:p>
        </w:tc>
        <w:tc>
          <w:tcPr>
            <w:tcW w:w="1051" w:type="dxa"/>
            <w:tcBorders>
              <w:top w:val="nil"/>
              <w:left w:val="nil"/>
              <w:bottom w:val="nil"/>
              <w:right w:val="nil"/>
            </w:tcBorders>
            <w:shd w:val="clear" w:color="auto" w:fill="FFFFFF"/>
            <w:noWrap/>
            <w:vAlign w:val="center"/>
          </w:tcPr>
          <w:p w14:paraId="293646F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0.1</w:t>
            </w:r>
            <w:r>
              <w:rPr>
                <w:rFonts w:hint="eastAsia" w:ascii="Times New Roman" w:hAnsi="Times New Roman" w:eastAsia="宋体" w:cs="Times New Roman"/>
                <w:i w:val="0"/>
                <w:iCs w:val="0"/>
                <w:color w:val="000000"/>
                <w:kern w:val="0"/>
                <w:sz w:val="20"/>
                <w:szCs w:val="20"/>
                <w:u w:val="none"/>
                <w:lang w:val="en-US" w:eastAsia="zh-CN" w:bidi="ar"/>
              </w:rPr>
              <w:t>00</w:t>
            </w:r>
          </w:p>
        </w:tc>
      </w:tr>
      <w:tr w14:paraId="3284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75345EF7">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C20:3 n-6</w:t>
            </w:r>
          </w:p>
        </w:tc>
        <w:tc>
          <w:tcPr>
            <w:tcW w:w="2108" w:type="dxa"/>
            <w:tcBorders>
              <w:top w:val="nil"/>
              <w:left w:val="nil"/>
              <w:bottom w:val="nil"/>
              <w:right w:val="nil"/>
            </w:tcBorders>
            <w:shd w:val="clear" w:color="auto" w:fill="FFFFFF"/>
            <w:noWrap/>
            <w:vAlign w:val="center"/>
          </w:tcPr>
          <w:p w14:paraId="65BF98F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 (0.72–1.72)</w:t>
            </w:r>
          </w:p>
        </w:tc>
        <w:tc>
          <w:tcPr>
            <w:tcW w:w="2225" w:type="dxa"/>
            <w:tcBorders>
              <w:top w:val="nil"/>
              <w:left w:val="nil"/>
              <w:bottom w:val="nil"/>
              <w:right w:val="nil"/>
            </w:tcBorders>
            <w:shd w:val="clear" w:color="auto" w:fill="FFFFFF"/>
            <w:noWrap/>
            <w:vAlign w:val="center"/>
          </w:tcPr>
          <w:p w14:paraId="712799F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1.45 (0.87–2.4</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051" w:type="dxa"/>
            <w:tcBorders>
              <w:top w:val="nil"/>
              <w:left w:val="nil"/>
              <w:bottom w:val="nil"/>
              <w:right w:val="nil"/>
            </w:tcBorders>
            <w:shd w:val="clear" w:color="auto" w:fill="FFFFFF"/>
            <w:noWrap/>
            <w:vAlign w:val="center"/>
          </w:tcPr>
          <w:p w14:paraId="761335A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0.153</w:t>
            </w:r>
          </w:p>
        </w:tc>
      </w:tr>
      <w:tr w14:paraId="4F8C0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A9D8D95">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C20:4 n-6</w:t>
            </w:r>
          </w:p>
        </w:tc>
        <w:tc>
          <w:tcPr>
            <w:tcW w:w="2108" w:type="dxa"/>
            <w:tcBorders>
              <w:top w:val="nil"/>
              <w:left w:val="nil"/>
              <w:bottom w:val="nil"/>
              <w:right w:val="nil"/>
            </w:tcBorders>
            <w:shd w:val="clear" w:color="auto" w:fill="FFFFFF"/>
            <w:noWrap/>
            <w:vAlign w:val="center"/>
          </w:tcPr>
          <w:p w14:paraId="4B92752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1.85 (1.14–2.99)</w:t>
            </w:r>
          </w:p>
        </w:tc>
        <w:tc>
          <w:tcPr>
            <w:tcW w:w="2225" w:type="dxa"/>
            <w:tcBorders>
              <w:top w:val="nil"/>
              <w:left w:val="nil"/>
              <w:bottom w:val="nil"/>
              <w:right w:val="nil"/>
            </w:tcBorders>
            <w:shd w:val="clear" w:color="auto" w:fill="FFFFFF"/>
            <w:noWrap/>
            <w:vAlign w:val="center"/>
          </w:tcPr>
          <w:p w14:paraId="273B8EC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2.36 (1.39–4.02)</w:t>
            </w:r>
          </w:p>
        </w:tc>
        <w:tc>
          <w:tcPr>
            <w:tcW w:w="1051" w:type="dxa"/>
            <w:tcBorders>
              <w:top w:val="nil"/>
              <w:left w:val="nil"/>
              <w:bottom w:val="nil"/>
              <w:right w:val="nil"/>
            </w:tcBorders>
            <w:shd w:val="clear" w:color="auto" w:fill="FFFFFF"/>
            <w:noWrap/>
            <w:vAlign w:val="center"/>
          </w:tcPr>
          <w:p w14:paraId="1ED7FCA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0.002</w:t>
            </w:r>
          </w:p>
        </w:tc>
      </w:tr>
      <w:tr w14:paraId="2AEE7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4E3291E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C22:4 n-6</w:t>
            </w:r>
          </w:p>
        </w:tc>
        <w:tc>
          <w:tcPr>
            <w:tcW w:w="2108" w:type="dxa"/>
            <w:tcBorders>
              <w:top w:val="nil"/>
              <w:left w:val="nil"/>
              <w:bottom w:val="nil"/>
              <w:right w:val="nil"/>
            </w:tcBorders>
            <w:shd w:val="clear" w:color="auto" w:fill="FFFFFF"/>
            <w:noWrap/>
            <w:vAlign w:val="center"/>
          </w:tcPr>
          <w:p w14:paraId="0962719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0.96 (0.62–1.49)</w:t>
            </w:r>
          </w:p>
        </w:tc>
        <w:tc>
          <w:tcPr>
            <w:tcW w:w="2225" w:type="dxa"/>
            <w:tcBorders>
              <w:top w:val="nil"/>
              <w:left w:val="nil"/>
              <w:bottom w:val="nil"/>
              <w:right w:val="nil"/>
            </w:tcBorders>
            <w:shd w:val="clear" w:color="auto" w:fill="FFFFFF"/>
            <w:noWrap/>
            <w:vAlign w:val="center"/>
          </w:tcPr>
          <w:p w14:paraId="3C6F9D8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1.16 (0.73–1.86)</w:t>
            </w:r>
          </w:p>
        </w:tc>
        <w:tc>
          <w:tcPr>
            <w:tcW w:w="1051" w:type="dxa"/>
            <w:tcBorders>
              <w:top w:val="nil"/>
              <w:left w:val="nil"/>
              <w:bottom w:val="nil"/>
              <w:right w:val="nil"/>
            </w:tcBorders>
            <w:shd w:val="clear" w:color="auto" w:fill="FFFFFF"/>
            <w:noWrap/>
            <w:vAlign w:val="center"/>
          </w:tcPr>
          <w:p w14:paraId="1B93197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0.531</w:t>
            </w:r>
          </w:p>
        </w:tc>
      </w:tr>
      <w:tr w14:paraId="4AAC7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83B843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C22:5 n-6</w:t>
            </w:r>
          </w:p>
        </w:tc>
        <w:tc>
          <w:tcPr>
            <w:tcW w:w="2108" w:type="dxa"/>
            <w:tcBorders>
              <w:top w:val="nil"/>
              <w:left w:val="nil"/>
              <w:bottom w:val="nil"/>
              <w:right w:val="nil"/>
            </w:tcBorders>
            <w:shd w:val="clear" w:color="auto" w:fill="FFFFFF"/>
            <w:noWrap/>
            <w:vAlign w:val="center"/>
          </w:tcPr>
          <w:p w14:paraId="14108CD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1.17 (0.75–1.82)</w:t>
            </w:r>
          </w:p>
        </w:tc>
        <w:tc>
          <w:tcPr>
            <w:tcW w:w="2225" w:type="dxa"/>
            <w:tcBorders>
              <w:top w:val="nil"/>
              <w:left w:val="nil"/>
              <w:bottom w:val="nil"/>
              <w:right w:val="nil"/>
            </w:tcBorders>
            <w:shd w:val="clear" w:color="auto" w:fill="FFFFFF"/>
            <w:noWrap/>
            <w:vAlign w:val="center"/>
          </w:tcPr>
          <w:p w14:paraId="5B3C5F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1.56 (0.96–2.54)</w:t>
            </w:r>
          </w:p>
        </w:tc>
        <w:tc>
          <w:tcPr>
            <w:tcW w:w="1051" w:type="dxa"/>
            <w:tcBorders>
              <w:top w:val="nil"/>
              <w:left w:val="nil"/>
              <w:bottom w:val="nil"/>
              <w:right w:val="nil"/>
            </w:tcBorders>
            <w:shd w:val="clear" w:color="auto" w:fill="FFFFFF"/>
            <w:noWrap/>
            <w:vAlign w:val="center"/>
          </w:tcPr>
          <w:p w14:paraId="49E322B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0.074</w:t>
            </w:r>
          </w:p>
        </w:tc>
      </w:tr>
      <w:tr w14:paraId="4CA4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1B313C4">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n-3 PUFA</w:t>
            </w:r>
          </w:p>
        </w:tc>
        <w:tc>
          <w:tcPr>
            <w:tcW w:w="2108" w:type="dxa"/>
            <w:tcBorders>
              <w:top w:val="nil"/>
              <w:left w:val="nil"/>
              <w:bottom w:val="nil"/>
              <w:right w:val="nil"/>
            </w:tcBorders>
            <w:shd w:val="clear" w:color="auto" w:fill="FFFFFF"/>
            <w:noWrap/>
            <w:vAlign w:val="center"/>
          </w:tcPr>
          <w:p w14:paraId="0AB7455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0.85 (0.55–1.32)</w:t>
            </w:r>
          </w:p>
        </w:tc>
        <w:tc>
          <w:tcPr>
            <w:tcW w:w="2225" w:type="dxa"/>
            <w:tcBorders>
              <w:top w:val="nil"/>
              <w:left w:val="nil"/>
              <w:bottom w:val="nil"/>
              <w:right w:val="nil"/>
            </w:tcBorders>
            <w:shd w:val="clear" w:color="auto" w:fill="FFFFFF"/>
            <w:noWrap/>
            <w:vAlign w:val="center"/>
          </w:tcPr>
          <w:p w14:paraId="59D8C4F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0.53 (0.32–0.9</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051" w:type="dxa"/>
            <w:tcBorders>
              <w:top w:val="nil"/>
              <w:left w:val="nil"/>
              <w:bottom w:val="nil"/>
              <w:right w:val="nil"/>
            </w:tcBorders>
            <w:shd w:val="clear" w:color="auto" w:fill="FFFFFF"/>
            <w:noWrap/>
            <w:vAlign w:val="center"/>
          </w:tcPr>
          <w:p w14:paraId="3828EF6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0.018</w:t>
            </w:r>
          </w:p>
        </w:tc>
      </w:tr>
      <w:tr w14:paraId="1A82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80A38CE">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C18:3 n-3</w:t>
            </w:r>
          </w:p>
        </w:tc>
        <w:tc>
          <w:tcPr>
            <w:tcW w:w="2108" w:type="dxa"/>
            <w:tcBorders>
              <w:top w:val="nil"/>
              <w:left w:val="nil"/>
              <w:bottom w:val="nil"/>
              <w:right w:val="nil"/>
            </w:tcBorders>
            <w:shd w:val="clear" w:color="auto" w:fill="FFFFFF"/>
            <w:noWrap/>
            <w:vAlign w:val="center"/>
          </w:tcPr>
          <w:p w14:paraId="315ECDA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0.94 (0.60–1.46)</w:t>
            </w:r>
          </w:p>
        </w:tc>
        <w:tc>
          <w:tcPr>
            <w:tcW w:w="2225" w:type="dxa"/>
            <w:tcBorders>
              <w:top w:val="nil"/>
              <w:left w:val="nil"/>
              <w:bottom w:val="nil"/>
              <w:right w:val="nil"/>
            </w:tcBorders>
            <w:shd w:val="clear" w:color="auto" w:fill="FFFFFF"/>
            <w:noWrap/>
            <w:vAlign w:val="center"/>
          </w:tcPr>
          <w:p w14:paraId="3A5EED6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1.23 (0.78–1.94)</w:t>
            </w:r>
          </w:p>
        </w:tc>
        <w:tc>
          <w:tcPr>
            <w:tcW w:w="1051" w:type="dxa"/>
            <w:tcBorders>
              <w:top w:val="nil"/>
              <w:left w:val="nil"/>
              <w:bottom w:val="nil"/>
              <w:right w:val="nil"/>
            </w:tcBorders>
            <w:shd w:val="clear" w:color="auto" w:fill="FFFFFF"/>
            <w:noWrap/>
            <w:vAlign w:val="center"/>
          </w:tcPr>
          <w:p w14:paraId="1E0B670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0.377</w:t>
            </w:r>
          </w:p>
        </w:tc>
      </w:tr>
      <w:tr w14:paraId="3F761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FCD03BF">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C20:5 n-3</w:t>
            </w:r>
          </w:p>
        </w:tc>
        <w:tc>
          <w:tcPr>
            <w:tcW w:w="2108" w:type="dxa"/>
            <w:tcBorders>
              <w:top w:val="nil"/>
              <w:left w:val="nil"/>
              <w:bottom w:val="nil"/>
              <w:right w:val="nil"/>
            </w:tcBorders>
            <w:shd w:val="clear" w:color="auto" w:fill="FFFFFF"/>
            <w:noWrap/>
            <w:vAlign w:val="center"/>
          </w:tcPr>
          <w:p w14:paraId="27F64DE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2.31 (1.30–4.12)</w:t>
            </w:r>
          </w:p>
        </w:tc>
        <w:tc>
          <w:tcPr>
            <w:tcW w:w="2225" w:type="dxa"/>
            <w:tcBorders>
              <w:top w:val="nil"/>
              <w:left w:val="nil"/>
              <w:bottom w:val="nil"/>
              <w:right w:val="nil"/>
            </w:tcBorders>
            <w:shd w:val="clear" w:color="auto" w:fill="FFFFFF"/>
            <w:noWrap/>
            <w:vAlign w:val="center"/>
          </w:tcPr>
          <w:p w14:paraId="10EE5E9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1.91 (1.1</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–3.32)</w:t>
            </w:r>
          </w:p>
        </w:tc>
        <w:tc>
          <w:tcPr>
            <w:tcW w:w="1051" w:type="dxa"/>
            <w:tcBorders>
              <w:top w:val="nil"/>
              <w:left w:val="nil"/>
              <w:bottom w:val="nil"/>
              <w:right w:val="nil"/>
            </w:tcBorders>
            <w:shd w:val="clear" w:color="auto" w:fill="FFFFFF"/>
            <w:noWrap/>
            <w:vAlign w:val="center"/>
          </w:tcPr>
          <w:p w14:paraId="375006D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0.022</w:t>
            </w:r>
          </w:p>
        </w:tc>
      </w:tr>
      <w:tr w14:paraId="45DCD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23648C60">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C22:6 n-3</w:t>
            </w:r>
          </w:p>
        </w:tc>
        <w:tc>
          <w:tcPr>
            <w:tcW w:w="2108" w:type="dxa"/>
            <w:tcBorders>
              <w:top w:val="nil"/>
              <w:left w:val="nil"/>
              <w:bottom w:val="nil"/>
              <w:right w:val="nil"/>
            </w:tcBorders>
            <w:shd w:val="clear" w:color="auto" w:fill="FFFFFF"/>
            <w:noWrap/>
            <w:vAlign w:val="center"/>
          </w:tcPr>
          <w:p w14:paraId="11F1161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0.69 (0.44–1.09)</w:t>
            </w:r>
          </w:p>
        </w:tc>
        <w:tc>
          <w:tcPr>
            <w:tcW w:w="2225" w:type="dxa"/>
            <w:tcBorders>
              <w:top w:val="nil"/>
              <w:left w:val="nil"/>
              <w:bottom w:val="nil"/>
              <w:right w:val="nil"/>
            </w:tcBorders>
            <w:shd w:val="clear" w:color="auto" w:fill="FFFFFF"/>
            <w:noWrap/>
            <w:vAlign w:val="center"/>
          </w:tcPr>
          <w:p w14:paraId="0945D5B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0.4</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 xml:space="preserve"> (0.22–0.7</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051" w:type="dxa"/>
            <w:tcBorders>
              <w:top w:val="nil"/>
              <w:left w:val="nil"/>
              <w:bottom w:val="nil"/>
              <w:right w:val="nil"/>
            </w:tcBorders>
            <w:shd w:val="clear" w:color="auto" w:fill="FFFFFF"/>
            <w:noWrap/>
            <w:vAlign w:val="center"/>
          </w:tcPr>
          <w:p w14:paraId="3D707C0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0.001</w:t>
            </w:r>
          </w:p>
        </w:tc>
      </w:tr>
      <w:tr w14:paraId="63F5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13E2A6AB">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TFA</w:t>
            </w:r>
          </w:p>
        </w:tc>
        <w:tc>
          <w:tcPr>
            <w:tcW w:w="2108" w:type="dxa"/>
            <w:tcBorders>
              <w:top w:val="nil"/>
              <w:left w:val="nil"/>
              <w:bottom w:val="nil"/>
              <w:right w:val="nil"/>
            </w:tcBorders>
            <w:shd w:val="clear" w:color="auto" w:fill="FFFFFF"/>
            <w:noWrap/>
            <w:vAlign w:val="center"/>
          </w:tcPr>
          <w:p w14:paraId="6FCC495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0.88 (0.57–1.36)</w:t>
            </w:r>
          </w:p>
        </w:tc>
        <w:tc>
          <w:tcPr>
            <w:tcW w:w="2225" w:type="dxa"/>
            <w:tcBorders>
              <w:top w:val="nil"/>
              <w:left w:val="nil"/>
              <w:bottom w:val="nil"/>
              <w:right w:val="nil"/>
            </w:tcBorders>
            <w:shd w:val="clear" w:color="auto" w:fill="FFFFFF"/>
            <w:noWrap/>
            <w:vAlign w:val="center"/>
          </w:tcPr>
          <w:p w14:paraId="10F6A51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0.93 (0.57–1.5</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w:t>
            </w:r>
          </w:p>
        </w:tc>
        <w:tc>
          <w:tcPr>
            <w:tcW w:w="1051" w:type="dxa"/>
            <w:tcBorders>
              <w:top w:val="nil"/>
              <w:left w:val="nil"/>
              <w:bottom w:val="nil"/>
              <w:right w:val="nil"/>
            </w:tcBorders>
            <w:shd w:val="clear" w:color="auto" w:fill="FFFFFF"/>
            <w:noWrap/>
            <w:vAlign w:val="center"/>
          </w:tcPr>
          <w:p w14:paraId="2F04287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0.755</w:t>
            </w:r>
          </w:p>
        </w:tc>
      </w:tr>
      <w:tr w14:paraId="3B5F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 w:hRule="atLeast"/>
          <w:jc w:val="center"/>
        </w:trPr>
        <w:tc>
          <w:tcPr>
            <w:tcW w:w="1374" w:type="dxa"/>
            <w:tcBorders>
              <w:top w:val="nil"/>
              <w:left w:val="nil"/>
              <w:bottom w:val="nil"/>
              <w:right w:val="nil"/>
            </w:tcBorders>
            <w:shd w:val="clear" w:color="auto" w:fill="FFFFFF"/>
            <w:noWrap/>
            <w:vAlign w:val="center"/>
          </w:tcPr>
          <w:p w14:paraId="3559DB31">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C16:1 n-7t</w:t>
            </w:r>
          </w:p>
        </w:tc>
        <w:tc>
          <w:tcPr>
            <w:tcW w:w="2108" w:type="dxa"/>
            <w:tcBorders>
              <w:top w:val="nil"/>
              <w:left w:val="nil"/>
              <w:bottom w:val="nil"/>
              <w:right w:val="nil"/>
            </w:tcBorders>
            <w:shd w:val="clear" w:color="auto" w:fill="FFFFFF"/>
            <w:noWrap/>
            <w:vAlign w:val="center"/>
          </w:tcPr>
          <w:p w14:paraId="172624A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 (0.81–1.95)</w:t>
            </w:r>
          </w:p>
        </w:tc>
        <w:tc>
          <w:tcPr>
            <w:tcW w:w="2225" w:type="dxa"/>
            <w:tcBorders>
              <w:top w:val="nil"/>
              <w:left w:val="nil"/>
              <w:bottom w:val="nil"/>
              <w:right w:val="nil"/>
            </w:tcBorders>
            <w:shd w:val="clear" w:color="auto" w:fill="FFFFFF"/>
            <w:noWrap/>
            <w:vAlign w:val="center"/>
          </w:tcPr>
          <w:p w14:paraId="0B40EB4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1.22 (0.76–1.97)</w:t>
            </w:r>
          </w:p>
        </w:tc>
        <w:tc>
          <w:tcPr>
            <w:tcW w:w="1051" w:type="dxa"/>
            <w:tcBorders>
              <w:top w:val="nil"/>
              <w:left w:val="nil"/>
              <w:bottom w:val="nil"/>
              <w:right w:val="nil"/>
            </w:tcBorders>
            <w:shd w:val="clear" w:color="auto" w:fill="FFFFFF"/>
            <w:noWrap/>
            <w:vAlign w:val="center"/>
          </w:tcPr>
          <w:p w14:paraId="1E94490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0.412</w:t>
            </w:r>
          </w:p>
        </w:tc>
      </w:tr>
      <w:tr w14:paraId="4E9F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0374A1DD">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C18:1 n-9t</w:t>
            </w:r>
          </w:p>
        </w:tc>
        <w:tc>
          <w:tcPr>
            <w:tcW w:w="2108" w:type="dxa"/>
            <w:tcBorders>
              <w:top w:val="nil"/>
              <w:left w:val="nil"/>
              <w:bottom w:val="nil"/>
              <w:right w:val="nil"/>
            </w:tcBorders>
            <w:shd w:val="clear" w:color="auto" w:fill="FFFFFF"/>
            <w:noWrap/>
            <w:vAlign w:val="center"/>
          </w:tcPr>
          <w:p w14:paraId="26609F0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0.60 (0.37–0.96)</w:t>
            </w:r>
          </w:p>
        </w:tc>
        <w:tc>
          <w:tcPr>
            <w:tcW w:w="2225" w:type="dxa"/>
            <w:tcBorders>
              <w:top w:val="nil"/>
              <w:left w:val="nil"/>
              <w:bottom w:val="nil"/>
              <w:right w:val="nil"/>
            </w:tcBorders>
            <w:shd w:val="clear" w:color="auto" w:fill="FFFFFF"/>
            <w:noWrap/>
            <w:vAlign w:val="center"/>
          </w:tcPr>
          <w:p w14:paraId="2541E30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0.71 (0.44–1.15)</w:t>
            </w:r>
          </w:p>
        </w:tc>
        <w:tc>
          <w:tcPr>
            <w:tcW w:w="1051" w:type="dxa"/>
            <w:tcBorders>
              <w:top w:val="nil"/>
              <w:left w:val="nil"/>
              <w:bottom w:val="nil"/>
              <w:right w:val="nil"/>
            </w:tcBorders>
            <w:shd w:val="clear" w:color="auto" w:fill="FFFFFF"/>
            <w:noWrap/>
            <w:vAlign w:val="center"/>
          </w:tcPr>
          <w:p w14:paraId="4B36ED5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0.163</w:t>
            </w:r>
          </w:p>
        </w:tc>
      </w:tr>
      <w:tr w14:paraId="7814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60BA5107">
            <w:pPr>
              <w:keepNext w:val="0"/>
              <w:keepLines w:val="0"/>
              <w:widowControl/>
              <w:suppressLineNumbers w:val="0"/>
              <w:jc w:val="left"/>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FA index</w:t>
            </w:r>
          </w:p>
        </w:tc>
        <w:tc>
          <w:tcPr>
            <w:tcW w:w="2108" w:type="dxa"/>
            <w:tcBorders>
              <w:top w:val="nil"/>
              <w:left w:val="nil"/>
              <w:bottom w:val="nil"/>
              <w:right w:val="nil"/>
            </w:tcBorders>
            <w:shd w:val="clear" w:color="auto" w:fill="FFFFFF"/>
            <w:noWrap/>
            <w:vAlign w:val="center"/>
          </w:tcPr>
          <w:p w14:paraId="22135A9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p>
        </w:tc>
        <w:tc>
          <w:tcPr>
            <w:tcW w:w="2225" w:type="dxa"/>
            <w:tcBorders>
              <w:top w:val="nil"/>
              <w:left w:val="nil"/>
              <w:bottom w:val="nil"/>
              <w:right w:val="nil"/>
            </w:tcBorders>
            <w:shd w:val="clear" w:color="auto" w:fill="FFFFFF"/>
            <w:noWrap/>
            <w:vAlign w:val="center"/>
          </w:tcPr>
          <w:p w14:paraId="07AFBA7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p>
        </w:tc>
        <w:tc>
          <w:tcPr>
            <w:tcW w:w="1051" w:type="dxa"/>
            <w:tcBorders>
              <w:top w:val="nil"/>
              <w:left w:val="nil"/>
              <w:bottom w:val="nil"/>
              <w:right w:val="nil"/>
            </w:tcBorders>
            <w:shd w:val="clear" w:color="auto" w:fill="FFFFFF"/>
            <w:noWrap/>
            <w:vAlign w:val="center"/>
          </w:tcPr>
          <w:p w14:paraId="441CCB1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eastAsia="zh-CN"/>
              </w:rPr>
            </w:pPr>
          </w:p>
        </w:tc>
      </w:tr>
      <w:tr w14:paraId="2ECBE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D667239">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n-3 index</w:t>
            </w:r>
          </w:p>
        </w:tc>
        <w:tc>
          <w:tcPr>
            <w:tcW w:w="2108" w:type="dxa"/>
            <w:tcBorders>
              <w:top w:val="nil"/>
              <w:left w:val="nil"/>
              <w:bottom w:val="nil"/>
              <w:right w:val="nil"/>
            </w:tcBorders>
            <w:shd w:val="clear" w:color="auto" w:fill="FFFFFF"/>
            <w:noWrap/>
            <w:vAlign w:val="center"/>
          </w:tcPr>
          <w:p w14:paraId="5CA50AF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0.87 (0.56–1.35)</w:t>
            </w:r>
          </w:p>
        </w:tc>
        <w:tc>
          <w:tcPr>
            <w:tcW w:w="2225" w:type="dxa"/>
            <w:tcBorders>
              <w:top w:val="nil"/>
              <w:left w:val="nil"/>
              <w:bottom w:val="nil"/>
              <w:right w:val="nil"/>
            </w:tcBorders>
            <w:shd w:val="clear" w:color="auto" w:fill="FFFFFF"/>
            <w:noWrap/>
            <w:vAlign w:val="center"/>
          </w:tcPr>
          <w:p w14:paraId="4804027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0.51 (0.3</w:t>
            </w:r>
            <w:r>
              <w:rPr>
                <w:rFonts w:hint="eastAsia" w:ascii="Times New Roman" w:hAnsi="Times New Roman" w:eastAsia="宋体" w:cs="Times New Roman"/>
                <w:i w:val="0"/>
                <w:iCs w:val="0"/>
                <w:color w:val="000000"/>
                <w:kern w:val="0"/>
                <w:sz w:val="20"/>
                <w:szCs w:val="20"/>
                <w:u w:val="none"/>
                <w:lang w:val="en-US" w:eastAsia="zh-CN" w:bidi="ar"/>
              </w:rPr>
              <w:t>0</w:t>
            </w:r>
            <w:r>
              <w:rPr>
                <w:rFonts w:hint="default" w:ascii="Times New Roman" w:hAnsi="Times New Roman" w:eastAsia="宋体" w:cs="Times New Roman"/>
                <w:i w:val="0"/>
                <w:iCs w:val="0"/>
                <w:color w:val="000000"/>
                <w:kern w:val="0"/>
                <w:sz w:val="20"/>
                <w:szCs w:val="20"/>
                <w:u w:val="none"/>
                <w:lang w:val="en-US" w:eastAsia="zh-CN" w:bidi="ar"/>
              </w:rPr>
              <w:t>–0.87)</w:t>
            </w:r>
          </w:p>
        </w:tc>
        <w:tc>
          <w:tcPr>
            <w:tcW w:w="1051" w:type="dxa"/>
            <w:tcBorders>
              <w:top w:val="nil"/>
              <w:left w:val="nil"/>
              <w:bottom w:val="nil"/>
              <w:right w:val="nil"/>
            </w:tcBorders>
            <w:shd w:val="clear" w:color="auto" w:fill="FFFFFF"/>
            <w:noWrap/>
            <w:vAlign w:val="center"/>
          </w:tcPr>
          <w:p w14:paraId="685714A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0.013</w:t>
            </w:r>
          </w:p>
        </w:tc>
      </w:tr>
      <w:tr w14:paraId="61F0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nil"/>
              <w:right w:val="nil"/>
            </w:tcBorders>
            <w:shd w:val="clear" w:color="auto" w:fill="FFFFFF"/>
            <w:noWrap/>
            <w:vAlign w:val="center"/>
          </w:tcPr>
          <w:p w14:paraId="5AF7692B">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n-6:n-3</w:t>
            </w:r>
          </w:p>
        </w:tc>
        <w:tc>
          <w:tcPr>
            <w:tcW w:w="2108" w:type="dxa"/>
            <w:tcBorders>
              <w:top w:val="nil"/>
              <w:left w:val="nil"/>
              <w:bottom w:val="nil"/>
              <w:right w:val="nil"/>
            </w:tcBorders>
            <w:shd w:val="clear" w:color="auto" w:fill="FFFFFF"/>
            <w:noWrap/>
            <w:vAlign w:val="center"/>
          </w:tcPr>
          <w:p w14:paraId="4C64599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1.48 (0.91–2.41)</w:t>
            </w:r>
          </w:p>
        </w:tc>
        <w:tc>
          <w:tcPr>
            <w:tcW w:w="2225" w:type="dxa"/>
            <w:tcBorders>
              <w:top w:val="nil"/>
              <w:left w:val="nil"/>
              <w:bottom w:val="nil"/>
              <w:right w:val="nil"/>
            </w:tcBorders>
            <w:shd w:val="clear" w:color="auto" w:fill="FFFFFF"/>
            <w:noWrap/>
            <w:vAlign w:val="center"/>
          </w:tcPr>
          <w:p w14:paraId="4E94D47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2.43 (1.33–4.45)</w:t>
            </w:r>
          </w:p>
        </w:tc>
        <w:tc>
          <w:tcPr>
            <w:tcW w:w="1051" w:type="dxa"/>
            <w:tcBorders>
              <w:top w:val="nil"/>
              <w:left w:val="nil"/>
              <w:bottom w:val="nil"/>
              <w:right w:val="nil"/>
            </w:tcBorders>
            <w:shd w:val="clear" w:color="auto" w:fill="FFFFFF"/>
            <w:noWrap/>
            <w:vAlign w:val="center"/>
          </w:tcPr>
          <w:p w14:paraId="142EEA5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0.004</w:t>
            </w:r>
          </w:p>
        </w:tc>
      </w:tr>
      <w:tr w14:paraId="7379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374" w:type="dxa"/>
            <w:tcBorders>
              <w:top w:val="nil"/>
              <w:left w:val="nil"/>
              <w:bottom w:val="single" w:color="000000" w:sz="12" w:space="0"/>
              <w:right w:val="nil"/>
            </w:tcBorders>
            <w:shd w:val="clear" w:color="auto" w:fill="FFFFFF"/>
            <w:noWrap/>
            <w:vAlign w:val="center"/>
          </w:tcPr>
          <w:p w14:paraId="41C70CBD">
            <w:pPr>
              <w:keepNext w:val="0"/>
              <w:keepLines w:val="0"/>
              <w:widowControl/>
              <w:suppressLineNumbers w:val="0"/>
              <w:ind w:firstLine="200" w:firstLineChars="10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AA:EPA</w:t>
            </w:r>
          </w:p>
        </w:tc>
        <w:tc>
          <w:tcPr>
            <w:tcW w:w="2108" w:type="dxa"/>
            <w:tcBorders>
              <w:top w:val="nil"/>
              <w:left w:val="nil"/>
              <w:bottom w:val="single" w:color="000000" w:sz="12" w:space="0"/>
              <w:right w:val="nil"/>
            </w:tcBorders>
            <w:shd w:val="clear" w:color="auto" w:fill="FFFFFF"/>
            <w:noWrap/>
            <w:vAlign w:val="center"/>
          </w:tcPr>
          <w:p w14:paraId="76838DB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0.99 (0.64–1.53)</w:t>
            </w:r>
          </w:p>
        </w:tc>
        <w:tc>
          <w:tcPr>
            <w:tcW w:w="2225" w:type="dxa"/>
            <w:tcBorders>
              <w:top w:val="nil"/>
              <w:left w:val="nil"/>
              <w:bottom w:val="single" w:color="000000" w:sz="12" w:space="0"/>
              <w:right w:val="nil"/>
            </w:tcBorders>
            <w:shd w:val="clear" w:color="auto" w:fill="FFFFFF"/>
            <w:noWrap/>
            <w:vAlign w:val="center"/>
          </w:tcPr>
          <w:p w14:paraId="5B52568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0.92 (0.57–1.49)</w:t>
            </w:r>
          </w:p>
        </w:tc>
        <w:tc>
          <w:tcPr>
            <w:tcW w:w="1051" w:type="dxa"/>
            <w:tcBorders>
              <w:top w:val="nil"/>
              <w:left w:val="nil"/>
              <w:bottom w:val="single" w:color="000000" w:sz="12" w:space="0"/>
              <w:right w:val="nil"/>
            </w:tcBorders>
            <w:shd w:val="clear" w:color="auto" w:fill="FFFFFF"/>
            <w:noWrap/>
            <w:vAlign w:val="center"/>
          </w:tcPr>
          <w:p w14:paraId="6DF1A70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0.728</w:t>
            </w:r>
          </w:p>
        </w:tc>
      </w:tr>
    </w:tbl>
    <w:p w14:paraId="7190AC4C">
      <w:pPr>
        <w:rPr>
          <w:rFonts w:hint="default" w:ascii="Times New Roman" w:hAnsi="Times New Roman" w:cs="Times New Roman"/>
          <w:sz w:val="20"/>
          <w:szCs w:val="20"/>
          <w:lang w:val="en-US" w:eastAsia="zh-CN"/>
        </w:rPr>
      </w:pPr>
      <w:r>
        <w:rPr>
          <w:rFonts w:hint="default" w:ascii="Times New Roman" w:hAnsi="Times New Roman" w:cs="Times New Roman"/>
          <w:sz w:val="20"/>
          <w:szCs w:val="20"/>
          <w:vertAlign w:val="superscript"/>
          <w:lang w:val="en-US" w:eastAsia="zh-CN"/>
        </w:rPr>
        <w:t>a</w:t>
      </w:r>
      <w:r>
        <w:rPr>
          <w:rFonts w:hint="default" w:ascii="Times New Roman" w:hAnsi="Times New Roman" w:cs="Times New Roman"/>
          <w:sz w:val="20"/>
          <w:szCs w:val="20"/>
          <w:lang w:val="en-US" w:eastAsia="zh-CN"/>
        </w:rPr>
        <w:t>Adjusted for age, sex, BMI, education, smoking status, alcohol consumption</w:t>
      </w:r>
      <w:r>
        <w:rPr>
          <w:rFonts w:hint="eastAsia" w:ascii="Times New Roman" w:hAnsi="Times New Roman" w:cs="Times New Roman"/>
          <w:sz w:val="20"/>
          <w:szCs w:val="20"/>
          <w:lang w:val="en-US" w:eastAsia="zh-CN"/>
        </w:rPr>
        <w:t xml:space="preserve">, and </w:t>
      </w:r>
      <w:r>
        <w:rPr>
          <w:rFonts w:hint="default" w:ascii="Times New Roman" w:hAnsi="Times New Roman" w:cs="Times New Roman"/>
          <w:sz w:val="20"/>
          <w:szCs w:val="20"/>
          <w:lang w:val="en-US" w:eastAsia="zh-CN"/>
        </w:rPr>
        <w:t>hypertension.</w:t>
      </w:r>
    </w:p>
    <w:p w14:paraId="55B938CB">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Abbreviations: SFA, saturated fatty acid; MUFA, monounsaturated fatty acid; PUFA, polyunsaturated fatty acid; TFA, trans fatty acid; FA, fatty acid; AA, arachidonic acid, C20:4n-6; EPA, eicosapentaenoic acid, C20:5n-3; DHA, docosahexaenoic acid, C22:6n3; ALA, α-linolenic acid, C18:3n-3; OA, oleic acid, C18:1.</w:t>
      </w:r>
    </w:p>
    <w:p w14:paraId="379EBEA3">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4CFD5B21">
      <w:pPr>
        <w:widowControl/>
        <w:spacing w:line="240" w:lineRule="auto"/>
        <w:jc w:val="left"/>
        <w:textAlignment w:val="center"/>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 xml:space="preserve">Table S6. </w:t>
      </w:r>
      <w:r>
        <w:rPr>
          <w:rFonts w:hint="eastAsia" w:ascii="Times New Roman" w:hAnsi="Times New Roman" w:cs="Times New Roman"/>
          <w:sz w:val="20"/>
          <w:szCs w:val="20"/>
          <w:lang w:val="en-US" w:eastAsia="zh-CN"/>
        </w:rPr>
        <w:t>Comparative analysis of discrimination improvement for aneurysm rupture between traditional risk models and FA-integrated models in the training and test sets.</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1"/>
        <w:gridCol w:w="2402"/>
        <w:gridCol w:w="767"/>
        <w:gridCol w:w="738"/>
        <w:gridCol w:w="716"/>
        <w:gridCol w:w="779"/>
        <w:gridCol w:w="666"/>
      </w:tblGrid>
      <w:tr w14:paraId="5A99C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11" w:type="dxa"/>
            <w:vMerge w:val="restart"/>
            <w:tcBorders>
              <w:top w:val="single" w:color="000000" w:sz="12" w:space="0"/>
              <w:left w:val="nil"/>
              <w:bottom w:val="single" w:color="000000" w:sz="4" w:space="0"/>
              <w:right w:val="nil"/>
              <w:tl2br w:val="nil"/>
            </w:tcBorders>
            <w:shd w:val="clear" w:color="auto" w:fill="FFFFFF"/>
            <w:noWrap/>
            <w:vAlign w:val="center"/>
          </w:tcPr>
          <w:p w14:paraId="404F82D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Dataset</w:t>
            </w:r>
          </w:p>
        </w:tc>
        <w:tc>
          <w:tcPr>
            <w:tcW w:w="2402" w:type="dxa"/>
            <w:vMerge w:val="restart"/>
            <w:tcBorders>
              <w:top w:val="single" w:color="000000" w:sz="12" w:space="0"/>
              <w:left w:val="nil"/>
              <w:bottom w:val="single" w:color="000000" w:sz="4" w:space="0"/>
              <w:right w:val="nil"/>
            </w:tcBorders>
            <w:shd w:val="clear" w:color="auto" w:fill="FFFFFF"/>
            <w:noWrap/>
            <w:vAlign w:val="center"/>
          </w:tcPr>
          <w:p w14:paraId="289AFDB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Comparisons</w:t>
            </w:r>
          </w:p>
        </w:tc>
        <w:tc>
          <w:tcPr>
            <w:tcW w:w="767" w:type="dxa"/>
            <w:vMerge w:val="restart"/>
            <w:tcBorders>
              <w:top w:val="single" w:color="000000" w:sz="12" w:space="0"/>
              <w:left w:val="nil"/>
              <w:bottom w:val="single" w:color="000000" w:sz="4" w:space="0"/>
              <w:right w:val="nil"/>
            </w:tcBorders>
            <w:shd w:val="clear" w:color="auto" w:fill="FFFFFF"/>
            <w:noWrap/>
            <w:vAlign w:val="center"/>
          </w:tcPr>
          <w:p w14:paraId="2D54720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ΔAUC</w:t>
            </w:r>
          </w:p>
        </w:tc>
        <w:tc>
          <w:tcPr>
            <w:tcW w:w="1454" w:type="dxa"/>
            <w:gridSpan w:val="2"/>
            <w:tcBorders>
              <w:top w:val="single" w:color="000000" w:sz="12" w:space="0"/>
              <w:left w:val="nil"/>
              <w:bottom w:val="single" w:color="000000" w:sz="4" w:space="0"/>
              <w:right w:val="nil"/>
            </w:tcBorders>
            <w:shd w:val="clear" w:color="auto" w:fill="FFFFFF"/>
            <w:noWrap/>
            <w:vAlign w:val="center"/>
          </w:tcPr>
          <w:p w14:paraId="37FB806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95%</w:t>
            </w:r>
            <w:r>
              <w:rPr>
                <w:rFonts w:hint="eastAsia" w:ascii="Times New Roman" w:hAnsi="Times New Roman" w:eastAsia="宋体" w:cs="Times New Roman"/>
                <w:b w:val="0"/>
                <w:i w:val="0"/>
                <w:iCs w:val="0"/>
                <w:color w:val="000000"/>
                <w:kern w:val="0"/>
                <w:sz w:val="20"/>
                <w:szCs w:val="20"/>
                <w:u w:val="none"/>
                <w:lang w:val="en-US" w:eastAsia="zh-CN" w:bidi="ar"/>
              </w:rPr>
              <w:t xml:space="preserve"> </w:t>
            </w:r>
            <w:r>
              <w:rPr>
                <w:rFonts w:hint="default" w:ascii="Times New Roman" w:hAnsi="Times New Roman" w:eastAsia="宋体" w:cs="Times New Roman"/>
                <w:b w:val="0"/>
                <w:i w:val="0"/>
                <w:iCs w:val="0"/>
                <w:color w:val="000000"/>
                <w:kern w:val="0"/>
                <w:sz w:val="20"/>
                <w:szCs w:val="20"/>
                <w:u w:val="none"/>
                <w:lang w:val="en-US" w:eastAsia="zh-CN" w:bidi="ar"/>
              </w:rPr>
              <w:t>CI</w:t>
            </w:r>
          </w:p>
        </w:tc>
        <w:tc>
          <w:tcPr>
            <w:tcW w:w="779" w:type="dxa"/>
            <w:vMerge w:val="restart"/>
            <w:tcBorders>
              <w:top w:val="single" w:color="000000" w:sz="12" w:space="0"/>
              <w:left w:val="nil"/>
              <w:bottom w:val="single" w:color="auto" w:sz="4" w:space="0"/>
              <w:right w:val="nil"/>
            </w:tcBorders>
            <w:shd w:val="clear" w:color="auto" w:fill="FFFFFF"/>
            <w:noWrap/>
            <w:vAlign w:val="center"/>
          </w:tcPr>
          <w:p w14:paraId="1B83C05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P</w:t>
            </w:r>
          </w:p>
        </w:tc>
        <w:tc>
          <w:tcPr>
            <w:tcW w:w="666" w:type="dxa"/>
            <w:vMerge w:val="restart"/>
            <w:tcBorders>
              <w:top w:val="single" w:color="000000" w:sz="12" w:space="0"/>
              <w:left w:val="nil"/>
              <w:bottom w:val="single" w:color="auto" w:sz="4" w:space="0"/>
              <w:right w:val="nil"/>
            </w:tcBorders>
            <w:shd w:val="clear" w:color="auto" w:fill="FFFFFF"/>
            <w:noWrap/>
            <w:vAlign w:val="center"/>
          </w:tcPr>
          <w:p w14:paraId="300DA09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NRI</w:t>
            </w:r>
          </w:p>
        </w:tc>
      </w:tr>
      <w:tr w14:paraId="32701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continue"/>
            <w:tcBorders>
              <w:top w:val="single" w:color="000000" w:sz="4" w:space="0"/>
              <w:left w:val="nil"/>
              <w:bottom w:val="single" w:color="auto" w:sz="4" w:space="0"/>
              <w:right w:val="nil"/>
            </w:tcBorders>
            <w:shd w:val="clear" w:color="auto" w:fill="FFFFFF"/>
            <w:noWrap/>
            <w:vAlign w:val="center"/>
          </w:tcPr>
          <w:p w14:paraId="21BBBA12">
            <w:pPr>
              <w:jc w:val="center"/>
              <w:rPr>
                <w:rFonts w:hint="default" w:ascii="Times New Roman" w:hAnsi="Times New Roman" w:eastAsia="宋体" w:cs="Times New Roman"/>
                <w:b w:val="0"/>
                <w:i w:val="0"/>
                <w:iCs w:val="0"/>
                <w:color w:val="000000"/>
                <w:sz w:val="20"/>
                <w:szCs w:val="20"/>
                <w:u w:val="none"/>
              </w:rPr>
            </w:pPr>
          </w:p>
        </w:tc>
        <w:tc>
          <w:tcPr>
            <w:tcW w:w="2402" w:type="dxa"/>
            <w:vMerge w:val="continue"/>
            <w:tcBorders>
              <w:top w:val="single" w:color="000000" w:sz="4" w:space="0"/>
              <w:left w:val="nil"/>
              <w:bottom w:val="single" w:color="auto" w:sz="4" w:space="0"/>
              <w:right w:val="nil"/>
            </w:tcBorders>
            <w:shd w:val="clear" w:color="auto" w:fill="FFFFFF"/>
            <w:noWrap/>
            <w:vAlign w:val="center"/>
          </w:tcPr>
          <w:p w14:paraId="43D65B2A">
            <w:pPr>
              <w:jc w:val="center"/>
              <w:rPr>
                <w:rFonts w:hint="default" w:ascii="Times New Roman" w:hAnsi="Times New Roman" w:eastAsia="宋体" w:cs="Times New Roman"/>
                <w:b w:val="0"/>
                <w:i w:val="0"/>
                <w:iCs w:val="0"/>
                <w:color w:val="000000"/>
                <w:sz w:val="20"/>
                <w:szCs w:val="20"/>
                <w:u w:val="none"/>
              </w:rPr>
            </w:pPr>
          </w:p>
        </w:tc>
        <w:tc>
          <w:tcPr>
            <w:tcW w:w="767" w:type="dxa"/>
            <w:vMerge w:val="continue"/>
            <w:tcBorders>
              <w:top w:val="single" w:color="000000" w:sz="4" w:space="0"/>
              <w:left w:val="nil"/>
              <w:bottom w:val="single" w:color="auto" w:sz="4" w:space="0"/>
              <w:right w:val="nil"/>
            </w:tcBorders>
            <w:shd w:val="clear" w:color="auto" w:fill="FFFFFF"/>
            <w:noWrap/>
            <w:vAlign w:val="center"/>
          </w:tcPr>
          <w:p w14:paraId="477F6A28">
            <w:pPr>
              <w:jc w:val="center"/>
              <w:rPr>
                <w:rFonts w:hint="default" w:ascii="Times New Roman" w:hAnsi="Times New Roman" w:eastAsia="宋体" w:cs="Times New Roman"/>
                <w:b w:val="0"/>
                <w:i w:val="0"/>
                <w:iCs w:val="0"/>
                <w:color w:val="000000"/>
                <w:sz w:val="20"/>
                <w:szCs w:val="20"/>
                <w:u w:val="none"/>
              </w:rPr>
            </w:pPr>
          </w:p>
        </w:tc>
        <w:tc>
          <w:tcPr>
            <w:tcW w:w="738" w:type="dxa"/>
            <w:tcBorders>
              <w:top w:val="single" w:color="000000" w:sz="4" w:space="0"/>
              <w:left w:val="nil"/>
              <w:bottom w:val="single" w:color="auto" w:sz="4" w:space="0"/>
              <w:right w:val="nil"/>
            </w:tcBorders>
            <w:shd w:val="clear" w:color="auto" w:fill="FFFFFF"/>
            <w:noWrap/>
            <w:vAlign w:val="center"/>
          </w:tcPr>
          <w:p w14:paraId="601C1DA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Lower</w:t>
            </w:r>
          </w:p>
        </w:tc>
        <w:tc>
          <w:tcPr>
            <w:tcW w:w="716" w:type="dxa"/>
            <w:tcBorders>
              <w:top w:val="single" w:color="000000" w:sz="4" w:space="0"/>
              <w:left w:val="nil"/>
              <w:bottom w:val="single" w:color="auto" w:sz="4" w:space="0"/>
              <w:right w:val="nil"/>
            </w:tcBorders>
            <w:shd w:val="clear" w:color="auto" w:fill="FFFFFF"/>
            <w:noWrap/>
            <w:vAlign w:val="center"/>
          </w:tcPr>
          <w:p w14:paraId="72D3983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Upper</w:t>
            </w:r>
          </w:p>
        </w:tc>
        <w:tc>
          <w:tcPr>
            <w:tcW w:w="779" w:type="dxa"/>
            <w:vMerge w:val="continue"/>
            <w:tcBorders>
              <w:top w:val="single" w:color="auto" w:sz="4" w:space="0"/>
              <w:left w:val="nil"/>
              <w:bottom w:val="single" w:color="auto" w:sz="4" w:space="0"/>
              <w:right w:val="nil"/>
            </w:tcBorders>
            <w:shd w:val="clear" w:color="auto" w:fill="FFFFFF"/>
            <w:noWrap/>
            <w:vAlign w:val="center"/>
          </w:tcPr>
          <w:p w14:paraId="6E2ABCB7">
            <w:pPr>
              <w:jc w:val="center"/>
              <w:rPr>
                <w:rFonts w:hint="default" w:ascii="Times New Roman" w:hAnsi="Times New Roman" w:eastAsia="宋体" w:cs="Times New Roman"/>
                <w:b w:val="0"/>
                <w:i w:val="0"/>
                <w:iCs w:val="0"/>
                <w:color w:val="000000"/>
                <w:sz w:val="20"/>
                <w:szCs w:val="20"/>
                <w:u w:val="none"/>
              </w:rPr>
            </w:pPr>
          </w:p>
        </w:tc>
        <w:tc>
          <w:tcPr>
            <w:tcW w:w="666" w:type="dxa"/>
            <w:vMerge w:val="continue"/>
            <w:tcBorders>
              <w:top w:val="single" w:color="auto" w:sz="4" w:space="0"/>
              <w:left w:val="nil"/>
              <w:bottom w:val="single" w:color="auto" w:sz="4" w:space="0"/>
              <w:right w:val="nil"/>
            </w:tcBorders>
            <w:shd w:val="clear" w:color="auto" w:fill="FFFFFF"/>
            <w:noWrap/>
            <w:vAlign w:val="center"/>
          </w:tcPr>
          <w:p w14:paraId="40756C93">
            <w:pPr>
              <w:jc w:val="center"/>
              <w:rPr>
                <w:rFonts w:hint="default" w:ascii="Times New Roman" w:hAnsi="Times New Roman" w:eastAsia="宋体" w:cs="Times New Roman"/>
                <w:b w:val="0"/>
                <w:i w:val="0"/>
                <w:iCs w:val="0"/>
                <w:color w:val="000000"/>
                <w:sz w:val="20"/>
                <w:szCs w:val="20"/>
                <w:u w:val="none"/>
              </w:rPr>
            </w:pPr>
          </w:p>
        </w:tc>
      </w:tr>
      <w:tr w14:paraId="5DFF0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restart"/>
            <w:tcBorders>
              <w:top w:val="single" w:color="auto" w:sz="4" w:space="0"/>
              <w:left w:val="nil"/>
              <w:bottom w:val="nil"/>
              <w:right w:val="nil"/>
            </w:tcBorders>
            <w:shd w:val="clear" w:color="auto" w:fill="FFFFFF"/>
            <w:noWrap/>
            <w:vAlign w:val="center"/>
          </w:tcPr>
          <w:p w14:paraId="44CB09F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Training Set</w:t>
            </w:r>
          </w:p>
        </w:tc>
        <w:tc>
          <w:tcPr>
            <w:tcW w:w="2402" w:type="dxa"/>
            <w:tcBorders>
              <w:top w:val="single" w:color="auto" w:sz="4" w:space="0"/>
              <w:left w:val="nil"/>
              <w:bottom w:val="nil"/>
              <w:right w:val="nil"/>
            </w:tcBorders>
            <w:shd w:val="clear" w:color="auto" w:fill="FFFFFF"/>
            <w:noWrap/>
            <w:vAlign w:val="center"/>
          </w:tcPr>
          <w:p w14:paraId="39F6077F">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PHASES+FA vs. PHASES</w:t>
            </w:r>
          </w:p>
        </w:tc>
        <w:tc>
          <w:tcPr>
            <w:tcW w:w="767" w:type="dxa"/>
            <w:tcBorders>
              <w:top w:val="single" w:color="auto" w:sz="4" w:space="0"/>
              <w:left w:val="nil"/>
              <w:bottom w:val="nil"/>
              <w:right w:val="nil"/>
            </w:tcBorders>
            <w:shd w:val="clear" w:color="auto" w:fill="FFFFFF"/>
            <w:noWrap/>
            <w:vAlign w:val="center"/>
          </w:tcPr>
          <w:p w14:paraId="2E95907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0.145</w:t>
            </w:r>
          </w:p>
        </w:tc>
        <w:tc>
          <w:tcPr>
            <w:tcW w:w="738" w:type="dxa"/>
            <w:tcBorders>
              <w:top w:val="single" w:color="auto" w:sz="4" w:space="0"/>
              <w:left w:val="nil"/>
              <w:bottom w:val="nil"/>
              <w:right w:val="nil"/>
            </w:tcBorders>
            <w:shd w:val="clear" w:color="auto" w:fill="FFFFFF"/>
            <w:noWrap/>
            <w:vAlign w:val="center"/>
          </w:tcPr>
          <w:p w14:paraId="788C2E5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0.058</w:t>
            </w:r>
          </w:p>
        </w:tc>
        <w:tc>
          <w:tcPr>
            <w:tcW w:w="716" w:type="dxa"/>
            <w:tcBorders>
              <w:top w:val="single" w:color="auto" w:sz="4" w:space="0"/>
              <w:left w:val="nil"/>
              <w:bottom w:val="nil"/>
              <w:right w:val="nil"/>
            </w:tcBorders>
            <w:shd w:val="clear" w:color="auto" w:fill="FFFFFF"/>
            <w:noWrap/>
            <w:vAlign w:val="center"/>
          </w:tcPr>
          <w:p w14:paraId="489F435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0.231</w:t>
            </w:r>
          </w:p>
        </w:tc>
        <w:tc>
          <w:tcPr>
            <w:tcW w:w="779" w:type="dxa"/>
            <w:tcBorders>
              <w:top w:val="single" w:color="auto" w:sz="4" w:space="0"/>
              <w:left w:val="nil"/>
              <w:bottom w:val="nil"/>
              <w:right w:val="nil"/>
            </w:tcBorders>
            <w:shd w:val="clear" w:color="auto" w:fill="FFFFFF"/>
            <w:noWrap/>
            <w:vAlign w:val="center"/>
          </w:tcPr>
          <w:p w14:paraId="160C66B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&lt;0.001</w:t>
            </w:r>
          </w:p>
        </w:tc>
        <w:tc>
          <w:tcPr>
            <w:tcW w:w="666" w:type="dxa"/>
            <w:tcBorders>
              <w:top w:val="single" w:color="auto" w:sz="4" w:space="0"/>
              <w:left w:val="nil"/>
              <w:bottom w:val="nil"/>
              <w:right w:val="nil"/>
            </w:tcBorders>
            <w:shd w:val="clear" w:color="auto" w:fill="FFFFFF"/>
            <w:noWrap/>
            <w:vAlign w:val="center"/>
          </w:tcPr>
          <w:p w14:paraId="4CAAEBB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0.316</w:t>
            </w:r>
          </w:p>
        </w:tc>
      </w:tr>
      <w:tr w14:paraId="4A696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continue"/>
            <w:tcBorders>
              <w:top w:val="nil"/>
              <w:left w:val="nil"/>
              <w:bottom w:val="nil"/>
              <w:right w:val="nil"/>
            </w:tcBorders>
            <w:shd w:val="clear" w:color="auto" w:fill="FFFFFF"/>
            <w:noWrap/>
            <w:vAlign w:val="center"/>
          </w:tcPr>
          <w:p w14:paraId="32E9DDF6">
            <w:pPr>
              <w:jc w:val="center"/>
              <w:rPr>
                <w:rFonts w:hint="default" w:ascii="Times New Roman" w:hAnsi="Times New Roman" w:eastAsia="宋体" w:cs="Times New Roman"/>
                <w:b w:val="0"/>
                <w:i w:val="0"/>
                <w:iCs w:val="0"/>
                <w:color w:val="000000"/>
                <w:sz w:val="20"/>
                <w:szCs w:val="20"/>
                <w:u w:val="none"/>
              </w:rPr>
            </w:pPr>
          </w:p>
        </w:tc>
        <w:tc>
          <w:tcPr>
            <w:tcW w:w="2402" w:type="dxa"/>
            <w:tcBorders>
              <w:top w:val="nil"/>
              <w:left w:val="nil"/>
              <w:bottom w:val="nil"/>
              <w:right w:val="nil"/>
            </w:tcBorders>
            <w:shd w:val="clear" w:color="auto" w:fill="FFFFFF"/>
            <w:noWrap/>
            <w:vAlign w:val="center"/>
          </w:tcPr>
          <w:p w14:paraId="4064DA6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ELAPSS+FA vs. ELAPSS</w:t>
            </w:r>
          </w:p>
        </w:tc>
        <w:tc>
          <w:tcPr>
            <w:tcW w:w="767" w:type="dxa"/>
            <w:tcBorders>
              <w:top w:val="nil"/>
              <w:left w:val="nil"/>
              <w:bottom w:val="nil"/>
              <w:right w:val="nil"/>
            </w:tcBorders>
            <w:shd w:val="clear" w:color="auto" w:fill="FFFFFF"/>
            <w:noWrap/>
            <w:vAlign w:val="center"/>
          </w:tcPr>
          <w:p w14:paraId="73AF7DF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0.163</w:t>
            </w:r>
          </w:p>
        </w:tc>
        <w:tc>
          <w:tcPr>
            <w:tcW w:w="738" w:type="dxa"/>
            <w:tcBorders>
              <w:top w:val="nil"/>
              <w:left w:val="nil"/>
              <w:bottom w:val="nil"/>
              <w:right w:val="nil"/>
            </w:tcBorders>
            <w:shd w:val="clear" w:color="auto" w:fill="FFFFFF"/>
            <w:noWrap/>
            <w:vAlign w:val="center"/>
          </w:tcPr>
          <w:p w14:paraId="22B539C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0.055</w:t>
            </w:r>
          </w:p>
        </w:tc>
        <w:tc>
          <w:tcPr>
            <w:tcW w:w="716" w:type="dxa"/>
            <w:tcBorders>
              <w:top w:val="nil"/>
              <w:left w:val="nil"/>
              <w:bottom w:val="nil"/>
              <w:right w:val="nil"/>
            </w:tcBorders>
            <w:shd w:val="clear" w:color="auto" w:fill="FFFFFF"/>
            <w:noWrap/>
            <w:vAlign w:val="center"/>
          </w:tcPr>
          <w:p w14:paraId="63D7FB0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0.272</w:t>
            </w:r>
          </w:p>
        </w:tc>
        <w:tc>
          <w:tcPr>
            <w:tcW w:w="779" w:type="dxa"/>
            <w:tcBorders>
              <w:top w:val="nil"/>
              <w:left w:val="nil"/>
              <w:bottom w:val="nil"/>
              <w:right w:val="nil"/>
            </w:tcBorders>
            <w:shd w:val="clear" w:color="auto" w:fill="FFFFFF"/>
            <w:noWrap/>
            <w:vAlign w:val="center"/>
          </w:tcPr>
          <w:p w14:paraId="53ECFFC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0.003</w:t>
            </w:r>
          </w:p>
        </w:tc>
        <w:tc>
          <w:tcPr>
            <w:tcW w:w="666" w:type="dxa"/>
            <w:tcBorders>
              <w:top w:val="nil"/>
              <w:left w:val="nil"/>
              <w:bottom w:val="nil"/>
              <w:right w:val="nil"/>
            </w:tcBorders>
            <w:shd w:val="clear" w:color="auto" w:fill="FFFFFF"/>
            <w:noWrap/>
            <w:vAlign w:val="center"/>
          </w:tcPr>
          <w:p w14:paraId="56DF272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0.331</w:t>
            </w:r>
          </w:p>
        </w:tc>
      </w:tr>
      <w:tr w14:paraId="6892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continue"/>
            <w:tcBorders>
              <w:top w:val="nil"/>
              <w:left w:val="nil"/>
              <w:bottom w:val="nil"/>
              <w:right w:val="nil"/>
            </w:tcBorders>
            <w:shd w:val="clear" w:color="auto" w:fill="FFFFFF"/>
            <w:noWrap/>
            <w:vAlign w:val="center"/>
          </w:tcPr>
          <w:p w14:paraId="173C392B">
            <w:pPr>
              <w:jc w:val="center"/>
              <w:rPr>
                <w:rFonts w:hint="default" w:ascii="Times New Roman" w:hAnsi="Times New Roman" w:eastAsia="宋体" w:cs="Times New Roman"/>
                <w:b w:val="0"/>
                <w:i w:val="0"/>
                <w:iCs w:val="0"/>
                <w:color w:val="000000"/>
                <w:sz w:val="20"/>
                <w:szCs w:val="20"/>
                <w:u w:val="none"/>
              </w:rPr>
            </w:pPr>
          </w:p>
        </w:tc>
        <w:tc>
          <w:tcPr>
            <w:tcW w:w="2402" w:type="dxa"/>
            <w:tcBorders>
              <w:top w:val="nil"/>
              <w:left w:val="nil"/>
              <w:bottom w:val="nil"/>
              <w:right w:val="nil"/>
            </w:tcBorders>
            <w:shd w:val="clear" w:color="auto" w:fill="FFFFFF"/>
            <w:noWrap/>
            <w:vAlign w:val="center"/>
          </w:tcPr>
          <w:p w14:paraId="57A587D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UCAS+FA vs. UCAS</w:t>
            </w:r>
          </w:p>
        </w:tc>
        <w:tc>
          <w:tcPr>
            <w:tcW w:w="767" w:type="dxa"/>
            <w:tcBorders>
              <w:top w:val="nil"/>
              <w:left w:val="nil"/>
              <w:bottom w:val="nil"/>
              <w:right w:val="nil"/>
            </w:tcBorders>
            <w:shd w:val="clear" w:color="auto" w:fill="FFFFFF"/>
            <w:noWrap/>
            <w:vAlign w:val="center"/>
          </w:tcPr>
          <w:p w14:paraId="11F1CB3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0.134</w:t>
            </w:r>
          </w:p>
        </w:tc>
        <w:tc>
          <w:tcPr>
            <w:tcW w:w="738" w:type="dxa"/>
            <w:tcBorders>
              <w:top w:val="nil"/>
              <w:left w:val="nil"/>
              <w:bottom w:val="nil"/>
              <w:right w:val="nil"/>
            </w:tcBorders>
            <w:shd w:val="clear" w:color="auto" w:fill="FFFFFF"/>
            <w:noWrap/>
            <w:vAlign w:val="center"/>
          </w:tcPr>
          <w:p w14:paraId="37E053D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0.054</w:t>
            </w:r>
          </w:p>
        </w:tc>
        <w:tc>
          <w:tcPr>
            <w:tcW w:w="716" w:type="dxa"/>
            <w:tcBorders>
              <w:top w:val="nil"/>
              <w:left w:val="nil"/>
              <w:bottom w:val="nil"/>
              <w:right w:val="nil"/>
            </w:tcBorders>
            <w:shd w:val="clear" w:color="auto" w:fill="FFFFFF"/>
            <w:noWrap/>
            <w:vAlign w:val="center"/>
          </w:tcPr>
          <w:p w14:paraId="25FB65B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0.214</w:t>
            </w:r>
          </w:p>
        </w:tc>
        <w:tc>
          <w:tcPr>
            <w:tcW w:w="779" w:type="dxa"/>
            <w:tcBorders>
              <w:top w:val="nil"/>
              <w:left w:val="nil"/>
              <w:bottom w:val="nil"/>
              <w:right w:val="nil"/>
            </w:tcBorders>
            <w:shd w:val="clear" w:color="auto" w:fill="FFFFFF"/>
            <w:noWrap/>
            <w:vAlign w:val="center"/>
          </w:tcPr>
          <w:p w14:paraId="5A6EF7E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0.001</w:t>
            </w:r>
          </w:p>
        </w:tc>
        <w:tc>
          <w:tcPr>
            <w:tcW w:w="666" w:type="dxa"/>
            <w:tcBorders>
              <w:top w:val="nil"/>
              <w:left w:val="nil"/>
              <w:bottom w:val="nil"/>
              <w:right w:val="nil"/>
            </w:tcBorders>
            <w:shd w:val="clear" w:color="auto" w:fill="FFFFFF"/>
            <w:noWrap/>
            <w:vAlign w:val="center"/>
          </w:tcPr>
          <w:p w14:paraId="7BC7D35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0.308</w:t>
            </w:r>
          </w:p>
        </w:tc>
      </w:tr>
      <w:tr w14:paraId="6D6E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restart"/>
            <w:tcBorders>
              <w:top w:val="nil"/>
              <w:left w:val="nil"/>
              <w:bottom w:val="nil"/>
              <w:right w:val="nil"/>
            </w:tcBorders>
            <w:shd w:val="clear" w:color="auto" w:fill="FFFFFF"/>
            <w:noWrap/>
            <w:vAlign w:val="center"/>
          </w:tcPr>
          <w:p w14:paraId="3B2B73D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Test Set</w:t>
            </w:r>
          </w:p>
        </w:tc>
        <w:tc>
          <w:tcPr>
            <w:tcW w:w="2402" w:type="dxa"/>
            <w:tcBorders>
              <w:top w:val="nil"/>
              <w:left w:val="nil"/>
              <w:bottom w:val="nil"/>
              <w:right w:val="nil"/>
            </w:tcBorders>
            <w:shd w:val="clear" w:color="auto" w:fill="FFFFFF"/>
            <w:noWrap/>
            <w:vAlign w:val="center"/>
          </w:tcPr>
          <w:p w14:paraId="0A7E76F7">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PHASES+FA vs. PHASES</w:t>
            </w:r>
          </w:p>
        </w:tc>
        <w:tc>
          <w:tcPr>
            <w:tcW w:w="767" w:type="dxa"/>
            <w:tcBorders>
              <w:top w:val="nil"/>
              <w:left w:val="nil"/>
              <w:bottom w:val="nil"/>
              <w:right w:val="nil"/>
            </w:tcBorders>
            <w:shd w:val="clear" w:color="auto" w:fill="FFFFFF"/>
            <w:noWrap/>
            <w:vAlign w:val="center"/>
          </w:tcPr>
          <w:p w14:paraId="177F345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0.202</w:t>
            </w:r>
          </w:p>
        </w:tc>
        <w:tc>
          <w:tcPr>
            <w:tcW w:w="738" w:type="dxa"/>
            <w:tcBorders>
              <w:top w:val="nil"/>
              <w:left w:val="nil"/>
              <w:bottom w:val="nil"/>
              <w:right w:val="nil"/>
            </w:tcBorders>
            <w:shd w:val="clear" w:color="auto" w:fill="FFFFFF"/>
            <w:noWrap/>
            <w:vAlign w:val="center"/>
          </w:tcPr>
          <w:p w14:paraId="64D49A0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0.078</w:t>
            </w:r>
          </w:p>
        </w:tc>
        <w:tc>
          <w:tcPr>
            <w:tcW w:w="716" w:type="dxa"/>
            <w:tcBorders>
              <w:top w:val="nil"/>
              <w:left w:val="nil"/>
              <w:bottom w:val="nil"/>
              <w:right w:val="nil"/>
            </w:tcBorders>
            <w:shd w:val="clear" w:color="auto" w:fill="FFFFFF"/>
            <w:noWrap/>
            <w:vAlign w:val="center"/>
          </w:tcPr>
          <w:p w14:paraId="5D1CC7A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0.327</w:t>
            </w:r>
          </w:p>
        </w:tc>
        <w:tc>
          <w:tcPr>
            <w:tcW w:w="779" w:type="dxa"/>
            <w:tcBorders>
              <w:top w:val="nil"/>
              <w:left w:val="nil"/>
              <w:bottom w:val="nil"/>
              <w:right w:val="nil"/>
            </w:tcBorders>
            <w:shd w:val="clear" w:color="auto" w:fill="FFFFFF"/>
            <w:noWrap/>
            <w:vAlign w:val="center"/>
          </w:tcPr>
          <w:p w14:paraId="5F256CD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0.001</w:t>
            </w:r>
          </w:p>
        </w:tc>
        <w:tc>
          <w:tcPr>
            <w:tcW w:w="666" w:type="dxa"/>
            <w:tcBorders>
              <w:top w:val="nil"/>
              <w:left w:val="nil"/>
              <w:bottom w:val="nil"/>
              <w:right w:val="nil"/>
            </w:tcBorders>
            <w:shd w:val="clear" w:color="auto" w:fill="FFFFFF"/>
            <w:noWrap/>
            <w:vAlign w:val="center"/>
          </w:tcPr>
          <w:p w14:paraId="1F8CB5F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0.262</w:t>
            </w:r>
          </w:p>
        </w:tc>
      </w:tr>
      <w:tr w14:paraId="03AC8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continue"/>
            <w:tcBorders>
              <w:top w:val="nil"/>
              <w:left w:val="nil"/>
              <w:bottom w:val="nil"/>
              <w:right w:val="nil"/>
            </w:tcBorders>
            <w:shd w:val="clear" w:color="auto" w:fill="FFFFFF"/>
            <w:noWrap/>
            <w:vAlign w:val="center"/>
          </w:tcPr>
          <w:p w14:paraId="6330EAAE">
            <w:pPr>
              <w:jc w:val="center"/>
              <w:rPr>
                <w:rFonts w:hint="default" w:ascii="Times New Roman" w:hAnsi="Times New Roman" w:eastAsia="宋体" w:cs="Times New Roman"/>
                <w:b w:val="0"/>
                <w:i w:val="0"/>
                <w:iCs w:val="0"/>
                <w:color w:val="000000"/>
                <w:sz w:val="20"/>
                <w:szCs w:val="20"/>
                <w:u w:val="none"/>
              </w:rPr>
            </w:pPr>
          </w:p>
        </w:tc>
        <w:tc>
          <w:tcPr>
            <w:tcW w:w="2402" w:type="dxa"/>
            <w:tcBorders>
              <w:top w:val="nil"/>
              <w:left w:val="nil"/>
              <w:bottom w:val="nil"/>
              <w:right w:val="nil"/>
            </w:tcBorders>
            <w:shd w:val="clear" w:color="auto" w:fill="FFFFFF"/>
            <w:noWrap/>
            <w:vAlign w:val="center"/>
          </w:tcPr>
          <w:p w14:paraId="2D8A5C7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ELAPSS+FA vs. ELAPSS</w:t>
            </w:r>
          </w:p>
        </w:tc>
        <w:tc>
          <w:tcPr>
            <w:tcW w:w="767" w:type="dxa"/>
            <w:tcBorders>
              <w:top w:val="nil"/>
              <w:left w:val="nil"/>
              <w:bottom w:val="nil"/>
              <w:right w:val="nil"/>
            </w:tcBorders>
            <w:shd w:val="clear" w:color="auto" w:fill="FFFFFF"/>
            <w:noWrap/>
            <w:vAlign w:val="center"/>
          </w:tcPr>
          <w:p w14:paraId="1A44189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0.2</w:t>
            </w:r>
            <w:r>
              <w:rPr>
                <w:rFonts w:hint="eastAsia" w:ascii="Times New Roman" w:hAnsi="Times New Roman" w:eastAsia="宋体" w:cs="Times New Roman"/>
                <w:b w:val="0"/>
                <w:i w:val="0"/>
                <w:iCs w:val="0"/>
                <w:color w:val="000000"/>
                <w:kern w:val="0"/>
                <w:sz w:val="20"/>
                <w:szCs w:val="20"/>
                <w:u w:val="none"/>
                <w:lang w:val="en-US" w:eastAsia="zh-CN" w:bidi="ar"/>
              </w:rPr>
              <w:t>09</w:t>
            </w:r>
          </w:p>
        </w:tc>
        <w:tc>
          <w:tcPr>
            <w:tcW w:w="738" w:type="dxa"/>
            <w:tcBorders>
              <w:top w:val="nil"/>
              <w:left w:val="nil"/>
              <w:bottom w:val="nil"/>
              <w:right w:val="nil"/>
            </w:tcBorders>
            <w:shd w:val="clear" w:color="auto" w:fill="FFFFFF"/>
            <w:noWrap/>
            <w:vAlign w:val="center"/>
          </w:tcPr>
          <w:p w14:paraId="5D8C2A0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0.06</w:t>
            </w:r>
            <w:r>
              <w:rPr>
                <w:rFonts w:hint="eastAsia" w:ascii="Times New Roman" w:hAnsi="Times New Roman" w:eastAsia="宋体" w:cs="Times New Roman"/>
                <w:b w:val="0"/>
                <w:i w:val="0"/>
                <w:iCs w:val="0"/>
                <w:color w:val="000000"/>
                <w:kern w:val="0"/>
                <w:sz w:val="20"/>
                <w:szCs w:val="20"/>
                <w:u w:val="none"/>
                <w:lang w:val="en-US" w:eastAsia="zh-CN" w:bidi="ar"/>
              </w:rPr>
              <w:t>1</w:t>
            </w:r>
          </w:p>
        </w:tc>
        <w:tc>
          <w:tcPr>
            <w:tcW w:w="716" w:type="dxa"/>
            <w:tcBorders>
              <w:top w:val="nil"/>
              <w:left w:val="nil"/>
              <w:bottom w:val="nil"/>
              <w:right w:val="nil"/>
            </w:tcBorders>
            <w:shd w:val="clear" w:color="auto" w:fill="FFFFFF"/>
            <w:noWrap/>
            <w:vAlign w:val="center"/>
          </w:tcPr>
          <w:p w14:paraId="6FA1264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0.3</w:t>
            </w:r>
            <w:r>
              <w:rPr>
                <w:rFonts w:hint="eastAsia" w:ascii="Times New Roman" w:hAnsi="Times New Roman" w:eastAsia="宋体" w:cs="Times New Roman"/>
                <w:b w:val="0"/>
                <w:i w:val="0"/>
                <w:iCs w:val="0"/>
                <w:color w:val="000000"/>
                <w:kern w:val="0"/>
                <w:sz w:val="20"/>
                <w:szCs w:val="20"/>
                <w:u w:val="none"/>
                <w:lang w:val="en-US" w:eastAsia="zh-CN" w:bidi="ar"/>
              </w:rPr>
              <w:t>57</w:t>
            </w:r>
          </w:p>
        </w:tc>
        <w:tc>
          <w:tcPr>
            <w:tcW w:w="779" w:type="dxa"/>
            <w:tcBorders>
              <w:top w:val="nil"/>
              <w:left w:val="nil"/>
              <w:bottom w:val="nil"/>
              <w:right w:val="nil"/>
            </w:tcBorders>
            <w:shd w:val="clear" w:color="auto" w:fill="FFFFFF"/>
            <w:noWrap/>
            <w:vAlign w:val="center"/>
          </w:tcPr>
          <w:p w14:paraId="55821CE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0.006</w:t>
            </w:r>
          </w:p>
        </w:tc>
        <w:tc>
          <w:tcPr>
            <w:tcW w:w="666" w:type="dxa"/>
            <w:tcBorders>
              <w:top w:val="nil"/>
              <w:left w:val="nil"/>
              <w:bottom w:val="nil"/>
              <w:right w:val="nil"/>
            </w:tcBorders>
            <w:shd w:val="clear" w:color="auto" w:fill="FFFFFF"/>
            <w:noWrap/>
            <w:vAlign w:val="center"/>
          </w:tcPr>
          <w:p w14:paraId="5DFB26B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w:t>
            </w:r>
            <w:r>
              <w:rPr>
                <w:rFonts w:hint="eastAsia" w:ascii="Times New Roman" w:hAnsi="Times New Roman" w:eastAsia="宋体" w:cs="Times New Roman"/>
                <w:b w:val="0"/>
                <w:i w:val="0"/>
                <w:iCs w:val="0"/>
                <w:color w:val="000000"/>
                <w:kern w:val="0"/>
                <w:sz w:val="20"/>
                <w:szCs w:val="20"/>
                <w:u w:val="none"/>
                <w:lang w:val="en-US" w:eastAsia="zh-CN" w:bidi="ar"/>
              </w:rPr>
              <w:t>292</w:t>
            </w:r>
          </w:p>
        </w:tc>
      </w:tr>
      <w:tr w14:paraId="2BFA8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11" w:type="dxa"/>
            <w:vMerge w:val="continue"/>
            <w:tcBorders>
              <w:top w:val="nil"/>
              <w:left w:val="nil"/>
              <w:bottom w:val="single" w:color="000000" w:sz="12" w:space="0"/>
              <w:right w:val="nil"/>
            </w:tcBorders>
            <w:shd w:val="clear" w:color="auto" w:fill="FFFFFF"/>
            <w:noWrap/>
            <w:vAlign w:val="center"/>
          </w:tcPr>
          <w:p w14:paraId="18AC0BD4">
            <w:pPr>
              <w:jc w:val="center"/>
              <w:rPr>
                <w:rFonts w:hint="default" w:ascii="Times New Roman" w:hAnsi="Times New Roman" w:eastAsia="宋体" w:cs="Times New Roman"/>
                <w:b w:val="0"/>
                <w:i w:val="0"/>
                <w:iCs w:val="0"/>
                <w:color w:val="000000"/>
                <w:sz w:val="20"/>
                <w:szCs w:val="20"/>
                <w:u w:val="none"/>
              </w:rPr>
            </w:pPr>
          </w:p>
        </w:tc>
        <w:tc>
          <w:tcPr>
            <w:tcW w:w="2402" w:type="dxa"/>
            <w:tcBorders>
              <w:top w:val="nil"/>
              <w:left w:val="nil"/>
              <w:bottom w:val="single" w:color="000000" w:sz="12" w:space="0"/>
              <w:right w:val="nil"/>
            </w:tcBorders>
            <w:shd w:val="clear" w:color="auto" w:fill="FFFFFF"/>
            <w:noWrap/>
            <w:vAlign w:val="center"/>
          </w:tcPr>
          <w:p w14:paraId="548413B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UCAS+FA vs. UCAS</w:t>
            </w:r>
          </w:p>
        </w:tc>
        <w:tc>
          <w:tcPr>
            <w:tcW w:w="767" w:type="dxa"/>
            <w:tcBorders>
              <w:top w:val="nil"/>
              <w:left w:val="nil"/>
              <w:bottom w:val="single" w:color="000000" w:sz="12" w:space="0"/>
              <w:right w:val="nil"/>
            </w:tcBorders>
            <w:shd w:val="clear" w:color="auto" w:fill="FFFFFF"/>
            <w:noWrap/>
            <w:vAlign w:val="center"/>
          </w:tcPr>
          <w:p w14:paraId="3533B54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0.21</w:t>
            </w:r>
            <w:r>
              <w:rPr>
                <w:rFonts w:hint="eastAsia" w:ascii="Times New Roman" w:hAnsi="Times New Roman" w:eastAsia="宋体" w:cs="Times New Roman"/>
                <w:b w:val="0"/>
                <w:i w:val="0"/>
                <w:iCs w:val="0"/>
                <w:color w:val="000000"/>
                <w:kern w:val="0"/>
                <w:sz w:val="20"/>
                <w:szCs w:val="20"/>
                <w:u w:val="none"/>
                <w:lang w:val="en-US" w:eastAsia="zh-CN" w:bidi="ar"/>
              </w:rPr>
              <w:t>8</w:t>
            </w:r>
          </w:p>
        </w:tc>
        <w:tc>
          <w:tcPr>
            <w:tcW w:w="738" w:type="dxa"/>
            <w:tcBorders>
              <w:top w:val="nil"/>
              <w:left w:val="nil"/>
              <w:bottom w:val="single" w:color="000000" w:sz="12" w:space="0"/>
              <w:right w:val="nil"/>
            </w:tcBorders>
            <w:shd w:val="clear" w:color="auto" w:fill="FFFFFF"/>
            <w:noWrap/>
            <w:vAlign w:val="center"/>
          </w:tcPr>
          <w:p w14:paraId="082B4A5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w:t>
            </w:r>
            <w:r>
              <w:rPr>
                <w:rFonts w:hint="eastAsia" w:ascii="Times New Roman" w:hAnsi="Times New Roman" w:eastAsia="宋体" w:cs="Times New Roman"/>
                <w:b w:val="0"/>
                <w:i w:val="0"/>
                <w:iCs w:val="0"/>
                <w:color w:val="000000"/>
                <w:kern w:val="0"/>
                <w:sz w:val="20"/>
                <w:szCs w:val="20"/>
                <w:u w:val="none"/>
                <w:lang w:val="en-US" w:eastAsia="zh-CN" w:bidi="ar"/>
              </w:rPr>
              <w:t>84</w:t>
            </w:r>
          </w:p>
        </w:tc>
        <w:tc>
          <w:tcPr>
            <w:tcW w:w="716" w:type="dxa"/>
            <w:tcBorders>
              <w:top w:val="nil"/>
              <w:left w:val="nil"/>
              <w:bottom w:val="single" w:color="000000" w:sz="12" w:space="0"/>
              <w:right w:val="nil"/>
            </w:tcBorders>
            <w:shd w:val="clear" w:color="auto" w:fill="FFFFFF"/>
            <w:noWrap/>
            <w:vAlign w:val="center"/>
          </w:tcPr>
          <w:p w14:paraId="623D138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0.35</w:t>
            </w:r>
            <w:r>
              <w:rPr>
                <w:rFonts w:hint="eastAsia" w:ascii="Times New Roman" w:hAnsi="Times New Roman" w:eastAsia="宋体" w:cs="Times New Roman"/>
                <w:b w:val="0"/>
                <w:i w:val="0"/>
                <w:iCs w:val="0"/>
                <w:color w:val="000000"/>
                <w:kern w:val="0"/>
                <w:sz w:val="20"/>
                <w:szCs w:val="20"/>
                <w:u w:val="none"/>
                <w:lang w:val="en-US" w:eastAsia="zh-CN" w:bidi="ar"/>
              </w:rPr>
              <w:t>2</w:t>
            </w:r>
          </w:p>
        </w:tc>
        <w:tc>
          <w:tcPr>
            <w:tcW w:w="779" w:type="dxa"/>
            <w:tcBorders>
              <w:top w:val="nil"/>
              <w:left w:val="nil"/>
              <w:bottom w:val="single" w:color="000000" w:sz="12" w:space="0"/>
              <w:right w:val="nil"/>
            </w:tcBorders>
            <w:shd w:val="clear" w:color="auto" w:fill="FFFFFF"/>
            <w:noWrap/>
            <w:vAlign w:val="center"/>
          </w:tcPr>
          <w:p w14:paraId="4A2AD44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0.00</w:t>
            </w:r>
            <w:r>
              <w:rPr>
                <w:rFonts w:hint="eastAsia" w:ascii="Times New Roman" w:hAnsi="Times New Roman" w:eastAsia="宋体" w:cs="Times New Roman"/>
                <w:b w:val="0"/>
                <w:i w:val="0"/>
                <w:iCs w:val="0"/>
                <w:color w:val="000000"/>
                <w:kern w:val="0"/>
                <w:sz w:val="20"/>
                <w:szCs w:val="20"/>
                <w:u w:val="none"/>
                <w:lang w:val="en-US" w:eastAsia="zh-CN" w:bidi="ar"/>
              </w:rPr>
              <w:t>1</w:t>
            </w:r>
          </w:p>
        </w:tc>
        <w:tc>
          <w:tcPr>
            <w:tcW w:w="666" w:type="dxa"/>
            <w:tcBorders>
              <w:top w:val="nil"/>
              <w:left w:val="nil"/>
              <w:bottom w:val="single" w:color="000000" w:sz="12" w:space="0"/>
              <w:right w:val="nil"/>
            </w:tcBorders>
            <w:shd w:val="clear" w:color="auto" w:fill="FFFFFF"/>
            <w:noWrap/>
            <w:vAlign w:val="center"/>
          </w:tcPr>
          <w:p w14:paraId="22CDE20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0.</w:t>
            </w:r>
            <w:r>
              <w:rPr>
                <w:rFonts w:hint="eastAsia" w:ascii="Times New Roman" w:hAnsi="Times New Roman" w:eastAsia="宋体" w:cs="Times New Roman"/>
                <w:b w:val="0"/>
                <w:i w:val="0"/>
                <w:iCs w:val="0"/>
                <w:color w:val="000000"/>
                <w:kern w:val="0"/>
                <w:sz w:val="20"/>
                <w:szCs w:val="20"/>
                <w:u w:val="none"/>
                <w:lang w:val="en-US" w:eastAsia="zh-CN" w:bidi="ar"/>
              </w:rPr>
              <w:t>308</w:t>
            </w:r>
          </w:p>
        </w:tc>
      </w:tr>
    </w:tbl>
    <w:p w14:paraId="537264C7">
      <w:pPr>
        <w:widowControl/>
        <w:spacing w:line="240" w:lineRule="auto"/>
        <w:jc w:val="left"/>
        <w:textAlignment w:val="cente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Abbreviation: NRI, net reclassification improvement; AUC, area under the curve; CI, confidence interval; FA, fatty acids.</w:t>
      </w:r>
    </w:p>
    <w:p w14:paraId="4F179739">
      <w:pPr>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br w:type="page"/>
      </w:r>
    </w:p>
    <w:p w14:paraId="10C077C9">
      <w:pPr>
        <w:widowControl/>
        <w:spacing w:line="240" w:lineRule="auto"/>
        <w:jc w:val="left"/>
        <w:textAlignment w:val="center"/>
        <w:rPr>
          <w:rFonts w:hint="default" w:ascii="Times New Roman" w:hAnsi="Times New Roman" w:cs="Times New Roman"/>
          <w:sz w:val="20"/>
          <w:szCs w:val="20"/>
          <w:lang w:val="en-US" w:eastAsia="zh-CN"/>
        </w:rPr>
      </w:pPr>
      <w:r>
        <w:rPr>
          <w:rFonts w:hint="eastAsia" w:ascii="Times New Roman" w:hAnsi="Times New Roman" w:cs="Times New Roman"/>
          <w:b/>
          <w:bCs/>
          <w:sz w:val="20"/>
          <w:szCs w:val="20"/>
          <w:lang w:val="en-US" w:eastAsia="zh-CN"/>
        </w:rPr>
        <w:t>Table S7.</w:t>
      </w:r>
      <w:r>
        <w:rPr>
          <w:rFonts w:hint="eastAsia" w:ascii="Times New Roman" w:hAnsi="Times New Roman" w:cs="Times New Roman"/>
          <w:sz w:val="20"/>
          <w:szCs w:val="20"/>
          <w:lang w:val="en-US" w:eastAsia="zh-CN"/>
        </w:rPr>
        <w:t xml:space="preserve"> Calibration of models in training and test sets.</w:t>
      </w:r>
    </w:p>
    <w:tbl>
      <w:tblPr>
        <w:tblStyle w:val="5"/>
        <w:tblW w:w="0" w:type="auto"/>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1"/>
        <w:gridCol w:w="1330"/>
        <w:gridCol w:w="2316"/>
      </w:tblGrid>
      <w:tr w14:paraId="3F9D5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vMerge w:val="restart"/>
            <w:tcBorders>
              <w:top w:val="single" w:color="000000" w:sz="12" w:space="0"/>
              <w:left w:val="nil"/>
              <w:right w:val="nil"/>
            </w:tcBorders>
            <w:shd w:val="clear" w:color="auto" w:fill="FFFFFF"/>
            <w:noWrap/>
            <w:vAlign w:val="center"/>
          </w:tcPr>
          <w:p w14:paraId="1B587B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Dataset</w:t>
            </w:r>
          </w:p>
        </w:tc>
        <w:tc>
          <w:tcPr>
            <w:tcW w:w="0" w:type="auto"/>
            <w:vMerge w:val="restart"/>
            <w:tcBorders>
              <w:top w:val="single" w:color="000000" w:sz="12" w:space="0"/>
              <w:left w:val="nil"/>
              <w:right w:val="nil"/>
            </w:tcBorders>
            <w:shd w:val="clear" w:color="auto" w:fill="FFFFFF"/>
            <w:noWrap/>
            <w:vAlign w:val="center"/>
          </w:tcPr>
          <w:p w14:paraId="3B2150D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eastAsia" w:ascii="Times New Roman" w:hAnsi="Times New Roman" w:eastAsia="宋体" w:cs="Times New Roman"/>
                <w:b w:val="0"/>
                <w:i w:val="0"/>
                <w:iCs w:val="0"/>
                <w:color w:val="000000"/>
                <w:kern w:val="2"/>
                <w:sz w:val="20"/>
                <w:szCs w:val="20"/>
                <w:u w:val="none"/>
                <w:lang w:val="en-US" w:eastAsia="zh-CN" w:bidi="ar-SA"/>
              </w:rPr>
              <w:t>Models</w:t>
            </w:r>
          </w:p>
        </w:tc>
        <w:tc>
          <w:tcPr>
            <w:tcW w:w="0" w:type="auto"/>
            <w:vMerge w:val="restart"/>
            <w:tcBorders>
              <w:top w:val="single" w:color="000000" w:sz="12" w:space="0"/>
              <w:left w:val="nil"/>
              <w:right w:val="nil"/>
            </w:tcBorders>
            <w:shd w:val="clear" w:color="auto" w:fill="FFFFFF"/>
            <w:noWrap/>
            <w:vAlign w:val="center"/>
          </w:tcPr>
          <w:p w14:paraId="3F4BC6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default" w:ascii="Times New Roman" w:hAnsi="Times New Roman" w:eastAsia="宋体" w:cs="Times New Roman"/>
                <w:b w:val="0"/>
                <w:i w:val="0"/>
                <w:iCs w:val="0"/>
                <w:color w:val="000000"/>
                <w:kern w:val="0"/>
                <w:sz w:val="20"/>
                <w:szCs w:val="20"/>
                <w:u w:val="none"/>
                <w:lang w:val="en-US" w:eastAsia="zh-CN" w:bidi="ar"/>
              </w:rPr>
              <w:t>Hosmer–Lemeshow test</w:t>
            </w:r>
            <w:r>
              <w:rPr>
                <w:rFonts w:hint="eastAsia" w:ascii="Times New Roman" w:hAnsi="Times New Roman" w:eastAsia="宋体" w:cs="Times New Roman"/>
                <w:b w:val="0"/>
                <w:i w:val="0"/>
                <w:iCs w:val="0"/>
                <w:color w:val="000000"/>
                <w:kern w:val="0"/>
                <w:sz w:val="20"/>
                <w:szCs w:val="20"/>
                <w:u w:val="none"/>
                <w:lang w:val="en-US" w:eastAsia="zh-CN" w:bidi="ar"/>
              </w:rPr>
              <w:t xml:space="preserve"> P</w:t>
            </w:r>
          </w:p>
        </w:tc>
      </w:tr>
      <w:tr w14:paraId="790BB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left w:val="nil"/>
              <w:bottom w:val="single" w:color="auto" w:sz="4" w:space="0"/>
              <w:right w:val="nil"/>
            </w:tcBorders>
            <w:shd w:val="clear" w:color="auto" w:fill="FFFFFF"/>
            <w:noWrap/>
            <w:vAlign w:val="center"/>
          </w:tcPr>
          <w:p w14:paraId="47F79139">
            <w:pPr>
              <w:jc w:val="center"/>
              <w:rPr>
                <w:rFonts w:hint="default" w:ascii="Times New Roman" w:hAnsi="Times New Roman" w:eastAsia="宋体" w:cs="Times New Roman"/>
                <w:b w:val="0"/>
                <w:i w:val="0"/>
                <w:iCs w:val="0"/>
                <w:color w:val="000000"/>
                <w:kern w:val="2"/>
                <w:sz w:val="20"/>
                <w:szCs w:val="20"/>
                <w:u w:val="none"/>
                <w:lang w:val="en-US" w:eastAsia="zh-CN" w:bidi="ar-SA"/>
              </w:rPr>
            </w:pPr>
          </w:p>
        </w:tc>
        <w:tc>
          <w:tcPr>
            <w:tcW w:w="0" w:type="auto"/>
            <w:vMerge w:val="continue"/>
            <w:tcBorders>
              <w:left w:val="nil"/>
              <w:bottom w:val="single" w:color="auto" w:sz="4" w:space="0"/>
              <w:right w:val="nil"/>
            </w:tcBorders>
            <w:shd w:val="clear" w:color="auto" w:fill="FFFFFF"/>
            <w:noWrap/>
            <w:vAlign w:val="center"/>
          </w:tcPr>
          <w:p w14:paraId="0208C002">
            <w:pPr>
              <w:jc w:val="center"/>
              <w:rPr>
                <w:rFonts w:hint="default" w:ascii="Times New Roman" w:hAnsi="Times New Roman" w:eastAsia="宋体" w:cs="Times New Roman"/>
                <w:b w:val="0"/>
                <w:i w:val="0"/>
                <w:iCs w:val="0"/>
                <w:color w:val="000000"/>
                <w:kern w:val="2"/>
                <w:sz w:val="20"/>
                <w:szCs w:val="20"/>
                <w:u w:val="none"/>
                <w:lang w:val="en-US" w:eastAsia="zh-CN" w:bidi="ar-SA"/>
              </w:rPr>
            </w:pPr>
          </w:p>
        </w:tc>
        <w:tc>
          <w:tcPr>
            <w:tcW w:w="0" w:type="auto"/>
            <w:vMerge w:val="continue"/>
            <w:tcBorders>
              <w:left w:val="nil"/>
              <w:bottom w:val="single" w:color="auto" w:sz="4" w:space="0"/>
              <w:right w:val="nil"/>
            </w:tcBorders>
            <w:shd w:val="clear" w:color="auto" w:fill="FFFFFF"/>
            <w:noWrap/>
            <w:vAlign w:val="center"/>
          </w:tcPr>
          <w:p w14:paraId="5727EC69">
            <w:pPr>
              <w:jc w:val="center"/>
              <w:rPr>
                <w:rFonts w:hint="default" w:ascii="Times New Roman" w:hAnsi="Times New Roman" w:eastAsia="宋体" w:cs="Times New Roman"/>
                <w:b w:val="0"/>
                <w:i w:val="0"/>
                <w:iCs w:val="0"/>
                <w:color w:val="000000"/>
                <w:sz w:val="20"/>
                <w:szCs w:val="20"/>
                <w:u w:val="none"/>
              </w:rPr>
            </w:pPr>
          </w:p>
        </w:tc>
      </w:tr>
      <w:tr w14:paraId="304F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restart"/>
            <w:tcBorders>
              <w:top w:val="single" w:color="auto" w:sz="4" w:space="0"/>
              <w:left w:val="nil"/>
              <w:bottom w:val="nil"/>
              <w:right w:val="nil"/>
            </w:tcBorders>
            <w:shd w:val="clear" w:color="auto" w:fill="FFFFFF"/>
            <w:noWrap/>
            <w:vAlign w:val="center"/>
          </w:tcPr>
          <w:p w14:paraId="410C458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Training Set</w:t>
            </w:r>
          </w:p>
        </w:tc>
        <w:tc>
          <w:tcPr>
            <w:tcW w:w="0" w:type="auto"/>
            <w:tcBorders>
              <w:top w:val="single" w:color="auto" w:sz="4" w:space="0"/>
              <w:left w:val="nil"/>
              <w:bottom w:val="nil"/>
              <w:right w:val="nil"/>
            </w:tcBorders>
            <w:shd w:val="clear" w:color="auto" w:fill="FFFFFF"/>
            <w:noWrap/>
            <w:vAlign w:val="center"/>
          </w:tcPr>
          <w:p w14:paraId="1CDA1150">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PHASES+FA</w:t>
            </w:r>
          </w:p>
        </w:tc>
        <w:tc>
          <w:tcPr>
            <w:tcW w:w="0" w:type="auto"/>
            <w:tcBorders>
              <w:top w:val="single" w:color="auto" w:sz="4" w:space="0"/>
              <w:left w:val="nil"/>
              <w:bottom w:val="nil"/>
              <w:right w:val="nil"/>
            </w:tcBorders>
            <w:shd w:val="clear" w:color="auto" w:fill="FFFFFF"/>
            <w:noWrap/>
            <w:vAlign w:val="center"/>
          </w:tcPr>
          <w:p w14:paraId="63F3F18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default" w:ascii="Times New Roman" w:hAnsi="Times New Roman" w:eastAsia="宋体" w:cs="Times New Roman"/>
                <w:b w:val="0"/>
                <w:i w:val="0"/>
                <w:iCs w:val="0"/>
                <w:color w:val="000000"/>
                <w:kern w:val="0"/>
                <w:sz w:val="20"/>
                <w:szCs w:val="20"/>
                <w:u w:val="none"/>
                <w:lang w:val="en-US" w:eastAsia="zh-CN" w:bidi="ar"/>
              </w:rPr>
              <w:t>0.382</w:t>
            </w:r>
          </w:p>
        </w:tc>
      </w:tr>
      <w:tr w14:paraId="3A5D6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nil"/>
              <w:left w:val="nil"/>
              <w:bottom w:val="nil"/>
              <w:right w:val="nil"/>
            </w:tcBorders>
            <w:shd w:val="clear" w:color="auto" w:fill="FFFFFF"/>
            <w:noWrap/>
            <w:vAlign w:val="center"/>
          </w:tcPr>
          <w:p w14:paraId="0B2DD00D">
            <w:pPr>
              <w:jc w:val="center"/>
              <w:rPr>
                <w:rFonts w:hint="default" w:ascii="Times New Roman" w:hAnsi="Times New Roman" w:eastAsia="宋体" w:cs="Times New Roman"/>
                <w:b w:val="0"/>
                <w:i w:val="0"/>
                <w:iCs w:val="0"/>
                <w:color w:val="000000"/>
                <w:kern w:val="2"/>
                <w:sz w:val="20"/>
                <w:szCs w:val="20"/>
                <w:u w:val="none"/>
                <w:lang w:val="en-US" w:eastAsia="zh-CN" w:bidi="ar-SA"/>
              </w:rPr>
            </w:pPr>
          </w:p>
        </w:tc>
        <w:tc>
          <w:tcPr>
            <w:tcW w:w="0" w:type="auto"/>
            <w:tcBorders>
              <w:top w:val="nil"/>
              <w:left w:val="nil"/>
              <w:bottom w:val="nil"/>
              <w:right w:val="nil"/>
            </w:tcBorders>
            <w:shd w:val="clear" w:color="auto" w:fill="FFFFFF"/>
            <w:noWrap/>
            <w:vAlign w:val="center"/>
          </w:tcPr>
          <w:p w14:paraId="099A9EEA">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ELAPSS+FA</w:t>
            </w:r>
          </w:p>
        </w:tc>
        <w:tc>
          <w:tcPr>
            <w:tcW w:w="0" w:type="auto"/>
            <w:tcBorders>
              <w:top w:val="nil"/>
              <w:left w:val="nil"/>
              <w:bottom w:val="nil"/>
              <w:right w:val="nil"/>
            </w:tcBorders>
            <w:shd w:val="clear" w:color="auto" w:fill="FFFFFF"/>
            <w:noWrap/>
            <w:vAlign w:val="center"/>
          </w:tcPr>
          <w:p w14:paraId="04B0F6A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default" w:ascii="Times New Roman" w:hAnsi="Times New Roman" w:eastAsia="宋体" w:cs="Times New Roman"/>
                <w:b w:val="0"/>
                <w:i w:val="0"/>
                <w:iCs w:val="0"/>
                <w:color w:val="000000"/>
                <w:kern w:val="0"/>
                <w:sz w:val="20"/>
                <w:szCs w:val="20"/>
                <w:u w:val="none"/>
                <w:lang w:val="en-US" w:eastAsia="zh-CN" w:bidi="ar"/>
              </w:rPr>
              <w:t>0.84</w:t>
            </w:r>
            <w:r>
              <w:rPr>
                <w:rFonts w:hint="eastAsia" w:ascii="Times New Roman" w:hAnsi="Times New Roman" w:eastAsia="宋体" w:cs="Times New Roman"/>
                <w:b w:val="0"/>
                <w:i w:val="0"/>
                <w:iCs w:val="0"/>
                <w:color w:val="000000"/>
                <w:kern w:val="0"/>
                <w:sz w:val="20"/>
                <w:szCs w:val="20"/>
                <w:u w:val="none"/>
                <w:lang w:val="en-US" w:eastAsia="zh-CN" w:bidi="ar"/>
              </w:rPr>
              <w:t>3</w:t>
            </w:r>
          </w:p>
        </w:tc>
      </w:tr>
      <w:tr w14:paraId="3974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nil"/>
              <w:left w:val="nil"/>
              <w:bottom w:val="nil"/>
              <w:right w:val="nil"/>
            </w:tcBorders>
            <w:shd w:val="clear" w:color="auto" w:fill="FFFFFF"/>
            <w:noWrap/>
            <w:vAlign w:val="center"/>
          </w:tcPr>
          <w:p w14:paraId="20CFA549">
            <w:pPr>
              <w:jc w:val="center"/>
              <w:rPr>
                <w:rFonts w:hint="default" w:ascii="Times New Roman" w:hAnsi="Times New Roman" w:eastAsia="宋体" w:cs="Times New Roman"/>
                <w:b w:val="0"/>
                <w:i w:val="0"/>
                <w:iCs w:val="0"/>
                <w:color w:val="000000"/>
                <w:kern w:val="2"/>
                <w:sz w:val="20"/>
                <w:szCs w:val="20"/>
                <w:u w:val="none"/>
                <w:lang w:val="en-US" w:eastAsia="zh-CN" w:bidi="ar-SA"/>
              </w:rPr>
            </w:pPr>
          </w:p>
        </w:tc>
        <w:tc>
          <w:tcPr>
            <w:tcW w:w="0" w:type="auto"/>
            <w:tcBorders>
              <w:top w:val="nil"/>
              <w:left w:val="nil"/>
              <w:bottom w:val="nil"/>
              <w:right w:val="nil"/>
            </w:tcBorders>
            <w:shd w:val="clear" w:color="auto" w:fill="FFFFFF"/>
            <w:noWrap/>
            <w:vAlign w:val="center"/>
          </w:tcPr>
          <w:p w14:paraId="1A0C309A">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UCAS+FA</w:t>
            </w:r>
          </w:p>
        </w:tc>
        <w:tc>
          <w:tcPr>
            <w:tcW w:w="0" w:type="auto"/>
            <w:tcBorders>
              <w:top w:val="nil"/>
              <w:left w:val="nil"/>
              <w:bottom w:val="nil"/>
              <w:right w:val="nil"/>
            </w:tcBorders>
            <w:shd w:val="clear" w:color="auto" w:fill="FFFFFF"/>
            <w:noWrap/>
            <w:vAlign w:val="center"/>
          </w:tcPr>
          <w:p w14:paraId="0C7FDF9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default" w:ascii="Times New Roman" w:hAnsi="Times New Roman" w:eastAsia="宋体" w:cs="Times New Roman"/>
                <w:b w:val="0"/>
                <w:i w:val="0"/>
                <w:iCs w:val="0"/>
                <w:color w:val="000000"/>
                <w:kern w:val="0"/>
                <w:sz w:val="20"/>
                <w:szCs w:val="20"/>
                <w:u w:val="none"/>
                <w:lang w:val="en-US" w:eastAsia="zh-CN" w:bidi="ar"/>
              </w:rPr>
              <w:t>0.574</w:t>
            </w:r>
          </w:p>
        </w:tc>
      </w:tr>
      <w:tr w14:paraId="2D65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restart"/>
            <w:tcBorders>
              <w:top w:val="nil"/>
              <w:left w:val="nil"/>
              <w:bottom w:val="nil"/>
              <w:right w:val="nil"/>
            </w:tcBorders>
            <w:shd w:val="clear" w:color="auto" w:fill="FFFFFF"/>
            <w:noWrap/>
            <w:vAlign w:val="center"/>
          </w:tcPr>
          <w:p w14:paraId="1CC2D4E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Test Set</w:t>
            </w:r>
          </w:p>
        </w:tc>
        <w:tc>
          <w:tcPr>
            <w:tcW w:w="0" w:type="auto"/>
            <w:tcBorders>
              <w:top w:val="nil"/>
              <w:left w:val="nil"/>
              <w:bottom w:val="nil"/>
              <w:right w:val="nil"/>
            </w:tcBorders>
            <w:shd w:val="clear" w:color="auto" w:fill="FFFFFF"/>
            <w:noWrap/>
            <w:vAlign w:val="center"/>
          </w:tcPr>
          <w:p w14:paraId="3623C908">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PHASES+FA</w:t>
            </w:r>
          </w:p>
        </w:tc>
        <w:tc>
          <w:tcPr>
            <w:tcW w:w="0" w:type="auto"/>
            <w:tcBorders>
              <w:top w:val="nil"/>
              <w:left w:val="nil"/>
              <w:bottom w:val="nil"/>
              <w:right w:val="nil"/>
            </w:tcBorders>
            <w:shd w:val="clear" w:color="auto" w:fill="FFFFFF"/>
            <w:noWrap/>
            <w:vAlign w:val="center"/>
          </w:tcPr>
          <w:p w14:paraId="5E4C11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0.445</w:t>
            </w:r>
          </w:p>
        </w:tc>
      </w:tr>
      <w:tr w14:paraId="79D9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nil"/>
              <w:left w:val="nil"/>
              <w:bottom w:val="nil"/>
              <w:right w:val="nil"/>
            </w:tcBorders>
            <w:shd w:val="clear" w:color="auto" w:fill="FFFFFF"/>
            <w:noWrap/>
            <w:vAlign w:val="center"/>
          </w:tcPr>
          <w:p w14:paraId="2C7F3913">
            <w:pPr>
              <w:jc w:val="center"/>
              <w:rPr>
                <w:rFonts w:hint="eastAsia" w:ascii="Times New Roman" w:hAnsi="Times New Roman" w:eastAsia="宋体" w:cs="Times New Roman"/>
                <w:b w:val="0"/>
                <w:i w:val="0"/>
                <w:iCs w:val="0"/>
                <w:color w:val="000000"/>
                <w:kern w:val="2"/>
                <w:sz w:val="20"/>
                <w:szCs w:val="20"/>
                <w:u w:val="none"/>
                <w:lang w:val="en-US" w:eastAsia="zh-CN" w:bidi="ar-SA"/>
              </w:rPr>
            </w:pPr>
          </w:p>
        </w:tc>
        <w:tc>
          <w:tcPr>
            <w:tcW w:w="0" w:type="auto"/>
            <w:tcBorders>
              <w:top w:val="nil"/>
              <w:left w:val="nil"/>
              <w:bottom w:val="nil"/>
              <w:right w:val="nil"/>
            </w:tcBorders>
            <w:shd w:val="clear" w:color="auto" w:fill="FFFFFF"/>
            <w:noWrap/>
            <w:vAlign w:val="center"/>
          </w:tcPr>
          <w:p w14:paraId="326B8CBE">
            <w:pPr>
              <w:keepNext w:val="0"/>
              <w:keepLines w:val="0"/>
              <w:widowControl/>
              <w:suppressLineNumbers w:val="0"/>
              <w:jc w:val="left"/>
              <w:textAlignment w:val="center"/>
              <w:rPr>
                <w:rFonts w:hint="eastAsia"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ELAPSS+FA</w:t>
            </w:r>
          </w:p>
        </w:tc>
        <w:tc>
          <w:tcPr>
            <w:tcW w:w="0" w:type="auto"/>
            <w:tcBorders>
              <w:top w:val="nil"/>
              <w:left w:val="nil"/>
              <w:bottom w:val="nil"/>
              <w:right w:val="nil"/>
            </w:tcBorders>
            <w:shd w:val="clear" w:color="auto" w:fill="FFFFFF"/>
            <w:noWrap/>
            <w:vAlign w:val="center"/>
          </w:tcPr>
          <w:p w14:paraId="5D9015B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eastAsia" w:ascii="Times New Roman" w:hAnsi="Times New Roman" w:eastAsia="宋体" w:cs="Times New Roman"/>
                <w:b w:val="0"/>
                <w:i w:val="0"/>
                <w:iCs w:val="0"/>
                <w:color w:val="000000"/>
                <w:kern w:val="0"/>
                <w:sz w:val="20"/>
                <w:szCs w:val="20"/>
                <w:u w:val="none"/>
                <w:lang w:val="en-US" w:eastAsia="zh-CN" w:bidi="ar"/>
              </w:rPr>
              <w:t>0.937</w:t>
            </w:r>
          </w:p>
        </w:tc>
      </w:tr>
      <w:tr w14:paraId="11D0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nil"/>
              <w:left w:val="nil"/>
              <w:bottom w:val="single" w:color="000000" w:sz="12" w:space="0"/>
              <w:right w:val="nil"/>
            </w:tcBorders>
            <w:shd w:val="clear" w:color="auto" w:fill="FFFFFF"/>
            <w:noWrap/>
            <w:vAlign w:val="center"/>
          </w:tcPr>
          <w:p w14:paraId="3B3A6C3E">
            <w:pPr>
              <w:jc w:val="center"/>
              <w:rPr>
                <w:rFonts w:hint="default" w:ascii="Times New Roman" w:hAnsi="Times New Roman" w:eastAsia="宋体" w:cs="Times New Roman"/>
                <w:b w:val="0"/>
                <w:i w:val="0"/>
                <w:iCs w:val="0"/>
                <w:color w:val="000000"/>
                <w:kern w:val="2"/>
                <w:sz w:val="20"/>
                <w:szCs w:val="20"/>
                <w:u w:val="none"/>
                <w:lang w:val="en-US" w:eastAsia="zh-CN" w:bidi="ar-SA"/>
              </w:rPr>
            </w:pPr>
          </w:p>
        </w:tc>
        <w:tc>
          <w:tcPr>
            <w:tcW w:w="0" w:type="auto"/>
            <w:tcBorders>
              <w:top w:val="nil"/>
              <w:left w:val="nil"/>
              <w:bottom w:val="single" w:color="000000" w:sz="12" w:space="0"/>
              <w:right w:val="nil"/>
            </w:tcBorders>
            <w:shd w:val="clear" w:color="auto" w:fill="FFFFFF"/>
            <w:noWrap/>
            <w:vAlign w:val="center"/>
          </w:tcPr>
          <w:p w14:paraId="669AF7BC">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20"/>
                <w:szCs w:val="20"/>
                <w:u w:val="none"/>
                <w:lang w:val="en-US" w:eastAsia="zh-CN" w:bidi="ar-SA"/>
              </w:rPr>
            </w:pPr>
            <w:r>
              <w:rPr>
                <w:rFonts w:hint="default" w:ascii="Times New Roman" w:hAnsi="Times New Roman" w:eastAsia="宋体" w:cs="Times New Roman"/>
                <w:b w:val="0"/>
                <w:i w:val="0"/>
                <w:iCs w:val="0"/>
                <w:color w:val="000000"/>
                <w:kern w:val="0"/>
                <w:sz w:val="20"/>
                <w:szCs w:val="20"/>
                <w:u w:val="none"/>
                <w:lang w:val="en-US" w:eastAsia="zh-CN" w:bidi="ar"/>
              </w:rPr>
              <w:t>UCAS+FA</w:t>
            </w:r>
          </w:p>
        </w:tc>
        <w:tc>
          <w:tcPr>
            <w:tcW w:w="0" w:type="auto"/>
            <w:tcBorders>
              <w:top w:val="nil"/>
              <w:left w:val="nil"/>
              <w:bottom w:val="single" w:color="000000" w:sz="12" w:space="0"/>
              <w:right w:val="nil"/>
            </w:tcBorders>
            <w:shd w:val="clear" w:color="auto" w:fill="FFFFFF"/>
            <w:noWrap/>
            <w:vAlign w:val="center"/>
          </w:tcPr>
          <w:p w14:paraId="5B069B8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0"/>
                <w:szCs w:val="20"/>
                <w:u w:val="none"/>
                <w:lang w:val="en-US" w:eastAsia="zh-CN" w:bidi="ar"/>
              </w:rPr>
            </w:pPr>
            <w:r>
              <w:rPr>
                <w:rFonts w:hint="default" w:ascii="Times New Roman" w:hAnsi="Times New Roman" w:eastAsia="宋体" w:cs="Times New Roman"/>
                <w:b w:val="0"/>
                <w:i w:val="0"/>
                <w:iCs w:val="0"/>
                <w:color w:val="000000"/>
                <w:kern w:val="0"/>
                <w:sz w:val="20"/>
                <w:szCs w:val="20"/>
                <w:u w:val="none"/>
                <w:lang w:val="en-US" w:eastAsia="zh-CN" w:bidi="ar"/>
              </w:rPr>
              <w:t>0.098</w:t>
            </w:r>
          </w:p>
        </w:tc>
      </w:tr>
    </w:tbl>
    <w:p w14:paraId="42FB6F2D">
      <w:pPr>
        <w:widowControl/>
        <w:spacing w:line="240" w:lineRule="auto"/>
        <w:jc w:val="left"/>
        <w:textAlignment w:val="center"/>
        <w:rPr>
          <w:rFonts w:hint="default" w:ascii="Times New Roman" w:hAnsi="Times New Roman" w:cs="Times New Roman"/>
          <w:sz w:val="20"/>
          <w:szCs w:val="2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C3DB9"/>
    <w:rsid w:val="012D0479"/>
    <w:rsid w:val="014D4677"/>
    <w:rsid w:val="01AF70E0"/>
    <w:rsid w:val="02287A18"/>
    <w:rsid w:val="0236558C"/>
    <w:rsid w:val="024535A0"/>
    <w:rsid w:val="05235E1B"/>
    <w:rsid w:val="05622C5A"/>
    <w:rsid w:val="05873034"/>
    <w:rsid w:val="065D535C"/>
    <w:rsid w:val="068C25DB"/>
    <w:rsid w:val="06E9424C"/>
    <w:rsid w:val="09B86C63"/>
    <w:rsid w:val="0A2C751F"/>
    <w:rsid w:val="0A6429F3"/>
    <w:rsid w:val="0AB85257"/>
    <w:rsid w:val="0ABA2E08"/>
    <w:rsid w:val="0AC15E7A"/>
    <w:rsid w:val="0C0F0EA7"/>
    <w:rsid w:val="0C2B5D4F"/>
    <w:rsid w:val="0C662A91"/>
    <w:rsid w:val="0CC4564F"/>
    <w:rsid w:val="0CFF7D31"/>
    <w:rsid w:val="0D417786"/>
    <w:rsid w:val="0D684E56"/>
    <w:rsid w:val="0D9D58A6"/>
    <w:rsid w:val="0E6176D6"/>
    <w:rsid w:val="0E9D6C3E"/>
    <w:rsid w:val="0EE859DF"/>
    <w:rsid w:val="0F022F45"/>
    <w:rsid w:val="10757AD5"/>
    <w:rsid w:val="10C20BDE"/>
    <w:rsid w:val="11BF511D"/>
    <w:rsid w:val="121F1DDC"/>
    <w:rsid w:val="129A4CFF"/>
    <w:rsid w:val="1308493B"/>
    <w:rsid w:val="13877EBC"/>
    <w:rsid w:val="14CD7B51"/>
    <w:rsid w:val="14F84643"/>
    <w:rsid w:val="15007F26"/>
    <w:rsid w:val="158C3568"/>
    <w:rsid w:val="15EB56D0"/>
    <w:rsid w:val="17DA31A4"/>
    <w:rsid w:val="180F463F"/>
    <w:rsid w:val="182932F0"/>
    <w:rsid w:val="19C86B39"/>
    <w:rsid w:val="1D2E3157"/>
    <w:rsid w:val="1E1369EE"/>
    <w:rsid w:val="1E3649B9"/>
    <w:rsid w:val="1E652798"/>
    <w:rsid w:val="1F5E564A"/>
    <w:rsid w:val="1F666F62"/>
    <w:rsid w:val="200F7CB6"/>
    <w:rsid w:val="204001B0"/>
    <w:rsid w:val="20746A5E"/>
    <w:rsid w:val="20B355D7"/>
    <w:rsid w:val="214611D6"/>
    <w:rsid w:val="220F3F73"/>
    <w:rsid w:val="222C3C85"/>
    <w:rsid w:val="2271479E"/>
    <w:rsid w:val="22B01C38"/>
    <w:rsid w:val="22B11596"/>
    <w:rsid w:val="240D7F6A"/>
    <w:rsid w:val="24D171E9"/>
    <w:rsid w:val="261368EC"/>
    <w:rsid w:val="26A036EA"/>
    <w:rsid w:val="26B17FBB"/>
    <w:rsid w:val="26FC5D51"/>
    <w:rsid w:val="270866FA"/>
    <w:rsid w:val="270A69E3"/>
    <w:rsid w:val="27401DF2"/>
    <w:rsid w:val="27C17DC9"/>
    <w:rsid w:val="28123DA1"/>
    <w:rsid w:val="28CD7CC8"/>
    <w:rsid w:val="295166E4"/>
    <w:rsid w:val="29B86D56"/>
    <w:rsid w:val="29F01EC0"/>
    <w:rsid w:val="2A905451"/>
    <w:rsid w:val="2AE31A25"/>
    <w:rsid w:val="2B79166B"/>
    <w:rsid w:val="2C057779"/>
    <w:rsid w:val="2D885DEC"/>
    <w:rsid w:val="2E6266D9"/>
    <w:rsid w:val="2E6B4EE4"/>
    <w:rsid w:val="2F603644"/>
    <w:rsid w:val="2F8A29E8"/>
    <w:rsid w:val="30183F1E"/>
    <w:rsid w:val="30442F65"/>
    <w:rsid w:val="304C5976"/>
    <w:rsid w:val="30C22FA6"/>
    <w:rsid w:val="31173950"/>
    <w:rsid w:val="314F3970"/>
    <w:rsid w:val="31A31F0E"/>
    <w:rsid w:val="31CD1135"/>
    <w:rsid w:val="31E3055C"/>
    <w:rsid w:val="3205221E"/>
    <w:rsid w:val="32146967"/>
    <w:rsid w:val="32616EAD"/>
    <w:rsid w:val="32F72511"/>
    <w:rsid w:val="33156B53"/>
    <w:rsid w:val="34C208FD"/>
    <w:rsid w:val="34E72111"/>
    <w:rsid w:val="354833FF"/>
    <w:rsid w:val="35AA0B68"/>
    <w:rsid w:val="35FF6901"/>
    <w:rsid w:val="36371D7C"/>
    <w:rsid w:val="369E0EF6"/>
    <w:rsid w:val="36FD79CA"/>
    <w:rsid w:val="37270EEB"/>
    <w:rsid w:val="3774310E"/>
    <w:rsid w:val="37B0004E"/>
    <w:rsid w:val="37CB2F5F"/>
    <w:rsid w:val="37E34E12"/>
    <w:rsid w:val="38481119"/>
    <w:rsid w:val="389B749B"/>
    <w:rsid w:val="38C70D04"/>
    <w:rsid w:val="39F257E0"/>
    <w:rsid w:val="3A5A39CC"/>
    <w:rsid w:val="3B24355E"/>
    <w:rsid w:val="3B304514"/>
    <w:rsid w:val="3C6E4B61"/>
    <w:rsid w:val="3CC725CF"/>
    <w:rsid w:val="3D104622"/>
    <w:rsid w:val="3E401F6C"/>
    <w:rsid w:val="3E845248"/>
    <w:rsid w:val="3EE5578E"/>
    <w:rsid w:val="40267525"/>
    <w:rsid w:val="40E42B8B"/>
    <w:rsid w:val="41B1760E"/>
    <w:rsid w:val="41CE6B33"/>
    <w:rsid w:val="42042EE5"/>
    <w:rsid w:val="42125A5B"/>
    <w:rsid w:val="42A96C58"/>
    <w:rsid w:val="42D42A31"/>
    <w:rsid w:val="432D1637"/>
    <w:rsid w:val="43484C07"/>
    <w:rsid w:val="437C1635"/>
    <w:rsid w:val="442C38D3"/>
    <w:rsid w:val="44611A27"/>
    <w:rsid w:val="447A08AC"/>
    <w:rsid w:val="447B7530"/>
    <w:rsid w:val="449851D6"/>
    <w:rsid w:val="44CB096E"/>
    <w:rsid w:val="452D591E"/>
    <w:rsid w:val="45D97854"/>
    <w:rsid w:val="463058E7"/>
    <w:rsid w:val="468E7B22"/>
    <w:rsid w:val="4697250F"/>
    <w:rsid w:val="46A2058E"/>
    <w:rsid w:val="46AD66B5"/>
    <w:rsid w:val="46CB53EF"/>
    <w:rsid w:val="471A7FEB"/>
    <w:rsid w:val="47947ED7"/>
    <w:rsid w:val="481C726A"/>
    <w:rsid w:val="488E0DCA"/>
    <w:rsid w:val="48D54EBC"/>
    <w:rsid w:val="491D3EFC"/>
    <w:rsid w:val="4924528A"/>
    <w:rsid w:val="493F3E72"/>
    <w:rsid w:val="4AB2387D"/>
    <w:rsid w:val="4B981AA0"/>
    <w:rsid w:val="4CA336C1"/>
    <w:rsid w:val="4D351828"/>
    <w:rsid w:val="4DCD7C9F"/>
    <w:rsid w:val="4E4C0E80"/>
    <w:rsid w:val="4EC76DE4"/>
    <w:rsid w:val="4F1813ED"/>
    <w:rsid w:val="508F1A38"/>
    <w:rsid w:val="50BB0A03"/>
    <w:rsid w:val="517900DB"/>
    <w:rsid w:val="51BE2D00"/>
    <w:rsid w:val="53157341"/>
    <w:rsid w:val="53234805"/>
    <w:rsid w:val="534F0AA1"/>
    <w:rsid w:val="53A05E55"/>
    <w:rsid w:val="53D14261"/>
    <w:rsid w:val="55B64C65"/>
    <w:rsid w:val="568A3B11"/>
    <w:rsid w:val="569C0B56"/>
    <w:rsid w:val="570404A9"/>
    <w:rsid w:val="573E201C"/>
    <w:rsid w:val="57490773"/>
    <w:rsid w:val="57BD6FD6"/>
    <w:rsid w:val="57F64296"/>
    <w:rsid w:val="5977771F"/>
    <w:rsid w:val="59EC424E"/>
    <w:rsid w:val="5A4532B2"/>
    <w:rsid w:val="5AF32D0E"/>
    <w:rsid w:val="5BD21617"/>
    <w:rsid w:val="5C2313D1"/>
    <w:rsid w:val="5CD64696"/>
    <w:rsid w:val="5CD66444"/>
    <w:rsid w:val="5D335644"/>
    <w:rsid w:val="5D3A4C25"/>
    <w:rsid w:val="5D3F4EC1"/>
    <w:rsid w:val="5D46181B"/>
    <w:rsid w:val="5D8D744A"/>
    <w:rsid w:val="5E211941"/>
    <w:rsid w:val="5F4D2D05"/>
    <w:rsid w:val="60123C37"/>
    <w:rsid w:val="607679CC"/>
    <w:rsid w:val="60C90E8E"/>
    <w:rsid w:val="61E95D43"/>
    <w:rsid w:val="62541547"/>
    <w:rsid w:val="62AB6CC6"/>
    <w:rsid w:val="62C63B80"/>
    <w:rsid w:val="6367429A"/>
    <w:rsid w:val="641E704E"/>
    <w:rsid w:val="6593581A"/>
    <w:rsid w:val="65E16C35"/>
    <w:rsid w:val="66037777"/>
    <w:rsid w:val="661A2ADE"/>
    <w:rsid w:val="662066F5"/>
    <w:rsid w:val="6632293D"/>
    <w:rsid w:val="69036813"/>
    <w:rsid w:val="694035C3"/>
    <w:rsid w:val="69B12712"/>
    <w:rsid w:val="6A7E25F5"/>
    <w:rsid w:val="6C111246"/>
    <w:rsid w:val="6C382EF4"/>
    <w:rsid w:val="6C6C4AF3"/>
    <w:rsid w:val="6CF44DF0"/>
    <w:rsid w:val="6DB8406F"/>
    <w:rsid w:val="6DF57072"/>
    <w:rsid w:val="6F60051B"/>
    <w:rsid w:val="70762DD8"/>
    <w:rsid w:val="707A1AB0"/>
    <w:rsid w:val="708A699D"/>
    <w:rsid w:val="71301C8E"/>
    <w:rsid w:val="715220E5"/>
    <w:rsid w:val="71CD480E"/>
    <w:rsid w:val="721B697B"/>
    <w:rsid w:val="72BD3ED6"/>
    <w:rsid w:val="72C45265"/>
    <w:rsid w:val="739F538A"/>
    <w:rsid w:val="73FD3D14"/>
    <w:rsid w:val="74035919"/>
    <w:rsid w:val="744C519D"/>
    <w:rsid w:val="74C54F65"/>
    <w:rsid w:val="76316DAE"/>
    <w:rsid w:val="776E0924"/>
    <w:rsid w:val="77AC065F"/>
    <w:rsid w:val="782A3DBC"/>
    <w:rsid w:val="79BF6786"/>
    <w:rsid w:val="7C543A48"/>
    <w:rsid w:val="7CB023B6"/>
    <w:rsid w:val="7D052701"/>
    <w:rsid w:val="7D74313D"/>
    <w:rsid w:val="7D960E4B"/>
    <w:rsid w:val="7D967088"/>
    <w:rsid w:val="7DAF266D"/>
    <w:rsid w:val="7DCE6F97"/>
    <w:rsid w:val="7E1C14BF"/>
    <w:rsid w:val="7EC912A5"/>
    <w:rsid w:val="7EDC56E4"/>
    <w:rsid w:val="7F264BB1"/>
    <w:rsid w:val="7F92174F"/>
    <w:rsid w:val="7FCC1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tiff"/><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1946</Words>
  <Characters>11855</Characters>
  <Lines>0</Lines>
  <Paragraphs>0</Paragraphs>
  <TotalTime>0</TotalTime>
  <ScaleCrop>false</ScaleCrop>
  <LinksUpToDate>false</LinksUpToDate>
  <CharactersWithSpaces>13540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2025-01-23T05:22:00Z</dcterms:created>
  <dc:creator>weidc</dc:creator>
  <cp:lastModifiedBy>Dachao Wei</cp:lastModifiedBy>
  <dcterms:modified xsi:type="dcterms:W3CDTF">2025-11-15T08:16:11Z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eyJoZGlkIjoiYmVjM2NjNzFlOWZjMGRhZDY5NzRlZmVjMjFjMTkwZWYiLCJ1c2VySWQiOiI0Mjk5MzY4NTQifQ==</vt:lpwstr>
  </property>
  <property fmtid="{D5CDD505-2E9C-101B-9397-08002B2CF9AE}" pid="4" name="ICV">
    <vt:lpwstr>E1CA5447EE154F46A65AECF453E2C429_12</vt:lpwstr>
  </property>
</Properties>
</file>