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6C68F">
      <w:pPr>
        <w:pStyle w:val="9"/>
        <w:spacing w:line="360" w:lineRule="auto"/>
        <w:jc w:val="both"/>
        <w:rPr>
          <w:rFonts w:hint="default" w:ascii="Times New Roman" w:hAnsi="Times New Roman" w:cs="Times New Roman"/>
          <w:b/>
          <w:bCs w:val="0"/>
          <w:i w:val="0"/>
          <w:iCs/>
          <w:sz w:val="36"/>
          <w:szCs w:val="36"/>
        </w:rPr>
      </w:pPr>
      <w:r>
        <w:rPr>
          <w:rFonts w:hint="default" w:ascii="Times New Roman" w:hAnsi="Times New Roman" w:cs="Times New Roman"/>
          <w:b/>
          <w:bCs w:val="0"/>
          <w:i w:val="0"/>
          <w:iCs/>
          <w:sz w:val="36"/>
          <w:szCs w:val="36"/>
        </w:rPr>
        <w:t>Supplementary Material</w:t>
      </w:r>
    </w:p>
    <w:p w14:paraId="154E658D">
      <w:pPr>
        <w:pStyle w:val="4"/>
        <w:jc w:val="left"/>
        <w:rPr>
          <w:rFonts w:hint="default" w:ascii="Times New Roman" w:hAnsi="Times New Roman" w:eastAsia="宋体" w:cs="Times New Roman"/>
          <w:b/>
          <w:bCs/>
          <w:color w:val="000000" w:themeColor="text1"/>
          <w:kern w:val="2"/>
          <w:sz w:val="28"/>
          <w:szCs w:val="28"/>
          <w:u w:val="none"/>
          <w:lang w:val="en-US" w:eastAsia="zh-CN" w:bidi="ar-SA"/>
          <w14:textFill>
            <w14:solidFill>
              <w14:schemeClr w14:val="tx1"/>
            </w14:solidFill>
          </w14:textFill>
        </w:rPr>
      </w:pPr>
      <w:r>
        <w:rPr>
          <w:rFonts w:hint="eastAsia" w:ascii="Times New Roman" w:hAnsi="Times New Roman" w:eastAsia="宋体" w:cs="Times New Roman"/>
          <w:b/>
          <w:bCs/>
          <w:color w:val="000000" w:themeColor="text1"/>
          <w:kern w:val="2"/>
          <w:sz w:val="28"/>
          <w:szCs w:val="28"/>
          <w:u w:val="none"/>
          <w:lang w:val="en-US" w:eastAsia="zh-CN" w:bidi="ar-SA"/>
          <w14:textFill>
            <w14:solidFill>
              <w14:schemeClr w14:val="tx1"/>
            </w14:solidFill>
          </w14:textFill>
        </w:rPr>
        <w:t>Construction of the External Validation Cohort:</w:t>
      </w:r>
    </w:p>
    <w:p w14:paraId="574C6499">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color w:val="000000" w:themeColor="text1"/>
          <w:sz w:val="24"/>
          <w:szCs w:val="24"/>
          <w:u w:val="none"/>
          <w14:textFill>
            <w14:solidFill>
              <w14:schemeClr w14:val="tx1"/>
            </w14:solidFill>
          </w14:textFill>
        </w:rPr>
      </w:pPr>
      <w:r>
        <w:rPr>
          <w:rFonts w:hint="default" w:ascii="Times New Roman" w:hAnsi="Times New Roman" w:eastAsia="宋体" w:cs="Times New Roman"/>
          <w:color w:val="000000" w:themeColor="text1"/>
          <w:sz w:val="24"/>
          <w:szCs w:val="24"/>
          <w:u w:val="none"/>
          <w14:textFill>
            <w14:solidFill>
              <w14:schemeClr w14:val="tx1"/>
            </w14:solidFill>
          </w14:textFill>
        </w:rPr>
        <w:t xml:space="preserve">We constructed an analytic sample from the CHARLS refresh cohorts introduced in 2013 and 2015, after excluding individuals enrolled in the 2011 baseline survey to avoid duplicate enrollment across waves. Demographic characteristics were harmonized using 2015 as the primary source and supplemented by 2013 information when necessary. The exposure (Castelli </w:t>
      </w:r>
      <w:r>
        <w:rPr>
          <w:rFonts w:hint="eastAsia" w:ascii="Times New Roman" w:hAnsi="Times New Roman" w:eastAsia="宋体" w:cs="Times New Roman"/>
          <w:color w:val="000000" w:themeColor="text1"/>
          <w:sz w:val="24"/>
          <w:szCs w:val="24"/>
          <w:u w:val="none"/>
          <w:lang w:val="en-US" w:eastAsia="zh-CN"/>
          <w14:textFill>
            <w14:solidFill>
              <w14:schemeClr w14:val="tx1"/>
            </w14:solidFill>
          </w14:textFill>
        </w:rPr>
        <w:t>R</w:t>
      </w:r>
      <w:r>
        <w:rPr>
          <w:rFonts w:hint="default" w:ascii="Times New Roman" w:hAnsi="Times New Roman" w:eastAsia="宋体" w:cs="Times New Roman"/>
          <w:color w:val="000000" w:themeColor="text1"/>
          <w:sz w:val="24"/>
          <w:szCs w:val="24"/>
          <w:u w:val="none"/>
          <w14:textFill>
            <w14:solidFill>
              <w14:schemeClr w14:val="tx1"/>
            </w14:solidFill>
          </w14:textFill>
        </w:rPr>
        <w:t xml:space="preserve">isk </w:t>
      </w:r>
      <w:r>
        <w:rPr>
          <w:rFonts w:hint="eastAsia" w:ascii="Times New Roman" w:hAnsi="Times New Roman" w:eastAsia="宋体" w:cs="Times New Roman"/>
          <w:color w:val="000000" w:themeColor="text1"/>
          <w:sz w:val="24"/>
          <w:szCs w:val="24"/>
          <w:u w:val="none"/>
          <w:lang w:val="en-US" w:eastAsia="zh-CN"/>
          <w14:textFill>
            <w14:solidFill>
              <w14:schemeClr w14:val="tx1"/>
            </w14:solidFill>
          </w14:textFill>
        </w:rPr>
        <w:t>I</w:t>
      </w:r>
      <w:bookmarkStart w:id="0" w:name="_GoBack"/>
      <w:bookmarkEnd w:id="0"/>
      <w:r>
        <w:rPr>
          <w:rFonts w:hint="default" w:ascii="Times New Roman" w:hAnsi="Times New Roman" w:eastAsia="宋体" w:cs="Times New Roman"/>
          <w:color w:val="000000" w:themeColor="text1"/>
          <w:sz w:val="24"/>
          <w:szCs w:val="24"/>
          <w:u w:val="none"/>
          <w14:textFill>
            <w14:solidFill>
              <w14:schemeClr w14:val="tx1"/>
            </w14:solidFill>
          </w14:textFill>
        </w:rPr>
        <w:t>ndex-I, CRI-I) and sarcopenia status were both defined using measurements collected in the 2015 wave (blood biomarkers, anthropometrics, grip strength, and physical performance). Therefore, the present study represents a cross-sectional analysis anchored at the 2015 wave among participants originating from the 2013/2015 refresh samples.</w:t>
      </w:r>
    </w:p>
    <w:p w14:paraId="1D4D0C1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sz w:val="24"/>
          <w:szCs w:val="24"/>
        </w:rPr>
      </w:pPr>
    </w:p>
    <w:p w14:paraId="189A7FA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eastAsia" w:ascii="Times New Roman" w:hAnsi="Times New Roman" w:eastAsia="宋体" w:cs="Times New Roman"/>
          <w:b/>
          <w:bCs/>
          <w:color w:val="000000" w:themeColor="text1"/>
          <w:sz w:val="28"/>
          <w:szCs w:val="28"/>
          <w:u w:val="none"/>
          <w:lang w:val="en-US" w:eastAsia="zh-CN"/>
          <w14:textFill>
            <w14:solidFill>
              <w14:schemeClr w14:val="tx1"/>
            </w14:solidFill>
          </w14:textFill>
        </w:rPr>
      </w:pPr>
      <w:r>
        <w:rPr>
          <w:rFonts w:ascii="Times New Roman" w:hAnsi="Times New Roman" w:eastAsia="宋体"/>
          <w:b/>
          <w:bCs/>
          <w:color w:val="000000" w:themeColor="text1"/>
          <w:kern w:val="2"/>
          <w:sz w:val="28"/>
          <w:szCs w:val="28"/>
          <w:u w:val="none"/>
          <w14:textFill>
            <w14:solidFill>
              <w14:schemeClr w14:val="tx1"/>
            </w14:solidFill>
          </w14:textFill>
        </w:rPr>
        <w:t>Calculation of non-traditional lipid indices</w:t>
      </w:r>
      <w:r>
        <w:rPr>
          <w:rFonts w:hint="eastAsia" w:ascii="Times New Roman" w:hAnsi="Times New Roman" w:eastAsia="宋体"/>
          <w:b/>
          <w:bCs/>
          <w:color w:val="000000" w:themeColor="text1"/>
          <w:kern w:val="2"/>
          <w:sz w:val="28"/>
          <w:szCs w:val="28"/>
          <w:u w:val="none"/>
          <w:lang w:val="en-US" w:eastAsia="zh-CN"/>
          <w14:textFill>
            <w14:solidFill>
              <w14:schemeClr w14:val="tx1"/>
            </w14:solidFill>
          </w14:textFill>
        </w:rPr>
        <w:t>:</w:t>
      </w:r>
    </w:p>
    <w:p w14:paraId="644E30F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sz w:val="24"/>
          <w:szCs w:val="24"/>
          <w:lang w:val="en-US" w:eastAsia="zh-CN"/>
        </w:rPr>
      </w:pPr>
      <w:r>
        <w:rPr>
          <w:rFonts w:ascii="Times New Roman" w:hAnsi="Times New Roman" w:eastAsia="宋体" w:cs="Times New Roman"/>
          <w:color w:val="000000"/>
          <w:sz w:val="24"/>
          <w:lang w:bidi="ar"/>
        </w:rPr>
        <w:t>Castelli Risk Index-I</w:t>
      </w:r>
      <w:r>
        <w:rPr>
          <w:rFonts w:hint="eastAsia" w:ascii="Times New Roman" w:hAnsi="Times New Roman" w:eastAsia="宋体" w:cs="Times New Roman"/>
          <w:color w:val="000000"/>
          <w:sz w:val="24"/>
          <w:lang w:val="en-US" w:eastAsia="zh-CN" w:bidi="ar"/>
        </w:rPr>
        <w:t xml:space="preserve"> </w:t>
      </w:r>
      <w:r>
        <w:rPr>
          <w:rFonts w:hint="default" w:ascii="Times New Roman" w:hAnsi="Times New Roman" w:eastAsia="宋体" w:cs="Times New Roman"/>
          <w:kern w:val="2"/>
          <w:sz w:val="24"/>
          <w:szCs w:val="24"/>
          <w:lang w:val="en-US" w:eastAsia="zh-CN" w:bidi="ar-SA"/>
        </w:rPr>
        <w:t xml:space="preserve">(CRI-I) = </w:t>
      </w:r>
      <w:r>
        <w:rPr>
          <w:rFonts w:hint="default" w:ascii="Times New Roman" w:hAnsi="Times New Roman" w:eastAsia="宋体" w:cs="Times New Roman"/>
          <w:kern w:val="2"/>
          <w:sz w:val="24"/>
          <w:szCs w:val="24"/>
          <w:u w:val="none"/>
          <w:lang w:val="en-US" w:eastAsia="zh-CN" w:bidi="ar-SA"/>
        </w:rPr>
        <w:t>TC/HDL-C</w:t>
      </w:r>
      <w:r>
        <w:rPr>
          <w:rFonts w:hint="eastAsia" w:ascii="Times New Roman" w:hAnsi="Times New Roman" w:eastAsia="宋体" w:cs="Times New Roman"/>
          <w:kern w:val="2"/>
          <w:sz w:val="24"/>
          <w:szCs w:val="24"/>
          <w:u w:val="none"/>
          <w:lang w:val="en-US" w:eastAsia="zh-CN" w:bidi="ar-SA"/>
        </w:rPr>
        <w:t xml:space="preserve"> [1];</w:t>
      </w:r>
    </w:p>
    <w:p w14:paraId="01C290C4">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kern w:val="2"/>
          <w:sz w:val="24"/>
          <w:szCs w:val="24"/>
          <w:lang w:val="en-US" w:eastAsia="zh-CN" w:bidi="ar-SA"/>
        </w:rPr>
        <w:t>L</w:t>
      </w:r>
      <w:r>
        <w:rPr>
          <w:rFonts w:hint="default" w:ascii="Times New Roman" w:hAnsi="Times New Roman" w:eastAsia="宋体" w:cs="Times New Roman"/>
          <w:kern w:val="2"/>
          <w:sz w:val="24"/>
          <w:szCs w:val="24"/>
          <w:lang w:val="en-US" w:eastAsia="zh-CN" w:bidi="ar-SA"/>
        </w:rPr>
        <w:t>poprotein combine</w:t>
      </w:r>
      <w:r>
        <w:rPr>
          <w:rFonts w:hint="eastAsia" w:ascii="Times New Roman" w:hAnsi="Times New Roman" w:eastAsia="宋体" w:cs="Times New Roman"/>
          <w:kern w:val="2"/>
          <w:sz w:val="24"/>
          <w:szCs w:val="24"/>
          <w:lang w:val="en-US" w:eastAsia="zh-CN" w:bidi="ar-SA"/>
        </w:rPr>
        <w:t>d</w:t>
      </w:r>
      <w:r>
        <w:rPr>
          <w:rFonts w:hint="default" w:ascii="Times New Roman" w:hAnsi="Times New Roman" w:eastAsia="宋体" w:cs="Times New Roman"/>
          <w:kern w:val="2"/>
          <w:sz w:val="24"/>
          <w:szCs w:val="24"/>
          <w:lang w:val="en-US" w:eastAsia="zh-CN" w:bidi="ar-SA"/>
        </w:rPr>
        <w:t xml:space="preserve"> index (LCI) = TC × TG × LDL-C/HDL-C</w:t>
      </w:r>
      <w:r>
        <w:rPr>
          <w:rFonts w:hint="eastAsia" w:ascii="Times New Roman" w:hAnsi="Times New Roman" w:eastAsia="宋体" w:cs="Times New Roman"/>
          <w:kern w:val="2"/>
          <w:sz w:val="24"/>
          <w:szCs w:val="24"/>
          <w:lang w:val="en-US" w:eastAsia="zh-CN" w:bidi="ar-SA"/>
        </w:rPr>
        <w:t xml:space="preserve"> [2]</w:t>
      </w:r>
      <w:r>
        <w:rPr>
          <w:rFonts w:hint="default" w:ascii="Times New Roman" w:hAnsi="Times New Roman" w:eastAsia="宋体" w:cs="Times New Roman"/>
          <w:kern w:val="2"/>
          <w:sz w:val="24"/>
          <w:szCs w:val="24"/>
          <w:lang w:val="en-US" w:eastAsia="zh-CN" w:bidi="ar-SA"/>
        </w:rPr>
        <w:t xml:space="preserve">; </w:t>
      </w:r>
    </w:p>
    <w:p w14:paraId="7D75253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Atherogenic index of plasma (AIP) = log10(TG/HDL-C)</w:t>
      </w:r>
      <w:r>
        <w:rPr>
          <w:rFonts w:hint="eastAsia" w:ascii="Times New Roman" w:hAnsi="Times New Roman" w:eastAsia="宋体" w:cs="Times New Roman"/>
          <w:kern w:val="2"/>
          <w:sz w:val="24"/>
          <w:szCs w:val="24"/>
          <w:lang w:val="en-US" w:eastAsia="zh-CN" w:bidi="ar-SA"/>
        </w:rPr>
        <w:t xml:space="preserve"> [3]</w:t>
      </w:r>
      <w:r>
        <w:rPr>
          <w:rFonts w:hint="default" w:ascii="Times New Roman" w:hAnsi="Times New Roman" w:eastAsia="宋体" w:cs="Times New Roman"/>
          <w:kern w:val="2"/>
          <w:sz w:val="24"/>
          <w:szCs w:val="24"/>
          <w:lang w:val="en-US" w:eastAsia="zh-CN" w:bidi="ar-SA"/>
        </w:rPr>
        <w:t xml:space="preserve">; </w:t>
      </w:r>
    </w:p>
    <w:p w14:paraId="5E868F01">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eastAsia" w:ascii="Times New Roman" w:hAnsi="Times New Roman" w:eastAsia="宋体" w:cs="Times New Roman"/>
          <w:b w:val="0"/>
          <w:bCs w:val="0"/>
          <w:color w:val="000000" w:themeColor="text1"/>
          <w:sz w:val="24"/>
          <w:szCs w:val="24"/>
          <w:lang w:val="en-US" w:eastAsia="zh-CN"/>
          <w14:textFill>
            <w14:solidFill>
              <w14:schemeClr w14:val="tx1"/>
            </w14:solidFill>
          </w14:textFill>
        </w:rPr>
        <w:t>N</w:t>
      </w:r>
      <w:r>
        <w:rPr>
          <w:rFonts w:hint="default" w:ascii="Times New Roman" w:hAnsi="Times New Roman" w:eastAsia="宋体" w:cs="Times New Roman"/>
          <w:b w:val="0"/>
          <w:bCs w:val="0"/>
          <w:color w:val="000000" w:themeColor="text1"/>
          <w:sz w:val="24"/>
          <w:szCs w:val="24"/>
          <w14:textFill>
            <w14:solidFill>
              <w14:schemeClr w14:val="tx1"/>
            </w14:solidFill>
          </w14:textFill>
        </w:rPr>
        <w:t>on–HDL-C</w:t>
      </w:r>
      <w:r>
        <w:rPr>
          <w:rFonts w:hint="default" w:ascii="Times New Roman" w:hAnsi="Times New Roman" w:eastAsia="宋体" w:cs="Times New Roman"/>
          <w:kern w:val="2"/>
          <w:sz w:val="24"/>
          <w:szCs w:val="24"/>
          <w:lang w:val="en-US" w:eastAsia="zh-CN" w:bidi="ar-SA"/>
        </w:rPr>
        <w:t xml:space="preserve"> = TC − HDL-C</w:t>
      </w:r>
      <w:r>
        <w:rPr>
          <w:rFonts w:hint="eastAsia" w:ascii="Times New Roman" w:hAnsi="Times New Roman" w:eastAsia="宋体" w:cs="Times New Roman"/>
          <w:kern w:val="2"/>
          <w:sz w:val="24"/>
          <w:szCs w:val="24"/>
          <w:lang w:val="en-US" w:eastAsia="zh-CN" w:bidi="ar-SA"/>
        </w:rPr>
        <w:t xml:space="preserve"> [1]</w:t>
      </w:r>
      <w:r>
        <w:rPr>
          <w:rFonts w:hint="default" w:ascii="Times New Roman" w:hAnsi="Times New Roman" w:eastAsia="宋体" w:cs="Times New Roman"/>
          <w:kern w:val="2"/>
          <w:sz w:val="24"/>
          <w:szCs w:val="24"/>
          <w:lang w:val="en-US" w:eastAsia="zh-CN" w:bidi="ar-SA"/>
        </w:rPr>
        <w:t xml:space="preserve">; </w:t>
      </w:r>
    </w:p>
    <w:p w14:paraId="55C454A6">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Castelli index-II (CRI-II) = LDL-C/HDL-C</w:t>
      </w:r>
      <w:r>
        <w:rPr>
          <w:rFonts w:hint="eastAsia" w:ascii="Times New Roman" w:hAnsi="Times New Roman" w:eastAsia="宋体" w:cs="Times New Roman"/>
          <w:kern w:val="2"/>
          <w:sz w:val="24"/>
          <w:szCs w:val="24"/>
          <w:lang w:val="en-US" w:eastAsia="zh-CN" w:bidi="ar-SA"/>
        </w:rPr>
        <w:t xml:space="preserve"> [4] </w:t>
      </w:r>
      <w:r>
        <w:rPr>
          <w:rFonts w:hint="default" w:ascii="Times New Roman" w:hAnsi="Times New Roman" w:eastAsia="宋体" w:cs="Times New Roman"/>
          <w:kern w:val="2"/>
          <w:sz w:val="24"/>
          <w:szCs w:val="24"/>
          <w:lang w:val="en-US" w:eastAsia="zh-CN" w:bidi="ar-SA"/>
        </w:rPr>
        <w:t xml:space="preserve">; </w:t>
      </w:r>
    </w:p>
    <w:p w14:paraId="57830F9E">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eastAsia"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Remnant cholesterol (RC) = TC − HDL-C − LDL-C</w:t>
      </w:r>
      <w:r>
        <w:rPr>
          <w:rFonts w:hint="eastAsia" w:ascii="Times New Roman" w:hAnsi="Times New Roman" w:eastAsia="宋体" w:cs="Times New Roman"/>
          <w:kern w:val="2"/>
          <w:sz w:val="24"/>
          <w:szCs w:val="24"/>
          <w:lang w:val="en-US" w:eastAsia="zh-CN" w:bidi="ar-SA"/>
        </w:rPr>
        <w:t xml:space="preserve"> [5]</w:t>
      </w:r>
    </w:p>
    <w:p w14:paraId="0C83EE32">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u w:val="none"/>
          <w:lang w:val="en-US" w:eastAsia="zh-CN" w:bidi="ar-SA"/>
        </w:rPr>
      </w:pPr>
      <w:r>
        <w:rPr>
          <w:rFonts w:hint="default" w:ascii="Times New Roman" w:hAnsi="Times New Roman" w:eastAsia="宋体" w:cs="Times New Roman"/>
          <w:kern w:val="2"/>
          <w:sz w:val="24"/>
          <w:szCs w:val="24"/>
          <w:u w:val="none"/>
          <w:lang w:val="en-US" w:eastAsia="zh-CN" w:bidi="ar-SA"/>
        </w:rPr>
        <w:t>RC/HDL-C ratio= RC/HDL-C.</w:t>
      </w:r>
    </w:p>
    <w:p w14:paraId="390A8E0C"/>
    <w:p w14:paraId="4445140D">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b/>
          <w:bCs/>
          <w:kern w:val="2"/>
          <w:sz w:val="28"/>
          <w:szCs w:val="28"/>
          <w:lang w:val="en-US" w:eastAsia="zh-CN" w:bidi="ar-SA"/>
        </w:rPr>
      </w:pPr>
      <w:r>
        <w:rPr>
          <w:rFonts w:hint="default" w:ascii="Times New Roman" w:hAnsi="Times New Roman" w:eastAsia="宋体" w:cs="Times New Roman"/>
          <w:b/>
          <w:bCs/>
          <w:kern w:val="2"/>
          <w:sz w:val="28"/>
          <w:szCs w:val="28"/>
          <w:lang w:val="en-US" w:eastAsia="zh-CN" w:bidi="ar-SA"/>
        </w:rPr>
        <w:t>Data Collection Methods and Measurement Protocols</w:t>
      </w:r>
      <w:r>
        <w:rPr>
          <w:rFonts w:hint="eastAsia" w:ascii="Times New Roman" w:hAnsi="Times New Roman" w:eastAsia="宋体" w:cs="Times New Roman"/>
          <w:b/>
          <w:bCs/>
          <w:kern w:val="2"/>
          <w:sz w:val="28"/>
          <w:szCs w:val="28"/>
          <w:lang w:val="en-US" w:eastAsia="zh-CN" w:bidi="ar-SA"/>
        </w:rPr>
        <w:t>:</w:t>
      </w:r>
    </w:p>
    <w:p w14:paraId="618CA6EF">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The assessment of sarcopenia in the CHARLS followed standardized protocols and utilized calibrated equipment to ensure measurement accuracy and reproducibility. Grip strength was measured using a handheld dynamometer (Nantong Yuejian Physical Measurement Instrument Co., Ltd., Nantong, China). Participants were instructed to squeeze the device as forcefully as possible, and readings from both hands were recorded. Anthropometric measurements were obtained with precision instruments, including a stadiometer (Seca™ 213, Seca Trading, Hangzhou, China) for height and a digital scale (Omron™ HN-286, Krell Precision [Yangzhou] Co., Ltd., Yangzhou, China) for weight. Physical performance was evaluated using the five-times chair stand test with standardized chairs (height = 47 cm), while gait speed was assessed over a 2.5-meter course at a normal walking pace, with two timed trials performed for each participant.</w:t>
      </w:r>
    </w:p>
    <w:p w14:paraId="22BEE868">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kern w:val="2"/>
          <w:sz w:val="24"/>
          <w:szCs w:val="24"/>
          <w:lang w:val="en-US" w:eastAsia="zh-CN" w:bidi="ar-SA"/>
        </w:rPr>
      </w:pPr>
      <w:r>
        <w:rPr>
          <w:rFonts w:hint="default" w:ascii="Times New Roman" w:hAnsi="Times New Roman" w:eastAsia="宋体" w:cs="Times New Roman"/>
          <w:kern w:val="2"/>
          <w:sz w:val="24"/>
          <w:szCs w:val="24"/>
          <w:lang w:val="en-US" w:eastAsia="zh-CN" w:bidi="ar-SA"/>
        </w:rPr>
        <w:t>Blood sample collection adhered to standardized procedures jointly established with the Chinese Center for Disease Control and Prevention (CDC). All participants were instructed to fast for at least 12 hours prior to blood draw, and more than 92% reported compliance. Venous blood samples were obtained by certified CDC medical personnel, with three tubes collected from each participant. The first tube (2 mL) was used for complete blood count testing at local CDC laboratories or health centers, over 97% of which participated in national quality control programs. The second tube (4 mL) was centrifuged to separate plasma and subsequently stored at −80°C for biochemical assays. The third tube (2 mL) was reserved for the measurement of glycosylated hemoglobin (HbA1c).</w:t>
      </w:r>
      <w:r>
        <w:rPr>
          <w:rFonts w:hint="eastAsia" w:ascii="Times New Roman" w:hAnsi="Times New Roman" w:eastAsia="宋体" w:cs="Times New Roman"/>
          <w:kern w:val="2"/>
          <w:sz w:val="24"/>
          <w:szCs w:val="24"/>
          <w:lang w:val="en-US" w:eastAsia="zh-CN" w:bidi="ar-SA"/>
        </w:rPr>
        <w:t xml:space="preserve"> </w:t>
      </w:r>
      <w:r>
        <w:rPr>
          <w:rFonts w:hint="default" w:ascii="Times New Roman" w:hAnsi="Times New Roman" w:eastAsia="宋体" w:cs="Times New Roman"/>
          <w:kern w:val="2"/>
          <w:sz w:val="24"/>
          <w:szCs w:val="24"/>
          <w:lang w:val="en-US" w:eastAsia="zh-CN" w:bidi="ar-SA"/>
        </w:rPr>
        <w:t xml:space="preserve">Biochemical analyses were conducted at the Youanmen Center for Clinical Laboratory, Capital Medical University. Frozen plasma samples were analyzed for high-sensitivity C-reactive protein (hsCRP), hemoglobin A1c (HbA1c), lipid profile components (including total cholesterol and </w:t>
      </w:r>
      <w:r>
        <w:rPr>
          <w:rFonts w:ascii="Times New Roman" w:hAnsi="Times New Roman" w:eastAsia="宋体" w:cs="Times New Roman"/>
          <w:bCs/>
          <w:color w:val="auto"/>
          <w:kern w:val="0"/>
          <w:sz w:val="24"/>
          <w:szCs w:val="24"/>
          <w:u w:val="none"/>
          <w:lang w:val="en-US" w:eastAsia="zh-CN" w:bidi="ar-SA"/>
        </w:rPr>
        <w:t>high-density lipoprotein cholesterol</w:t>
      </w:r>
      <w:r>
        <w:rPr>
          <w:rFonts w:hint="default" w:ascii="Times New Roman" w:hAnsi="Times New Roman" w:eastAsia="宋体" w:cs="Times New Roman"/>
          <w:kern w:val="2"/>
          <w:sz w:val="24"/>
          <w:szCs w:val="24"/>
          <w:lang w:val="en-US" w:eastAsia="zh-CN" w:bidi="ar-SA"/>
        </w:rPr>
        <w:t>), glucose, and renal function markers using standardized and validated analytical methods.</w:t>
      </w:r>
    </w:p>
    <w:p w14:paraId="74EC5FFC">
      <w:pPr>
        <w:pStyle w:val="3"/>
        <w:keepNext w:val="0"/>
        <w:keepLines w:val="0"/>
        <w:pageBreakBefore w:val="0"/>
        <w:widowControl/>
        <w:suppressLineNumbers w:val="0"/>
        <w:kinsoku/>
        <w:wordWrap/>
        <w:overflowPunct/>
        <w:topLinePunct w:val="0"/>
        <w:autoSpaceDE/>
        <w:autoSpaceDN/>
        <w:bidi w:val="0"/>
        <w:adjustRightInd/>
        <w:snapToGrid/>
        <w:spacing w:beforeAutospacing="0" w:afterAutospacing="0" w:line="480" w:lineRule="auto"/>
        <w:jc w:val="both"/>
        <w:textAlignment w:val="auto"/>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pPr>
      <w:r>
        <w:rPr>
          <w:rFonts w:hint="default" w:ascii="Times New Roman" w:hAnsi="Times New Roman" w:eastAsia="宋体" w:cs="Times New Roman"/>
          <w:kern w:val="2"/>
          <w:sz w:val="24"/>
          <w:szCs w:val="24"/>
          <w:lang w:val="en-US" w:eastAsia="zh-CN" w:bidi="ar-SA"/>
        </w:rPr>
        <w:t xml:space="preserve">Sociodemographic factors were age, gender, education (below high school </w:t>
      </w:r>
      <w:r>
        <w:rPr>
          <w:rFonts w:hint="eastAsia" w:ascii="Times New Roman" w:hAnsi="Times New Roman" w:eastAsia="宋体" w:cs="Times New Roman"/>
          <w:kern w:val="2"/>
          <w:sz w:val="24"/>
          <w:szCs w:val="24"/>
          <w:lang w:val="en-US" w:eastAsia="zh-CN" w:bidi="ar-SA"/>
        </w:rPr>
        <w:t>or</w:t>
      </w:r>
      <w:r>
        <w:rPr>
          <w:rFonts w:hint="default" w:ascii="Times New Roman" w:hAnsi="Times New Roman" w:eastAsia="宋体" w:cs="Times New Roman"/>
          <w:kern w:val="2"/>
          <w:sz w:val="24"/>
          <w:szCs w:val="24"/>
          <w:lang w:val="en-US" w:eastAsia="zh-CN" w:bidi="ar-SA"/>
        </w:rPr>
        <w:t xml:space="preserve"> high</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school and above), marital status (married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or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other), and residence (agricultural or</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non-agricultural). Lifestyle factors included smoking (yes</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or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no),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alcohol consumption</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(yes</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or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no), social</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izing</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(yes</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or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no), and sleep (hours). Health-related variables comprised hypertension, diabetes, stroke, and body mass index (BMI). Hypertension was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defined</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if participants reported a diagnosis, used antihypertensive medication, or had systolic blood pressure ≥ 140 mmHg or diastolic blood pressure ≥ 90 mmHg</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[6]</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sz w:val="24"/>
          <w:szCs w:val="24"/>
        </w:rPr>
        <w:t>Diabetes was diagnosed based on self-reported diagnosis, use of glucose-lowering medication, or</w:t>
      </w:r>
      <w:r>
        <w:rPr>
          <w:rFonts w:hint="eastAsia" w:ascii="Times New Roman" w:hAnsi="Times New Roman" w:eastAsia="宋体" w:cs="Times New Roman"/>
          <w:sz w:val="24"/>
          <w:szCs w:val="24"/>
          <w:lang w:val="en-US" w:eastAsia="zh-CN"/>
        </w:rPr>
        <w:t xml:space="preserve"> </w:t>
      </w:r>
      <w:r>
        <w:rPr>
          <w:rFonts w:hint="eastAsia" w:ascii="Times New Roman" w:hAnsi="Times New Roman" w:eastAsia="宋体" w:cs="Times New Roman"/>
          <w:sz w:val="24"/>
          <w:szCs w:val="24"/>
        </w:rPr>
        <w:t>fasting plasma glucose</w:t>
      </w:r>
      <w:r>
        <w:rPr>
          <w:rFonts w:hint="default" w:ascii="Times New Roman" w:hAnsi="Times New Roman" w:eastAsia="宋体" w:cs="Times New Roman"/>
          <w:sz w:val="24"/>
          <w:szCs w:val="24"/>
        </w:rPr>
        <w:t xml:space="preserve"> </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FPG</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 xml:space="preserve"> ≥ 7.0 mmol/L</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or HbA1c ≥ 6.5%</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7</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 Stroke was defined by self-report diagnosis or related medication use. BMI was calculated as body weight divided by height squared</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kg/m</w:t>
      </w:r>
      <w:r>
        <w:rPr>
          <w:rFonts w:hint="default" w:ascii="Times New Roman" w:hAnsi="Times New Roman" w:eastAsia="宋体" w:cs="Times New Roman"/>
          <w:color w:val="000000" w:themeColor="text1"/>
          <w:kern w:val="2"/>
          <w:sz w:val="24"/>
          <w:szCs w:val="24"/>
          <w:vertAlign w:val="superscript"/>
          <w:lang w:val="en-US" w:eastAsia="zh-CN" w:bidi="ar-SA"/>
          <w14:textFill>
            <w14:solidFill>
              <w14:schemeClr w14:val="tx1"/>
            </w14:solidFill>
          </w14:textFill>
        </w:rPr>
        <w:t>2</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lang w:val="en-US" w:eastAsia="zh-CN" w:bidi="ar-SA"/>
          <w14:textFill>
            <w14:solidFill>
              <w14:schemeClr w14:val="tx1"/>
            </w14:solidFill>
          </w14:textFill>
        </w:rPr>
        <w:t xml:space="preserve"> </w:t>
      </w:r>
      <w:r>
        <w:rPr>
          <w:rFonts w:hint="default" w:ascii="Times New Roman" w:hAnsi="Times New Roman" w:eastAsia="宋体" w:cs="Times New Roman"/>
          <w:color w:val="000000" w:themeColor="text1"/>
          <w:kern w:val="2"/>
          <w:sz w:val="24"/>
          <w:szCs w:val="24"/>
          <w:lang w:val="en-US" w:eastAsia="zh-CN" w:bidi="ar-SA"/>
          <w14:textFill>
            <w14:solidFill>
              <w14:schemeClr w14:val="tx1"/>
            </w14:solidFill>
          </w14:textFill>
        </w:rPr>
        <w:t>Biochemical factors included TG, TC, HDL-C, LDL-C, FPG, HbA1c, and hsCRP.</w:t>
      </w:r>
    </w:p>
    <w:p w14:paraId="41ED9443"/>
    <w:p w14:paraId="68A05AFD"/>
    <w:p w14:paraId="35D8DC90"/>
    <w:p w14:paraId="56B13955">
      <w:pPr>
        <w:rPr>
          <w:b/>
          <w:bCs/>
          <w:sz w:val="24"/>
          <w:szCs w:val="32"/>
        </w:rPr>
      </w:pPr>
    </w:p>
    <w:p w14:paraId="77B95C9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textAlignment w:val="auto"/>
        <w:rPr>
          <w:rFonts w:hint="default" w:ascii="Times New Roman" w:hAnsi="Times New Roman" w:eastAsia="Segoe UI" w:cs="Times New Roman"/>
          <w:b/>
          <w:bCs/>
          <w:i w:val="0"/>
          <w:iCs w:val="0"/>
          <w:caps w:val="0"/>
          <w:color w:val="212121"/>
          <w:spacing w:val="0"/>
          <w:sz w:val="32"/>
          <w:szCs w:val="32"/>
          <w:shd w:val="clear" w:fill="FFFFFF"/>
          <w:lang w:val="en-US" w:eastAsia="zh-CN"/>
        </w:rPr>
      </w:pPr>
      <w:r>
        <w:rPr>
          <w:rFonts w:hint="eastAsia" w:ascii="Times New Roman" w:hAnsi="Times New Roman" w:eastAsia="Segoe UI" w:cs="Times New Roman"/>
          <w:b/>
          <w:bCs/>
          <w:i w:val="0"/>
          <w:iCs w:val="0"/>
          <w:caps w:val="0"/>
          <w:color w:val="212121"/>
          <w:spacing w:val="0"/>
          <w:sz w:val="32"/>
          <w:szCs w:val="32"/>
          <w:shd w:val="clear" w:fill="FFFFFF"/>
          <w:lang w:val="en-US" w:eastAsia="zh-CN"/>
        </w:rPr>
        <w:t>Reference</w:t>
      </w:r>
    </w:p>
    <w:p w14:paraId="3B190A0D">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Segoe UI" w:cs="Times New Roman"/>
          <w:i w:val="0"/>
          <w:iCs w:val="0"/>
          <w:caps w:val="0"/>
          <w:color w:val="212121"/>
          <w:spacing w:val="0"/>
          <w:sz w:val="24"/>
          <w:szCs w:val="24"/>
          <w:shd w:val="clear" w:fill="FFFFFF"/>
        </w:rPr>
      </w:pPr>
      <w:r>
        <w:rPr>
          <w:rFonts w:hint="default" w:ascii="Times New Roman" w:hAnsi="Times New Roman" w:eastAsia="Segoe UI" w:cs="Times New Roman"/>
          <w:i w:val="0"/>
          <w:iCs w:val="0"/>
          <w:caps w:val="0"/>
          <w:color w:val="212121"/>
          <w:spacing w:val="0"/>
          <w:sz w:val="24"/>
          <w:szCs w:val="24"/>
          <w:shd w:val="clear" w:fill="FFFFFF"/>
        </w:rPr>
        <w:t xml:space="preserve">Li M, Zhang W, Zhang M, Li L, Wang D, Yan G, Qiao Y, Tang C. Nonlinear relationship between untraditional lipid parameters and the risk of prediabetes: a large retrospective study based on Chinese adults. Cardiovasc Diabetol. 2024 Jan 6;23(1):12. </w:t>
      </w:r>
    </w:p>
    <w:p w14:paraId="7629784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Segoe UI" w:cs="Times New Roman"/>
          <w:i w:val="0"/>
          <w:iCs w:val="0"/>
          <w:caps w:val="0"/>
          <w:color w:val="212121"/>
          <w:spacing w:val="0"/>
          <w:sz w:val="24"/>
          <w:szCs w:val="24"/>
          <w:shd w:val="clear" w:fill="FFFFFF"/>
        </w:rPr>
      </w:pPr>
      <w:r>
        <w:rPr>
          <w:rFonts w:hint="default" w:ascii="Times New Roman" w:hAnsi="Times New Roman" w:eastAsia="Segoe UI" w:cs="Times New Roman"/>
          <w:i w:val="0"/>
          <w:iCs w:val="0"/>
          <w:caps w:val="0"/>
          <w:color w:val="212121"/>
          <w:spacing w:val="0"/>
          <w:sz w:val="24"/>
          <w:szCs w:val="24"/>
          <w:shd w:val="clear" w:fill="FFFFFF"/>
        </w:rPr>
        <w:t xml:space="preserve">Si Y, Liu J, Han C, Wang R, Liu T, Sun L. The correlation of retinol-binding protein-4 and lipoprotein combine index with the prevalence and diagnosis of acute coronary syndrome. Heart Vessels. 2020 Nov;35(11):1494-1501. </w:t>
      </w:r>
    </w:p>
    <w:p w14:paraId="06D6568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宋体" w:cs="Times New Roman"/>
          <w:i w:val="0"/>
          <w:iCs w:val="0"/>
          <w:caps w:val="0"/>
          <w:color w:val="212121"/>
          <w:spacing w:val="0"/>
          <w:sz w:val="24"/>
          <w:szCs w:val="24"/>
          <w:shd w:val="clear" w:fill="FFFFFF"/>
          <w:lang w:val="en-US" w:eastAsia="zh-CN"/>
        </w:rPr>
      </w:pPr>
      <w:r>
        <w:rPr>
          <w:rFonts w:hint="default" w:ascii="Times New Roman" w:hAnsi="Times New Roman" w:eastAsia="Segoe UI" w:cs="Times New Roman"/>
          <w:i w:val="0"/>
          <w:iCs w:val="0"/>
          <w:caps w:val="0"/>
          <w:color w:val="212121"/>
          <w:spacing w:val="0"/>
          <w:sz w:val="24"/>
          <w:szCs w:val="24"/>
          <w:shd w:val="clear" w:fill="FFFFFF"/>
        </w:rPr>
        <w:t>Lu B, Li J, Liang X, Wen M, Luo D, Jia H, Zhang J, Li G. Association between atherogenic index of plasma, body mass index, and sarcopenia: a cross-sectional and longitudinal analysis study based on older adults in China. Aging Clin Exp Res. 2025 Apr 7;37(1):122.</w:t>
      </w:r>
    </w:p>
    <w:p w14:paraId="026C5B23">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Segoe UI" w:cs="Times New Roman"/>
          <w:i w:val="0"/>
          <w:iCs w:val="0"/>
          <w:caps w:val="0"/>
          <w:color w:val="212121"/>
          <w:spacing w:val="0"/>
          <w:sz w:val="24"/>
          <w:szCs w:val="24"/>
          <w:shd w:val="clear" w:fill="FFFFFF"/>
          <w:lang w:val="en-US" w:eastAsia="zh-CN"/>
        </w:rPr>
      </w:pPr>
      <w:r>
        <w:rPr>
          <w:rFonts w:hint="default" w:ascii="Times New Roman" w:hAnsi="Times New Roman" w:eastAsia="Segoe UI" w:cs="Times New Roman"/>
          <w:i w:val="0"/>
          <w:iCs w:val="0"/>
          <w:caps w:val="0"/>
          <w:color w:val="212121"/>
          <w:spacing w:val="0"/>
          <w:sz w:val="24"/>
          <w:szCs w:val="24"/>
          <w:shd w:val="clear" w:fill="FFFFFF"/>
        </w:rPr>
        <w:t xml:space="preserve">Sujatha R, Kavitha S. Atherogenic indices in stroke patients: A retrospective study. Iran J Neurol. 2017 Apr 4;16(2):78-82. </w:t>
      </w:r>
    </w:p>
    <w:p w14:paraId="5C73E21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eastAsia" w:ascii="Times New Roman" w:hAnsi="Times New Roman" w:eastAsia="宋体" w:cs="Times New Roman"/>
          <w:i w:val="0"/>
          <w:iCs w:val="0"/>
          <w:caps w:val="0"/>
          <w:color w:val="212121"/>
          <w:spacing w:val="0"/>
          <w:sz w:val="24"/>
          <w:szCs w:val="24"/>
          <w:shd w:val="clear" w:fill="FFFFFF"/>
          <w:lang w:val="en-US" w:eastAsia="zh-CN"/>
        </w:rPr>
      </w:pPr>
      <w:r>
        <w:rPr>
          <w:rFonts w:hint="default" w:ascii="Times New Roman" w:hAnsi="Times New Roman" w:eastAsia="Segoe UI" w:cs="Times New Roman"/>
          <w:i w:val="0"/>
          <w:iCs w:val="0"/>
          <w:caps w:val="0"/>
          <w:color w:val="212121"/>
          <w:spacing w:val="0"/>
          <w:sz w:val="24"/>
          <w:szCs w:val="24"/>
          <w:shd w:val="clear" w:fill="FFFFFF"/>
        </w:rPr>
        <w:t>Gao Y, Hu Y, Xiang L. Remnant cholesterol, but not other cholesterol parameters, is associated with gestational diabetes mellitus in pregnant women: a prospective cohort study. J Transl Med. 2023;21(1):531.</w:t>
      </w:r>
    </w:p>
    <w:p w14:paraId="29FA1F8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Segoe UI" w:cs="Times New Roman"/>
          <w:i w:val="0"/>
          <w:iCs w:val="0"/>
          <w:caps w:val="0"/>
          <w:color w:val="212121"/>
          <w:spacing w:val="0"/>
          <w:sz w:val="24"/>
          <w:szCs w:val="24"/>
          <w:shd w:val="clear" w:fill="FFFFFF"/>
          <w:lang w:val="en-US" w:eastAsia="zh-CN"/>
        </w:rPr>
      </w:pPr>
      <w:r>
        <w:rPr>
          <w:rFonts w:hint="default" w:ascii="Times New Roman" w:hAnsi="Times New Roman" w:eastAsia="Segoe UI" w:cs="Times New Roman"/>
          <w:i w:val="0"/>
          <w:iCs w:val="0"/>
          <w:caps w:val="0"/>
          <w:color w:val="212121"/>
          <w:spacing w:val="0"/>
          <w:sz w:val="24"/>
          <w:szCs w:val="24"/>
          <w:shd w:val="clear" w:fill="FFFFFF"/>
        </w:rPr>
        <w:t>Whelton PK, Carey RM, Aronow WS, et al. 2017 ACC/AHA/AAPA/ABC/ACPM/AGS/APhA/ASH/ASPC/NMA/PCNA guideline for the prevention, detection, evaluation, and management of high blood pressure in adults: a report of the American college of cardiology/american heart association task force on clinical practice guidelines. Hypertension. 2018;71(6):e13–115.</w:t>
      </w:r>
    </w:p>
    <w:p w14:paraId="4F7D0A8C">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425" w:leftChars="0" w:hanging="425" w:firstLineChars="0"/>
        <w:textAlignment w:val="auto"/>
        <w:rPr>
          <w:rFonts w:hint="default" w:ascii="Times New Roman" w:hAnsi="Times New Roman" w:eastAsia="Segoe UI" w:cs="Times New Roman"/>
          <w:i w:val="0"/>
          <w:iCs w:val="0"/>
          <w:caps w:val="0"/>
          <w:color w:val="212121"/>
          <w:spacing w:val="0"/>
          <w:sz w:val="24"/>
          <w:szCs w:val="24"/>
          <w:shd w:val="clear" w:fill="FFFFFF"/>
          <w:lang w:val="en-US" w:eastAsia="zh-CN"/>
        </w:rPr>
      </w:pPr>
      <w:r>
        <w:rPr>
          <w:rFonts w:hint="default" w:ascii="Times New Roman" w:hAnsi="Times New Roman" w:eastAsia="Segoe UI" w:cs="Times New Roman"/>
          <w:i w:val="0"/>
          <w:iCs w:val="0"/>
          <w:caps w:val="0"/>
          <w:color w:val="212121"/>
          <w:spacing w:val="0"/>
          <w:sz w:val="24"/>
          <w:szCs w:val="24"/>
          <w:shd w:val="clear" w:fill="FFFFFF"/>
        </w:rPr>
        <w:t xml:space="preserve">American Diabetes Association Professional Practice Committee. 2. Diagnosis and Classification of Diabetes: Standards of Care in Diabetes-2024. Diabetes Care. 2024 Jan 1;47(Suppl 1):S20-S42. </w:t>
      </w:r>
    </w:p>
    <w:sectPr>
      <w:pgSz w:w="11906" w:h="16838"/>
      <w:pgMar w:top="913" w:right="884" w:bottom="913" w:left="88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auto"/>
    <w:pitch w:val="default"/>
    <w:sig w:usb0="E4002EFF" w:usb1="C000247B" w:usb2="00000009" w:usb3="00000000" w:csb0="200001FF" w:csb1="00000000"/>
  </w:font>
  <w:font w:name="Segoe UI">
    <w:panose1 w:val="020B0502040204020203"/>
    <w:charset w:val="00"/>
    <w:family w:val="auto"/>
    <w:pitch w:val="default"/>
    <w:sig w:usb0="E4002EFF" w:usb1="C000E47F"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84F44"/>
    <w:multiLevelType w:val="singleLevel"/>
    <w:tmpl w:val="80F84F44"/>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282D9B"/>
    <w:rsid w:val="19C20208"/>
    <w:rsid w:val="1D5D6531"/>
    <w:rsid w:val="1EF0296D"/>
    <w:rsid w:val="2062574F"/>
    <w:rsid w:val="23BE3486"/>
    <w:rsid w:val="27AE0637"/>
    <w:rsid w:val="2C282D9B"/>
    <w:rsid w:val="31DF2DAB"/>
    <w:rsid w:val="34052A0C"/>
    <w:rsid w:val="3F051B12"/>
    <w:rsid w:val="402B1A4C"/>
    <w:rsid w:val="45BB48F3"/>
    <w:rsid w:val="47C8726D"/>
    <w:rsid w:val="62312A9A"/>
    <w:rsid w:val="64783DA8"/>
    <w:rsid w:val="67E25CFE"/>
    <w:rsid w:val="6A5C4A31"/>
    <w:rsid w:val="6D3276C6"/>
    <w:rsid w:val="7C71015A"/>
    <w:rsid w:val="7D265A02"/>
    <w:rsid w:val="7D9D06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paragraph" w:styleId="3">
    <w:name w:val="Normal (Web)"/>
    <w:basedOn w:val="1"/>
    <w:qFormat/>
    <w:uiPriority w:val="0"/>
    <w:pPr>
      <w:spacing w:beforeAutospacing="1" w:afterAutospacing="1"/>
      <w:jc w:val="left"/>
    </w:pPr>
    <w:rPr>
      <w:rFonts w:cs="Times New Roman"/>
      <w:kern w:val="0"/>
      <w:sz w:val="24"/>
    </w:rPr>
  </w:style>
  <w:style w:type="paragraph" w:styleId="4">
    <w:name w:val="Title"/>
    <w:basedOn w:val="1"/>
    <w:next w:val="1"/>
    <w:qFormat/>
    <w:uiPriority w:val="0"/>
    <w:pPr>
      <w:suppressLineNumbers/>
      <w:spacing w:before="240" w:after="360"/>
      <w:jc w:val="center"/>
    </w:pPr>
    <w:rPr>
      <w:rFonts w:cs="Times New Roman"/>
      <w:b/>
      <w:sz w:val="32"/>
      <w:szCs w:val="32"/>
    </w:rPr>
  </w:style>
  <w:style w:type="table" w:styleId="6">
    <w:name w:val="Table Grid"/>
    <w:basedOn w:val="5"/>
    <w:qFormat/>
    <w:uiPriority w:val="59"/>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22"/>
    <w:rPr>
      <w:b/>
    </w:rPr>
  </w:style>
  <w:style w:type="paragraph" w:customStyle="1" w:styleId="9">
    <w:name w:val="Supplementary Material"/>
    <w:basedOn w:val="4"/>
    <w:next w:val="4"/>
    <w:qFormat/>
    <w:uiPriority w:val="0"/>
    <w:pPr>
      <w:spacing w:after="120"/>
    </w:pPr>
    <w:rPr>
      <w: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830</Words>
  <Characters>5021</Characters>
  <Lines>0</Lines>
  <Paragraphs>0</Paragraphs>
  <TotalTime>0</TotalTime>
  <ScaleCrop>false</ScaleCrop>
  <LinksUpToDate>false</LinksUpToDate>
  <CharactersWithSpaces>5836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2025-11-07T08:33:00Z</dcterms:created>
  <dc:creator>凉忆</dc:creator>
  <cp:lastModifiedBy>凉忆</cp:lastModifiedBy>
  <dcterms:modified xsi:type="dcterms:W3CDTF">2026-01-25T16:09:08Z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E6C2BC288ADF441BBA8E4F517CA45FA2_13</vt:lpwstr>
  </property>
  <property fmtid="{D5CDD505-2E9C-101B-9397-08002B2CF9AE}" pid="4" name="KSOTemplateDocerSaveRecord">
    <vt:lpwstr>eyJoZGlkIjoiOGM0YzUzOTA5ZWUzZmVjYjFhNzg4MTVkMjVjOTBlYmYiLCJ1c2VySWQiOiIxMTIwMTE5MzY0In0=</vt:lpwstr>
  </property>
</Properties>
</file>