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82FE0" w14:textId="77777777" w:rsidR="00F87802" w:rsidRDefault="00F87802" w:rsidP="00DE43DA">
      <w:pPr>
        <w:pStyle w:val="ImageCaption"/>
      </w:pPr>
    </w:p>
    <w:p w14:paraId="1A32E97B" w14:textId="227DDBAD" w:rsidR="00F87802" w:rsidRDefault="00DE43DA">
      <w:r>
        <w:rPr>
          <w:rFonts w:hint="eastAsia"/>
        </w:rPr>
        <w:t xml:space="preserve">Table </w:t>
      </w:r>
      <w:r>
        <w:t>S</w:t>
      </w:r>
      <w:bookmarkStart w:id="0" w:name="_GoBack"/>
      <w:bookmarkEnd w:id="0"/>
      <w:r>
        <w:rPr>
          <w:rFonts w:hint="eastAsia"/>
        </w:rPr>
        <w:t xml:space="preserve">1. </w:t>
      </w:r>
      <w:proofErr w:type="gramStart"/>
      <w:r>
        <w:rPr>
          <w:rFonts w:hint="eastAsia"/>
        </w:rPr>
        <w:t xml:space="preserve">Baseline characteristics of the study population stratified by </w:t>
      </w:r>
      <w:proofErr w:type="spellStart"/>
      <w:r>
        <w:rPr>
          <w:rFonts w:hint="eastAsia"/>
        </w:rPr>
        <w:t>tertiles</w:t>
      </w:r>
      <w:proofErr w:type="spellEnd"/>
      <w:r>
        <w:rPr>
          <w:rFonts w:hint="eastAsia"/>
        </w:rPr>
        <w:t xml:space="preserve"> of cumulative </w:t>
      </w:r>
      <w:proofErr w:type="spellStart"/>
      <w:r>
        <w:rPr>
          <w:rFonts w:hint="eastAsia"/>
        </w:rPr>
        <w:t>atherogenic</w:t>
      </w:r>
      <w:proofErr w:type="spellEnd"/>
      <w:r>
        <w:rPr>
          <w:rFonts w:hint="eastAsia"/>
        </w:rPr>
        <w:t xml:space="preserve"> index of plasma (</w:t>
      </w:r>
      <w:proofErr w:type="spellStart"/>
      <w:r>
        <w:rPr>
          <w:rFonts w:hint="eastAsia"/>
        </w:rPr>
        <w:t>cumAIP</w:t>
      </w:r>
      <w:proofErr w:type="spellEnd"/>
      <w:r>
        <w:rPr>
          <w:rFonts w:hint="eastAsia"/>
        </w:rPr>
        <w:t>).</w:t>
      </w:r>
      <w:proofErr w:type="gramEnd"/>
    </w:p>
    <w:p w14:paraId="739CD56D" w14:textId="77777777" w:rsidR="00F87802" w:rsidRDefault="00F87802"/>
    <w:p w14:paraId="0D99FA40" w14:textId="77777777" w:rsidR="00F87802" w:rsidRDefault="00F87802"/>
    <w:tbl>
      <w:tblPr>
        <w:tblW w:w="12336" w:type="dxa"/>
        <w:jc w:val="center"/>
        <w:tblLayout w:type="fixed"/>
        <w:tblLook w:val="04A0" w:firstRow="1" w:lastRow="0" w:firstColumn="1" w:lastColumn="0" w:noHBand="0" w:noVBand="1"/>
      </w:tblPr>
      <w:tblGrid>
        <w:gridCol w:w="3322"/>
        <w:gridCol w:w="2611"/>
        <w:gridCol w:w="2611"/>
        <w:gridCol w:w="2611"/>
        <w:gridCol w:w="1181"/>
      </w:tblGrid>
      <w:tr w:rsidR="00F87802" w14:paraId="2B0021FE" w14:textId="77777777">
        <w:trPr>
          <w:trHeight w:val="90"/>
          <w:tblHeader/>
          <w:jc w:val="center"/>
        </w:trPr>
        <w:tc>
          <w:tcPr>
            <w:tcW w:w="332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F9DB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6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3C17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b/>
                <w:color w:val="000000"/>
                <w:sz w:val="22"/>
                <w:szCs w:val="22"/>
              </w:rPr>
              <w:t>T1</w:t>
            </w:r>
          </w:p>
        </w:tc>
        <w:tc>
          <w:tcPr>
            <w:tcW w:w="26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FDCF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b/>
                <w:color w:val="000000"/>
                <w:sz w:val="22"/>
                <w:szCs w:val="22"/>
              </w:rPr>
              <w:t>T2</w:t>
            </w:r>
          </w:p>
        </w:tc>
        <w:tc>
          <w:tcPr>
            <w:tcW w:w="26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0432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b/>
                <w:color w:val="000000"/>
                <w:sz w:val="22"/>
                <w:szCs w:val="22"/>
              </w:rPr>
              <w:t>T3</w:t>
            </w:r>
          </w:p>
        </w:tc>
        <w:tc>
          <w:tcPr>
            <w:tcW w:w="11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A3BC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F87802" w14:paraId="2C79A396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C01E8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8C1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61.28 ± 8.82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27906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60.91 ± 8.35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1F133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60.26 ± 8.52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E90C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0.016</w:t>
            </w:r>
          </w:p>
        </w:tc>
      </w:tr>
      <w:tr w:rsidR="00F87802" w14:paraId="747E657E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CF4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SimSun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Male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8AC4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619 (50%)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0261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553 (45%)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D069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531 (43%)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FBEE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0.001</w:t>
            </w:r>
          </w:p>
        </w:tc>
      </w:tr>
      <w:tr w:rsidR="00F87802" w14:paraId="24C27E48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8820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cs="Arial"/>
              </w:rPr>
              <w:t>Residential area (Urban)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556D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351 (29%)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2DDF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441 (36%)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798C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474 (39%)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44EAD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54B49525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F580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Marital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S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tatus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7E554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421FF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B895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8950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0.462</w:t>
            </w:r>
          </w:p>
        </w:tc>
      </w:tr>
      <w:tr w:rsidR="00F87802" w14:paraId="357794CA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BBEB6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Married and living with a spouse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F840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1,051 (85%)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0674C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1,063 (86%)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AA4A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1,080 (88%)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EA3E7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F87802" w14:paraId="4C45A301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3F9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Married but living without a spouse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20B1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42 (3.4%)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B1A3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42 (3.4%)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079E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41 (3.3%)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6C03B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F87802" w14:paraId="371077E4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131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 xml:space="preserve">Single, divorced, and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widowed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0E7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137 (11%)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74A7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125 (10%)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FA1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109 (8.9%)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9F66C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F87802" w14:paraId="64FADF4F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5DF0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Education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Status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39B0F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442B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D7E6F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E1378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0.025</w:t>
            </w:r>
          </w:p>
        </w:tc>
      </w:tr>
      <w:tr w:rsidR="00F87802" w14:paraId="755529AF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744B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Elementary school or below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96CD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837 (68%)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B2D6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808 (66%)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AA136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773 (63%)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A6897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F87802" w14:paraId="0D03FCCB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F22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Middle school or above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C439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393 (32%)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8E884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422 (34%)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736F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457 (37%)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17AD6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F87802" w14:paraId="4FF544F2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16C00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Annual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Household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Expenditure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2CFCD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12,393.16 ± 19,431.99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0FE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12,708.39 ± 20,460.87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75B2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14,142.21 ± 21,483.38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4F20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0.003</w:t>
            </w:r>
          </w:p>
        </w:tc>
      </w:tr>
      <w:tr w:rsidR="00F87802" w14:paraId="38EEE3D0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6BAF8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Smoking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Status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976D8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578 (47%)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B87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506 (41%)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C89EC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526 (43%)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ADC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0.010</w:t>
            </w:r>
          </w:p>
        </w:tc>
      </w:tr>
      <w:tr w:rsidR="00F87802" w14:paraId="048D65DE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7DC2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Drinking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Status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BB974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516 (42%)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0E2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431 (35%)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AE9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386 (31%)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4AE4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7450AC45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711C1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BMI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(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kg/m²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F031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23.30 ± 13.83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85288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25.35 ± 28.41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39276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26.03 ± 19.38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B870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25025F78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2AE0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SBP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(mmHg)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FACA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124.23 ± 19.48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9B5E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126.08 ± 18.94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DC21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130.00 ± 19.26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4574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0.001</w:t>
            </w:r>
          </w:p>
        </w:tc>
      </w:tr>
      <w:tr w:rsidR="00F87802" w14:paraId="6808AA3C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E080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lastRenderedPageBreak/>
              <w:t>DBP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(mmHg)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9984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73.11 ± 11.35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7E49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74.88 ± 11.69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4C89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76.96 ± 11.61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1778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5377BD6E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5E3D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Number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of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chronic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conditions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8C36A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2483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5C405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10EE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3174CA1C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D132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63FC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293 (24%)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8AD7C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256 (21%)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C696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212 (17%)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CD651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F87802" w14:paraId="4E2E79F8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C5D22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4376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360 (29%)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7473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342 (28%)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A21A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319 (26%)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2F14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F87802" w14:paraId="71429420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BECA6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="Arial"/>
              </w:rPr>
            </w:pP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≥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2102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577 (47%)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9F32C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632 (51%)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52B32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699 (57%)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FE1C6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F87802" w14:paraId="1388D5B9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E7968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Frailty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Status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9D2F7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6DBB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172E6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81DF6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0.017</w:t>
            </w:r>
          </w:p>
        </w:tc>
      </w:tr>
      <w:tr w:rsidR="00F87802" w14:paraId="36589E1B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DBBA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SimSun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Robust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(FI ≤ 0.10)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53E6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496 (40%)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DED5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490 (40%)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998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437 (36%)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CD18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F87802" w14:paraId="09838F60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8CB9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SimSun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Pre-frail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(0.10 &lt; FI &lt; 0.25)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6D8A8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563 (46%)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A9EF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530 (43%)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C21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589 (48%)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B9489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F87802" w14:paraId="0AE164D7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E479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SimSun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Frail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(FI ≥ 0.25)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66392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171 (14%)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2AF6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210 (17%)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A7373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204 (17%)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8CC21" w14:textId="77777777" w:rsidR="00F87802" w:rsidRDefault="00F8780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</w:p>
        </w:tc>
      </w:tr>
      <w:tr w:rsidR="00F87802" w14:paraId="47ECD238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560C4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FI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BADD3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0.14 ± 0.11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7611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0.15 ± 0.12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CB0CC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0.16 ± 0.11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F0F3C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0.022</w:t>
            </w:r>
          </w:p>
        </w:tc>
      </w:tr>
      <w:tr w:rsidR="00F87802" w14:paraId="166B7922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E0D42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Arial" w:cs="Arial"/>
                <w:color w:val="000000"/>
                <w:sz w:val="22"/>
                <w:szCs w:val="22"/>
              </w:rPr>
              <w:t>cumAIP</w:t>
            </w:r>
            <w:proofErr w:type="spellEnd"/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EAD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0.24 ± 0.36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430E8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1.05 ± 0.20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99E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2.05 ± 0.57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36920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10F65AED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A8A8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SimSun" w:cs="Arial"/>
                <w:lang w:eastAsia="zh-CN"/>
              </w:rPr>
            </w:pP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AIP (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2011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F8B0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 xml:space="preserve">0.14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± 0.10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FE0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0.33 ± 0.15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3819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0.70 ± 0.28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613D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4AC54291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1AC4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AIP (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2015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DDF2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0.16 ± 0.11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12EF4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0.37 ± 0.15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87AC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0.67 ± 0.21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AF45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51BA2EE1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91E91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SimSun" w:cs="Arial" w:hint="eastAsia"/>
                <w:color w:val="000000"/>
                <w:sz w:val="22"/>
                <w:szCs w:val="22"/>
                <w:lang w:eastAsia="zh-CN"/>
              </w:rPr>
              <w:t>FPG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cs="Arial"/>
                <w:sz w:val="22"/>
                <w:szCs w:val="22"/>
                <w:lang w:eastAsia="zh-CN"/>
              </w:rPr>
              <w:t>(</w:t>
            </w:r>
            <w:proofErr w:type="spellStart"/>
            <w:r>
              <w:rPr>
                <w:rFonts w:cs="Arial"/>
                <w:sz w:val="22"/>
                <w:szCs w:val="22"/>
              </w:rPr>
              <w:t>mmol</w:t>
            </w:r>
            <w:proofErr w:type="spellEnd"/>
            <w:r>
              <w:rPr>
                <w:rFonts w:cs="Arial"/>
                <w:sz w:val="22"/>
                <w:szCs w:val="22"/>
              </w:rPr>
              <w:t>/L</w:t>
            </w:r>
            <w:r>
              <w:rPr>
                <w:rFonts w:cs="Arial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720E6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5.35 ± 1.49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A07A0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5.63 ± 1.88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38443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6.21 ± 2.39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54C14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7D80B700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DDC6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LDL</w:t>
            </w:r>
            <w:r>
              <w:rPr>
                <w:rFonts w:eastAsia="SimSun" w:cs="Arial" w:hint="eastAsia"/>
                <w:color w:val="000000"/>
                <w:sz w:val="22"/>
                <w:szCs w:val="22"/>
                <w:lang w:eastAsia="zh-CN"/>
              </w:rPr>
              <w:t>-C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cs="Arial"/>
                <w:sz w:val="22"/>
                <w:szCs w:val="22"/>
                <w:lang w:eastAsia="zh-CN"/>
              </w:rPr>
              <w:t>(</w:t>
            </w:r>
            <w:proofErr w:type="spellStart"/>
            <w:r>
              <w:rPr>
                <w:rFonts w:cs="Arial"/>
                <w:sz w:val="22"/>
                <w:szCs w:val="22"/>
              </w:rPr>
              <w:t>mmol</w:t>
            </w:r>
            <w:proofErr w:type="spellEnd"/>
            <w:r>
              <w:rPr>
                <w:rFonts w:cs="Arial"/>
                <w:sz w:val="22"/>
                <w:szCs w:val="22"/>
              </w:rPr>
              <w:t>/L</w:t>
            </w:r>
            <w:r>
              <w:rPr>
                <w:rFonts w:cs="Arial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B7984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2.59 ± 0.70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0FBC2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2.74 ± 0.71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E527D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2.61 ± 0.76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07B4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78D569F5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AA183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  <w:lang w:eastAsia="zh-CN"/>
              </w:rPr>
            </w:pPr>
            <w:r>
              <w:rPr>
                <w:rFonts w:cs="Arial"/>
                <w:sz w:val="22"/>
                <w:szCs w:val="22"/>
              </w:rPr>
              <w:t>HDL</w:t>
            </w:r>
            <w:r>
              <w:rPr>
                <w:rFonts w:cs="Arial" w:hint="eastAsia"/>
                <w:sz w:val="22"/>
                <w:szCs w:val="22"/>
                <w:lang w:eastAsia="zh-CN"/>
              </w:rPr>
              <w:t>-C</w:t>
            </w:r>
            <w:r>
              <w:rPr>
                <w:rFonts w:cs="Arial"/>
                <w:sz w:val="22"/>
                <w:szCs w:val="22"/>
                <w:lang w:eastAsia="zh-CN"/>
              </w:rPr>
              <w:t xml:space="preserve"> (</w:t>
            </w:r>
            <w:proofErr w:type="spellStart"/>
            <w:r>
              <w:rPr>
                <w:rFonts w:cs="Arial"/>
                <w:sz w:val="22"/>
                <w:szCs w:val="22"/>
              </w:rPr>
              <w:t>mmol</w:t>
            </w:r>
            <w:proofErr w:type="spellEnd"/>
            <w:r>
              <w:rPr>
                <w:rFonts w:cs="Arial"/>
                <w:sz w:val="22"/>
                <w:szCs w:val="22"/>
              </w:rPr>
              <w:t>/L</w:t>
            </w:r>
            <w:r>
              <w:rPr>
                <w:rFonts w:cs="Arial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55D33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1.55 ± 0.32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AADC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1.29 ± 0.22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404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 xml:space="preserve">1.15 ± </w:t>
            </w:r>
            <w:r>
              <w:rPr>
                <w:rFonts w:eastAsia="SimSun" w:cs="Arial"/>
              </w:rPr>
              <w:t>0.21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4765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0D333A32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20281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T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C (</w:t>
            </w:r>
            <w:proofErr w:type="spellStart"/>
            <w:r>
              <w:rPr>
                <w:rFonts w:cs="Arial"/>
                <w:sz w:val="22"/>
                <w:szCs w:val="22"/>
              </w:rPr>
              <w:t>mmol</w:t>
            </w:r>
            <w:proofErr w:type="spellEnd"/>
            <w:r>
              <w:rPr>
                <w:rFonts w:cs="Arial"/>
                <w:sz w:val="22"/>
                <w:szCs w:val="22"/>
              </w:rPr>
              <w:t>/L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30CB2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4.66 ± 0.87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A1EB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4.71 ± 0.86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99C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4.95 ± 1.05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8F14C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320A61B3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26C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proofErr w:type="spellStart"/>
            <w:r>
              <w:rPr>
                <w:rFonts w:eastAsia="Arial" w:cs="Arial"/>
                <w:color w:val="000000"/>
                <w:sz w:val="22"/>
                <w:szCs w:val="22"/>
              </w:rPr>
              <w:t>eGFR</w:t>
            </w:r>
            <w:proofErr w:type="spellEnd"/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(mL/min/1.73m²)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295E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90.54 ± 14.63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C4E54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90.10 ± 15.00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98B3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89.96 ± 16.24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F93C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0.808</w:t>
            </w:r>
          </w:p>
        </w:tc>
      </w:tr>
      <w:tr w:rsidR="00F87802" w14:paraId="7AC1B898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713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lastRenderedPageBreak/>
              <w:t>UA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(µ</w:t>
            </w:r>
            <w:proofErr w:type="spellStart"/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mol</w:t>
            </w:r>
            <w:proofErr w:type="spellEnd"/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/L)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BDF9D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274 ± 76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7768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286 ± 78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8842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310 ± 86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7BBE3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301434AF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2680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BUN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(</w:t>
            </w:r>
            <w:proofErr w:type="spellStart"/>
            <w:r>
              <w:rPr>
                <w:rFonts w:cs="Arial"/>
                <w:sz w:val="22"/>
                <w:szCs w:val="22"/>
              </w:rPr>
              <w:t>mmol</w:t>
            </w:r>
            <w:proofErr w:type="spellEnd"/>
            <w:r>
              <w:rPr>
                <w:rFonts w:cs="Arial"/>
                <w:sz w:val="22"/>
                <w:szCs w:val="22"/>
              </w:rPr>
              <w:t>/L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910E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5.75 ± 1.68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90271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5.54 ± 1.56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8594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5.48 ± 1.55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BEB28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3C614948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E98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CRP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(mg/L)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963F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1.94 ± 3.99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0C8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2.36 ± 5.45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DB3B1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</w:rPr>
              <w:t>3.47 ± 6.42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BB2B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4ACA8384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6F88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="Arial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TG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 xml:space="preserve"> (</w:t>
            </w:r>
            <w:proofErr w:type="spellStart"/>
            <w:r>
              <w:rPr>
                <w:rFonts w:cs="Arial"/>
                <w:sz w:val="22"/>
                <w:szCs w:val="22"/>
              </w:rPr>
              <w:t>mmol</w:t>
            </w:r>
            <w:proofErr w:type="spellEnd"/>
            <w:r>
              <w:rPr>
                <w:rFonts w:cs="Arial"/>
                <w:sz w:val="22"/>
                <w:szCs w:val="22"/>
              </w:rPr>
              <w:t>/L</w:t>
            </w: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A536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0.92 ± 0.30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3B97D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1.37 ± 0.46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758E1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2.54 ± 1.18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5B611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2A6BBF98" w14:textId="77777777">
        <w:trPr>
          <w:trHeight w:val="444"/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E121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Antihypertensive agents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2065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201 (16%)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BA104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296 (24%)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FBF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416 (34%)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3C52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4882701C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4911D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Arial" w:cs="Arial"/>
                <w:color w:val="000000"/>
                <w:sz w:val="22"/>
                <w:szCs w:val="22"/>
              </w:rPr>
              <w:t>Antidiabetic</w:t>
            </w:r>
            <w:proofErr w:type="spellEnd"/>
            <w:r>
              <w:rPr>
                <w:rFonts w:eastAsia="Arial" w:cs="Arial"/>
                <w:color w:val="000000"/>
                <w:sz w:val="22"/>
                <w:szCs w:val="22"/>
              </w:rPr>
              <w:t xml:space="preserve"> agents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BC8AA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30 (2.4%)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2852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54 (4.4%)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98D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131 (11%)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1939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29634A9C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3E8E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Lipid-lowering agents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B114D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46 (3.7%)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3A73F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 xml:space="preserve">84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(6.8%)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F0365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169 (14%)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A2886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F87802" w14:paraId="3FB1A6E3" w14:textId="77777777">
        <w:trPr>
          <w:jc w:val="center"/>
        </w:trPr>
        <w:tc>
          <w:tcPr>
            <w:tcW w:w="332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72C6E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SimSun" w:cs="Arial"/>
                <w:color w:val="000000"/>
                <w:sz w:val="22"/>
                <w:szCs w:val="22"/>
                <w:lang w:eastAsia="zh-CN"/>
              </w:rPr>
              <w:t>S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troke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1203C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25 (2.0%)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945BD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45 (3.7%)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62BB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55 (4.5%)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5C747" w14:textId="77777777" w:rsidR="00F87802" w:rsidRDefault="00DE43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>0.003</w:t>
            </w:r>
          </w:p>
        </w:tc>
      </w:tr>
    </w:tbl>
    <w:p w14:paraId="1335B48D" w14:textId="77777777" w:rsidR="00F87802" w:rsidRDefault="00F87802"/>
    <w:p w14:paraId="78C0695F" w14:textId="77777777" w:rsidR="00F87802" w:rsidRDefault="00DE43DA">
      <w:pPr>
        <w:rPr>
          <w:sz w:val="15"/>
          <w:szCs w:val="15"/>
        </w:rPr>
      </w:pPr>
      <w:r>
        <w:rPr>
          <w:rFonts w:hint="eastAsia"/>
          <w:sz w:val="15"/>
          <w:szCs w:val="15"/>
        </w:rPr>
        <w:t xml:space="preserve">Notes: Data are presented as mean </w:t>
      </w:r>
      <w:r>
        <w:rPr>
          <w:rFonts w:hint="eastAsia"/>
          <w:sz w:val="15"/>
          <w:szCs w:val="15"/>
        </w:rPr>
        <w:t>±</w:t>
      </w:r>
      <w:r>
        <w:rPr>
          <w:rFonts w:hint="eastAsia"/>
          <w:sz w:val="15"/>
          <w:szCs w:val="15"/>
        </w:rPr>
        <w:t xml:space="preserve"> standard deviation (SD) for continuous variables and as number (percentage) for categorical variables. P-values were calculated using one-way analysis</w:t>
      </w:r>
      <w:r>
        <w:rPr>
          <w:rFonts w:hint="eastAsia"/>
          <w:sz w:val="15"/>
          <w:szCs w:val="15"/>
        </w:rPr>
        <w:t xml:space="preserve"> of variance (ANOVA) or </w:t>
      </w:r>
      <w:proofErr w:type="spellStart"/>
      <w:r>
        <w:rPr>
          <w:rFonts w:hint="eastAsia"/>
          <w:sz w:val="15"/>
          <w:szCs w:val="15"/>
        </w:rPr>
        <w:t>Kruskal</w:t>
      </w:r>
      <w:proofErr w:type="spellEnd"/>
      <w:r>
        <w:rPr>
          <w:rFonts w:hint="eastAsia"/>
          <w:sz w:val="15"/>
          <w:szCs w:val="15"/>
        </w:rPr>
        <w:t>-Wallis test for continuous variables, and Pearson</w:t>
      </w:r>
      <w:r>
        <w:rPr>
          <w:rFonts w:hint="eastAsia"/>
          <w:sz w:val="15"/>
          <w:szCs w:val="15"/>
        </w:rPr>
        <w:t>’</w:t>
      </w:r>
      <w:r>
        <w:rPr>
          <w:rFonts w:hint="eastAsia"/>
          <w:sz w:val="15"/>
          <w:szCs w:val="15"/>
        </w:rPr>
        <w:t>s chi-square test for categorical variables. All lipid profiles, glucose, and renal function markers were converted to SI units (</w:t>
      </w:r>
      <w:proofErr w:type="spellStart"/>
      <w:r>
        <w:rPr>
          <w:rFonts w:hint="eastAsia"/>
          <w:sz w:val="15"/>
          <w:szCs w:val="15"/>
        </w:rPr>
        <w:t>mmol</w:t>
      </w:r>
      <w:proofErr w:type="spellEnd"/>
      <w:r>
        <w:rPr>
          <w:rFonts w:hint="eastAsia"/>
          <w:sz w:val="15"/>
          <w:szCs w:val="15"/>
        </w:rPr>
        <w:t>/L or µ</w:t>
      </w:r>
      <w:proofErr w:type="spellStart"/>
      <w:r>
        <w:rPr>
          <w:rFonts w:hint="eastAsia"/>
          <w:sz w:val="15"/>
          <w:szCs w:val="15"/>
        </w:rPr>
        <w:t>mol</w:t>
      </w:r>
      <w:proofErr w:type="spellEnd"/>
      <w:r>
        <w:rPr>
          <w:rFonts w:hint="eastAsia"/>
          <w:sz w:val="15"/>
          <w:szCs w:val="15"/>
        </w:rPr>
        <w:t>/L) for standardization. Abbrev</w:t>
      </w:r>
      <w:r>
        <w:rPr>
          <w:rFonts w:hint="eastAsia"/>
          <w:sz w:val="15"/>
          <w:szCs w:val="15"/>
        </w:rPr>
        <w:t xml:space="preserve">iations: </w:t>
      </w:r>
      <w:proofErr w:type="spellStart"/>
      <w:r>
        <w:rPr>
          <w:rFonts w:hint="eastAsia"/>
          <w:sz w:val="15"/>
          <w:szCs w:val="15"/>
        </w:rPr>
        <w:t>cumAIP</w:t>
      </w:r>
      <w:proofErr w:type="spellEnd"/>
      <w:r>
        <w:rPr>
          <w:rFonts w:hint="eastAsia"/>
          <w:sz w:val="15"/>
          <w:szCs w:val="15"/>
        </w:rPr>
        <w:t xml:space="preserve">, cumulative </w:t>
      </w:r>
      <w:proofErr w:type="spellStart"/>
      <w:r>
        <w:rPr>
          <w:rFonts w:hint="eastAsia"/>
          <w:sz w:val="15"/>
          <w:szCs w:val="15"/>
        </w:rPr>
        <w:t>atherogenic</w:t>
      </w:r>
      <w:proofErr w:type="spellEnd"/>
      <w:r>
        <w:rPr>
          <w:rFonts w:hint="eastAsia"/>
          <w:sz w:val="15"/>
          <w:szCs w:val="15"/>
        </w:rPr>
        <w:t xml:space="preserve"> index of plasma; AIP, </w:t>
      </w:r>
      <w:proofErr w:type="spellStart"/>
      <w:r>
        <w:rPr>
          <w:rFonts w:hint="eastAsia"/>
          <w:sz w:val="15"/>
          <w:szCs w:val="15"/>
        </w:rPr>
        <w:t>atherogenic</w:t>
      </w:r>
      <w:proofErr w:type="spellEnd"/>
      <w:r>
        <w:rPr>
          <w:rFonts w:hint="eastAsia"/>
          <w:sz w:val="15"/>
          <w:szCs w:val="15"/>
        </w:rPr>
        <w:t xml:space="preserve"> index of plasma; BMI, body mass index; SBP, systolic blood pressure; DBP, diastolic blood pressure; FI, frailty index; FPG, fasting plasma glucose; TC, total cholesterol; TG, triglyc</w:t>
      </w:r>
      <w:r>
        <w:rPr>
          <w:rFonts w:hint="eastAsia"/>
          <w:sz w:val="15"/>
          <w:szCs w:val="15"/>
        </w:rPr>
        <w:t xml:space="preserve">erides; HDL-C, high-density lipoprotein cholesterol; LDL-C, low-density lipoprotein cholesterol; </w:t>
      </w:r>
      <w:proofErr w:type="spellStart"/>
      <w:r>
        <w:rPr>
          <w:rFonts w:hint="eastAsia"/>
          <w:sz w:val="15"/>
          <w:szCs w:val="15"/>
        </w:rPr>
        <w:t>eGFR</w:t>
      </w:r>
      <w:proofErr w:type="spellEnd"/>
      <w:r>
        <w:rPr>
          <w:rFonts w:hint="eastAsia"/>
          <w:sz w:val="15"/>
          <w:szCs w:val="15"/>
        </w:rPr>
        <w:t>, estimated glomerular filtration rate; UA, uric acid; BUN, blood urea nitrogen; CRP, C-reactive protein. SI Unit Conversion Factors: Glucose (mg/</w:t>
      </w:r>
      <w:proofErr w:type="spellStart"/>
      <w:r>
        <w:rPr>
          <w:rFonts w:hint="eastAsia"/>
          <w:sz w:val="15"/>
          <w:szCs w:val="15"/>
        </w:rPr>
        <w:t>dL</w:t>
      </w:r>
      <w:proofErr w:type="spellEnd"/>
      <w:r>
        <w:rPr>
          <w:rFonts w:hint="eastAsia"/>
          <w:sz w:val="15"/>
          <w:szCs w:val="15"/>
        </w:rPr>
        <w:t xml:space="preserve"> to </w:t>
      </w:r>
      <w:proofErr w:type="spellStart"/>
      <w:r>
        <w:rPr>
          <w:rFonts w:hint="eastAsia"/>
          <w:sz w:val="15"/>
          <w:szCs w:val="15"/>
        </w:rPr>
        <w:t>mmo</w:t>
      </w:r>
      <w:r>
        <w:rPr>
          <w:rFonts w:hint="eastAsia"/>
          <w:sz w:val="15"/>
          <w:szCs w:val="15"/>
        </w:rPr>
        <w:t>l</w:t>
      </w:r>
      <w:proofErr w:type="spellEnd"/>
      <w:r>
        <w:rPr>
          <w:rFonts w:hint="eastAsia"/>
          <w:sz w:val="15"/>
          <w:szCs w:val="15"/>
        </w:rPr>
        <w:t xml:space="preserve">/L: </w:t>
      </w:r>
      <w:r>
        <w:rPr>
          <w:rFonts w:hint="eastAsia"/>
          <w:sz w:val="15"/>
          <w:szCs w:val="15"/>
        </w:rPr>
        <w:t>×</w:t>
      </w:r>
      <w:r>
        <w:rPr>
          <w:rFonts w:hint="eastAsia"/>
          <w:sz w:val="15"/>
          <w:szCs w:val="15"/>
        </w:rPr>
        <w:t>0.0555); Total Cholesterol, HDL-C, LDL-C (mg/</w:t>
      </w:r>
      <w:proofErr w:type="spellStart"/>
      <w:r>
        <w:rPr>
          <w:rFonts w:hint="eastAsia"/>
          <w:sz w:val="15"/>
          <w:szCs w:val="15"/>
        </w:rPr>
        <w:t>dL</w:t>
      </w:r>
      <w:proofErr w:type="spellEnd"/>
      <w:r>
        <w:rPr>
          <w:rFonts w:hint="eastAsia"/>
          <w:sz w:val="15"/>
          <w:szCs w:val="15"/>
        </w:rPr>
        <w:t xml:space="preserve"> to </w:t>
      </w:r>
      <w:proofErr w:type="spellStart"/>
      <w:r>
        <w:rPr>
          <w:rFonts w:hint="eastAsia"/>
          <w:sz w:val="15"/>
          <w:szCs w:val="15"/>
        </w:rPr>
        <w:t>mmol</w:t>
      </w:r>
      <w:proofErr w:type="spellEnd"/>
      <w:r>
        <w:rPr>
          <w:rFonts w:hint="eastAsia"/>
          <w:sz w:val="15"/>
          <w:szCs w:val="15"/>
        </w:rPr>
        <w:t xml:space="preserve">/L: </w:t>
      </w:r>
      <w:r>
        <w:rPr>
          <w:rFonts w:hint="eastAsia"/>
          <w:sz w:val="15"/>
          <w:szCs w:val="15"/>
        </w:rPr>
        <w:t>×</w:t>
      </w:r>
      <w:r>
        <w:rPr>
          <w:rFonts w:hint="eastAsia"/>
          <w:sz w:val="15"/>
          <w:szCs w:val="15"/>
        </w:rPr>
        <w:t>0.0259); Triglycerides (mg/</w:t>
      </w:r>
      <w:proofErr w:type="spellStart"/>
      <w:r>
        <w:rPr>
          <w:rFonts w:hint="eastAsia"/>
          <w:sz w:val="15"/>
          <w:szCs w:val="15"/>
        </w:rPr>
        <w:t>dL</w:t>
      </w:r>
      <w:proofErr w:type="spellEnd"/>
      <w:r>
        <w:rPr>
          <w:rFonts w:hint="eastAsia"/>
          <w:sz w:val="15"/>
          <w:szCs w:val="15"/>
        </w:rPr>
        <w:t xml:space="preserve"> to </w:t>
      </w:r>
      <w:proofErr w:type="spellStart"/>
      <w:r>
        <w:rPr>
          <w:rFonts w:hint="eastAsia"/>
          <w:sz w:val="15"/>
          <w:szCs w:val="15"/>
        </w:rPr>
        <w:t>mmol</w:t>
      </w:r>
      <w:proofErr w:type="spellEnd"/>
      <w:r>
        <w:rPr>
          <w:rFonts w:hint="eastAsia"/>
          <w:sz w:val="15"/>
          <w:szCs w:val="15"/>
        </w:rPr>
        <w:t xml:space="preserve">/L: </w:t>
      </w:r>
      <w:r>
        <w:rPr>
          <w:rFonts w:hint="eastAsia"/>
          <w:sz w:val="15"/>
          <w:szCs w:val="15"/>
        </w:rPr>
        <w:t>×</w:t>
      </w:r>
      <w:r>
        <w:rPr>
          <w:rFonts w:hint="eastAsia"/>
          <w:sz w:val="15"/>
          <w:szCs w:val="15"/>
        </w:rPr>
        <w:t>0.0113); Uric Acid (mg/</w:t>
      </w:r>
      <w:proofErr w:type="spellStart"/>
      <w:r>
        <w:rPr>
          <w:rFonts w:hint="eastAsia"/>
          <w:sz w:val="15"/>
          <w:szCs w:val="15"/>
        </w:rPr>
        <w:t>dL</w:t>
      </w:r>
      <w:proofErr w:type="spellEnd"/>
      <w:r>
        <w:rPr>
          <w:rFonts w:hint="eastAsia"/>
          <w:sz w:val="15"/>
          <w:szCs w:val="15"/>
        </w:rPr>
        <w:t xml:space="preserve"> to µ</w:t>
      </w:r>
      <w:proofErr w:type="spellStart"/>
      <w:r>
        <w:rPr>
          <w:rFonts w:hint="eastAsia"/>
          <w:sz w:val="15"/>
          <w:szCs w:val="15"/>
        </w:rPr>
        <w:t>mol</w:t>
      </w:r>
      <w:proofErr w:type="spellEnd"/>
      <w:r>
        <w:rPr>
          <w:rFonts w:hint="eastAsia"/>
          <w:sz w:val="15"/>
          <w:szCs w:val="15"/>
        </w:rPr>
        <w:t xml:space="preserve">/L: </w:t>
      </w:r>
      <w:r>
        <w:rPr>
          <w:rFonts w:hint="eastAsia"/>
          <w:sz w:val="15"/>
          <w:szCs w:val="15"/>
        </w:rPr>
        <w:t>×</w:t>
      </w:r>
      <w:r>
        <w:rPr>
          <w:rFonts w:hint="eastAsia"/>
          <w:sz w:val="15"/>
          <w:szCs w:val="15"/>
        </w:rPr>
        <w:t>59.48); BUN (mg/</w:t>
      </w:r>
      <w:proofErr w:type="spellStart"/>
      <w:r>
        <w:rPr>
          <w:rFonts w:hint="eastAsia"/>
          <w:sz w:val="15"/>
          <w:szCs w:val="15"/>
        </w:rPr>
        <w:t>dL</w:t>
      </w:r>
      <w:proofErr w:type="spellEnd"/>
      <w:r>
        <w:rPr>
          <w:rFonts w:hint="eastAsia"/>
          <w:sz w:val="15"/>
          <w:szCs w:val="15"/>
        </w:rPr>
        <w:t xml:space="preserve"> to </w:t>
      </w:r>
      <w:proofErr w:type="spellStart"/>
      <w:r>
        <w:rPr>
          <w:rFonts w:hint="eastAsia"/>
          <w:sz w:val="15"/>
          <w:szCs w:val="15"/>
        </w:rPr>
        <w:t>mmol</w:t>
      </w:r>
      <w:proofErr w:type="spellEnd"/>
      <w:r>
        <w:rPr>
          <w:rFonts w:hint="eastAsia"/>
          <w:sz w:val="15"/>
          <w:szCs w:val="15"/>
        </w:rPr>
        <w:t xml:space="preserve">/L: </w:t>
      </w:r>
      <w:r>
        <w:rPr>
          <w:rFonts w:hint="eastAsia"/>
          <w:sz w:val="15"/>
          <w:szCs w:val="15"/>
        </w:rPr>
        <w:t>×</w:t>
      </w:r>
      <w:r>
        <w:rPr>
          <w:rFonts w:hint="eastAsia"/>
          <w:sz w:val="15"/>
          <w:szCs w:val="15"/>
        </w:rPr>
        <w:t>0.357).</w:t>
      </w:r>
    </w:p>
    <w:sectPr w:rsidR="00F87802">
      <w:type w:val="continuous"/>
      <w:pgSz w:w="16838" w:h="11906" w:orient="landscape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925FD"/>
    <w:multiLevelType w:val="multilevel"/>
    <w:tmpl w:val="07E925FD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F87802"/>
    <w:rsid w:val="00DE43DA"/>
    <w:rsid w:val="00F87802"/>
    <w:rsid w:val="4100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table" w:styleId="TableProfessional">
    <w:name w:val="Table Professional"/>
    <w:basedOn w:val="TableNormal"/>
    <w:uiPriority w:val="99"/>
    <w:semiHidden/>
    <w:unhideWhenUsed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LightList-Accent2">
    <w:name w:val="Light List Accent 2"/>
    <w:basedOn w:val="TableNormal"/>
    <w:uiPriority w:val="61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Strong1">
    <w:name w:val="Strong1"/>
    <w:basedOn w:val="DefaultParagraphFont"/>
    <w:uiPriority w:val="1"/>
    <w:qFormat/>
    <w:rPr>
      <w:b/>
    </w:rPr>
  </w:style>
  <w:style w:type="paragraph" w:customStyle="1" w:styleId="centered">
    <w:name w:val="centered"/>
    <w:basedOn w:val="Normal"/>
    <w:qFormat/>
    <w:pPr>
      <w:jc w:val="center"/>
    </w:pPr>
  </w:style>
  <w:style w:type="table" w:customStyle="1" w:styleId="tabletemplate">
    <w:name w:val="table_template"/>
    <w:basedOn w:val="TableNormal"/>
    <w:uiPriority w:val="59"/>
    <w:qFormat/>
    <w:pPr>
      <w:jc w:val="right"/>
    </w:pPr>
    <w:tblPr>
      <w:jc w:val="center"/>
      <w:tblInd w:w="0" w:type="dxa"/>
      <w:tblBorders>
        <w:top w:val="single" w:sz="8" w:space="0" w:color="auto"/>
        <w:bottom w:val="single" w:sz="8" w:space="0" w:color="auto"/>
        <w:insideH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Pr>
      <w:vertAlign w:val="superscript"/>
    </w:rPr>
  </w:style>
  <w:style w:type="paragraph" w:customStyle="1" w:styleId="graphictitle">
    <w:name w:val="graphic title"/>
    <w:basedOn w:val="ImageCaption"/>
    <w:next w:val="Normal"/>
  </w:style>
  <w:style w:type="paragraph" w:customStyle="1" w:styleId="tabletitle">
    <w:name w:val="table title"/>
    <w:basedOn w:val="TableCaption"/>
    <w:next w:val="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table" w:styleId="TableProfessional">
    <w:name w:val="Table Professional"/>
    <w:basedOn w:val="TableNormal"/>
    <w:uiPriority w:val="99"/>
    <w:semiHidden/>
    <w:unhideWhenUsed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LightList-Accent2">
    <w:name w:val="Light List Accent 2"/>
    <w:basedOn w:val="TableNormal"/>
    <w:uiPriority w:val="61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Strong1">
    <w:name w:val="Strong1"/>
    <w:basedOn w:val="DefaultParagraphFont"/>
    <w:uiPriority w:val="1"/>
    <w:qFormat/>
    <w:rPr>
      <w:b/>
    </w:rPr>
  </w:style>
  <w:style w:type="paragraph" w:customStyle="1" w:styleId="centered">
    <w:name w:val="centered"/>
    <w:basedOn w:val="Normal"/>
    <w:qFormat/>
    <w:pPr>
      <w:jc w:val="center"/>
    </w:pPr>
  </w:style>
  <w:style w:type="table" w:customStyle="1" w:styleId="tabletemplate">
    <w:name w:val="table_template"/>
    <w:basedOn w:val="TableNormal"/>
    <w:uiPriority w:val="59"/>
    <w:qFormat/>
    <w:pPr>
      <w:jc w:val="right"/>
    </w:pPr>
    <w:tblPr>
      <w:jc w:val="center"/>
      <w:tblInd w:w="0" w:type="dxa"/>
      <w:tblBorders>
        <w:top w:val="single" w:sz="8" w:space="0" w:color="auto"/>
        <w:bottom w:val="single" w:sz="8" w:space="0" w:color="auto"/>
        <w:insideH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Pr>
      <w:vertAlign w:val="superscript"/>
    </w:rPr>
  </w:style>
  <w:style w:type="paragraph" w:customStyle="1" w:styleId="graphictitle">
    <w:name w:val="graphic title"/>
    <w:basedOn w:val="ImageCaption"/>
    <w:next w:val="Normal"/>
  </w:style>
  <w:style w:type="paragraph" w:customStyle="1" w:styleId="tabletitle">
    <w:name w:val="table title"/>
    <w:basedOn w:val="TableCaption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孙京先</dc:creator>
  <cp:lastModifiedBy>Nezzie Sabate</cp:lastModifiedBy>
  <cp:revision>10</cp:revision>
  <dcterms:created xsi:type="dcterms:W3CDTF">2017-02-28T11:18:00Z</dcterms:created>
  <dcterms:modified xsi:type="dcterms:W3CDTF">2026-03-14T04:50:00Z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eyJoZGlkIjoiN2I0ZGUzOTRlODExZmUxYTg5YzZkNzYwYjRiZWNhMjkiLCJ1c2VySWQiOiIyNzE5OTU2MjgifQ==</vt:lpwstr>
  </property>
  <property fmtid="{D5CDD505-2E9C-101B-9397-08002B2CF9AE}" pid="3" name="KSOProductBuildVer">
    <vt:lpwstr>2052-12.1.0.24034</vt:lpwstr>
  </property>
  <property fmtid="{D5CDD505-2E9C-101B-9397-08002B2CF9AE}" pid="4" name="ICV">
    <vt:lpwstr>6FAC4A500C7F45D0852F44BF2D26380B_12</vt:lpwstr>
  </property>
</Properties>
</file>