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proofErr w:type="gramStart"/>
      <w:r>
        <w:rPr>
          <w:rFonts w:ascii="Times New Roman" w:eastAsia="SimSun" w:hAnsi="Times New Roman" w:cs="Times New Roman"/>
          <w:b/>
          <w:bCs/>
          <w:sz w:val="24"/>
        </w:rPr>
        <w:t>Supplementary Table S1.</w:t>
      </w:r>
      <w:proofErr w:type="gramEnd"/>
      <w:r>
        <w:rPr>
          <w:rFonts w:ascii="Times New Roman" w:eastAsia="SimSun" w:hAnsi="Times New Roman" w:cs="Times New Roman"/>
          <w:b/>
          <w:bCs/>
          <w:sz w:val="24"/>
        </w:rPr>
        <w:t xml:space="preserve"> Distribution of lipid-lowering treatment strategies across follow-up visits with LDL-C non-attainment in the lagged analysis cohort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083"/>
        <w:gridCol w:w="1229"/>
        <w:gridCol w:w="1756"/>
        <w:gridCol w:w="1470"/>
        <w:gridCol w:w="1212"/>
        <w:gridCol w:w="1769"/>
      </w:tblGrid>
      <w:tr w:rsidR="0009778A" w:rsidTr="00265174">
        <w:trPr>
          <w:trHeight w:val="57"/>
        </w:trPr>
        <w:tc>
          <w:tcPr>
            <w:tcW w:w="82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Follow-up time (months)</w:t>
            </w:r>
          </w:p>
        </w:tc>
        <w:tc>
          <w:tcPr>
            <w:tcW w:w="59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Total non-attainment visits, n</w:t>
            </w:r>
          </w:p>
        </w:tc>
        <w:tc>
          <w:tcPr>
            <w:tcW w:w="59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No change or discontinuation, n (%)</w:t>
            </w:r>
          </w:p>
        </w:tc>
        <w:tc>
          <w:tcPr>
            <w:tcW w:w="97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Combination therapy, n (%)</w:t>
            </w:r>
          </w:p>
        </w:tc>
        <w:tc>
          <w:tcPr>
            <w:tcW w:w="112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Dose up-titration, n (%)</w:t>
            </w:r>
          </w:p>
        </w:tc>
        <w:tc>
          <w:tcPr>
            <w:tcW w:w="89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witch or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intensificati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kern w:val="0"/>
                <w:sz w:val="24"/>
                <w:lang w:bidi="ar"/>
              </w:rPr>
              <w:t>on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n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, n (%)</w:t>
            </w:r>
          </w:p>
        </w:tc>
      </w:tr>
      <w:tr w:rsidR="0009778A" w:rsidTr="00265174">
        <w:trPr>
          <w:trHeight w:val="57"/>
        </w:trPr>
        <w:tc>
          <w:tcPr>
            <w:tcW w:w="82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59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lang w:bidi="ar"/>
              </w:rPr>
              <w:t>881</w:t>
            </w:r>
          </w:p>
        </w:tc>
        <w:tc>
          <w:tcPr>
            <w:tcW w:w="59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92 (10.4)</w:t>
            </w:r>
          </w:p>
        </w:tc>
        <w:tc>
          <w:tcPr>
            <w:tcW w:w="9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327 (37.1)</w:t>
            </w:r>
          </w:p>
        </w:tc>
        <w:tc>
          <w:tcPr>
            <w:tcW w:w="11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317 (36.0)</w:t>
            </w:r>
          </w:p>
        </w:tc>
        <w:tc>
          <w:tcPr>
            <w:tcW w:w="89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145 (16.5)</w:t>
            </w:r>
          </w:p>
        </w:tc>
      </w:tr>
      <w:tr w:rsidR="0009778A" w:rsidTr="00265174">
        <w:trPr>
          <w:trHeight w:val="57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lang w:bidi="ar"/>
              </w:rPr>
              <w:t>832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87 (10.5)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335 (40.3)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250 (30.0)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160 (19.2)</w:t>
            </w:r>
          </w:p>
        </w:tc>
      </w:tr>
      <w:tr w:rsidR="0009778A" w:rsidTr="00265174">
        <w:trPr>
          <w:trHeight w:val="57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lang w:bidi="ar"/>
              </w:rPr>
              <w:t>822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122 (14.8)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286 (34.8)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262 (31.9)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152 (18.5)</w:t>
            </w:r>
          </w:p>
        </w:tc>
      </w:tr>
      <w:tr w:rsidR="0009778A" w:rsidTr="00265174">
        <w:trPr>
          <w:trHeight w:val="57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lang w:bidi="ar"/>
              </w:rPr>
              <w:t>795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107 (13.5)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288 (36.2)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232 (29.2)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168 (21.1)</w:t>
            </w:r>
          </w:p>
        </w:tc>
      </w:tr>
      <w:tr w:rsidR="0009778A" w:rsidTr="00265174">
        <w:trPr>
          <w:trHeight w:val="57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lang w:bidi="ar"/>
              </w:rPr>
              <w:t>786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96 (12.2)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310 (39.4)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215 (27.4)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165 (21.0)</w:t>
            </w:r>
          </w:p>
        </w:tc>
      </w:tr>
      <w:tr w:rsidR="0009778A" w:rsidTr="00265174">
        <w:trPr>
          <w:trHeight w:val="57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lang w:bidi="ar"/>
              </w:rPr>
              <w:t>814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110 (13.5)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300 (36.9)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227 (27.9)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177 (21.7)</w:t>
            </w:r>
          </w:p>
        </w:tc>
      </w:tr>
      <w:tr w:rsidR="0009778A" w:rsidTr="00265174">
        <w:trPr>
          <w:trHeight w:val="57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lang w:bidi="ar"/>
              </w:rPr>
              <w:t>800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113 (14.1)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313 (39.1)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212 (26.5)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162 (20.3)</w:t>
            </w:r>
          </w:p>
        </w:tc>
      </w:tr>
      <w:tr w:rsidR="0009778A" w:rsidTr="00265174">
        <w:trPr>
          <w:trHeight w:val="57"/>
        </w:trPr>
        <w:tc>
          <w:tcPr>
            <w:tcW w:w="82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97 (13.0)</w:t>
            </w:r>
          </w:p>
        </w:tc>
        <w:tc>
          <w:tcPr>
            <w:tcW w:w="97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278 (37.4)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210 (28.2)</w:t>
            </w:r>
          </w:p>
        </w:tc>
        <w:tc>
          <w:tcPr>
            <w:tcW w:w="89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159 (21.4)</w:t>
            </w:r>
          </w:p>
        </w:tc>
      </w:tr>
    </w:tbl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 xml:space="preserve">Percentages represent the proportion of visits within each follow-up time point among visits with LDL-C non-attainment. The lagged analysis cohort included all 1,731 patients in the study cohort; however, the number of non-attainment visits varied </w:t>
      </w:r>
      <w:r>
        <w:rPr>
          <w:rFonts w:ascii="Times New Roman" w:eastAsia="SimSun" w:hAnsi="Times New Roman" w:cs="Times New Roman"/>
          <w:sz w:val="24"/>
        </w:rPr>
        <w:lastRenderedPageBreak/>
        <w:t xml:space="preserve">across follow-up time points. Treatment strategies were classified at the index visit and summarized only for visits in which LDL-C targets were not achieved. </w:t>
      </w:r>
      <w:proofErr w:type="gramStart"/>
      <w:r>
        <w:rPr>
          <w:rFonts w:ascii="Times New Roman" w:eastAsia="SimSun" w:hAnsi="Times New Roman" w:cs="Times New Roman"/>
          <w:sz w:val="24"/>
        </w:rPr>
        <w:t>LDL-C, low-density lipoprotein cholesterol.</w:t>
      </w:r>
      <w:proofErr w:type="gramEnd"/>
    </w:p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</w:p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proofErr w:type="gramStart"/>
      <w:r>
        <w:rPr>
          <w:rFonts w:ascii="Times New Roman" w:eastAsia="SimSun" w:hAnsi="Times New Roman" w:cs="Times New Roman"/>
          <w:b/>
          <w:bCs/>
          <w:sz w:val="24"/>
        </w:rPr>
        <w:t>Supplementary Table S2.</w:t>
      </w:r>
      <w:proofErr w:type="gramEnd"/>
      <w:r>
        <w:rPr>
          <w:rFonts w:ascii="Times New Roman" w:eastAsia="SimSun" w:hAnsi="Times New Roman" w:cs="Times New Roman"/>
          <w:b/>
          <w:bCs/>
          <w:sz w:val="24"/>
        </w:rPr>
        <w:t xml:space="preserve"> Distribution of lipid-lowering treatment strategies at all follow-up visits under the 2023 LDL-C guidelines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587"/>
        <w:gridCol w:w="1152"/>
        <w:gridCol w:w="1878"/>
        <w:gridCol w:w="2169"/>
        <w:gridCol w:w="1733"/>
      </w:tblGrid>
      <w:tr w:rsidR="0009778A" w:rsidTr="00265174">
        <w:trPr>
          <w:trHeight w:val="57"/>
        </w:trPr>
        <w:tc>
          <w:tcPr>
            <w:tcW w:w="93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Follow-up time (months)</w:t>
            </w:r>
          </w:p>
        </w:tc>
        <w:tc>
          <w:tcPr>
            <w:tcW w:w="67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No change / stop, n (%)</w:t>
            </w:r>
          </w:p>
        </w:tc>
        <w:tc>
          <w:tcPr>
            <w:tcW w:w="110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Combination therapy, n (%)</w:t>
            </w:r>
          </w:p>
        </w:tc>
        <w:tc>
          <w:tcPr>
            <w:tcW w:w="127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Dose up-titration, n (%)</w:t>
            </w:r>
          </w:p>
        </w:tc>
        <w:tc>
          <w:tcPr>
            <w:tcW w:w="101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Switch / intensify, n (%)</w:t>
            </w:r>
          </w:p>
        </w:tc>
      </w:tr>
      <w:tr w:rsidR="0009778A" w:rsidTr="00265174">
        <w:trPr>
          <w:trHeight w:val="57"/>
        </w:trPr>
        <w:tc>
          <w:tcPr>
            <w:tcW w:w="9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222 (16.8)</w:t>
            </w:r>
          </w:p>
        </w:tc>
        <w:tc>
          <w:tcPr>
            <w:tcW w:w="110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460 (34.8)</w:t>
            </w:r>
          </w:p>
        </w:tc>
        <w:tc>
          <w:tcPr>
            <w:tcW w:w="12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375 (28.4)</w:t>
            </w:r>
          </w:p>
        </w:tc>
        <w:tc>
          <w:tcPr>
            <w:tcW w:w="101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263 (19.9)</w:t>
            </w:r>
          </w:p>
        </w:tc>
      </w:tr>
      <w:tr w:rsidR="0009778A" w:rsidTr="00265174">
        <w:trPr>
          <w:trHeight w:val="5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206 (15.9)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495 (38.3)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318 (24.6)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273 (21.1)</w:t>
            </w:r>
          </w:p>
        </w:tc>
      </w:tr>
      <w:tr w:rsidR="0009778A" w:rsidTr="00265174">
        <w:trPr>
          <w:trHeight w:val="5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237 (18.7)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433 (34.2)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345 (27.3)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250 (19.8)</w:t>
            </w:r>
          </w:p>
        </w:tc>
      </w:tr>
      <w:tr w:rsidR="0009778A" w:rsidTr="00265174">
        <w:trPr>
          <w:trHeight w:val="5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211 (16.7)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460 (36.5)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313 (24.8)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278 (22.0)</w:t>
            </w:r>
          </w:p>
        </w:tc>
      </w:tr>
      <w:tr w:rsidR="0009778A" w:rsidTr="00265174">
        <w:trPr>
          <w:trHeight w:val="5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217 (17.4)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472 (37.9)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281 (22.6)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275 (22.1)</w:t>
            </w:r>
          </w:p>
        </w:tc>
      </w:tr>
      <w:tr w:rsidR="0009778A" w:rsidTr="00265174">
        <w:trPr>
          <w:trHeight w:val="5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225 (18.0)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439 (35.1)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301 (24.1)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286 (22.9)</w:t>
            </w:r>
          </w:p>
        </w:tc>
      </w:tr>
      <w:tr w:rsidR="0009778A" w:rsidTr="00265174">
        <w:trPr>
          <w:trHeight w:val="5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224 (18.4)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470 (38.7)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278 (22.9)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243 (20.0)</w:t>
            </w:r>
          </w:p>
        </w:tc>
      </w:tr>
      <w:tr w:rsidR="0009778A" w:rsidTr="00265174">
        <w:trPr>
          <w:trHeight w:val="57"/>
        </w:trPr>
        <w:tc>
          <w:tcPr>
            <w:tcW w:w="93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219 (18.5)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408 (34.5)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294 (24.8)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263 (22.1)</w:t>
            </w:r>
          </w:p>
        </w:tc>
      </w:tr>
    </w:tbl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Percentages represent the proportion of all follow-up visits at each time point.</w:t>
      </w:r>
    </w:p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proofErr w:type="gramStart"/>
      <w:r>
        <w:rPr>
          <w:rFonts w:ascii="Times New Roman" w:eastAsia="SimSun" w:hAnsi="Times New Roman" w:cs="Times New Roman"/>
          <w:b/>
          <w:bCs/>
          <w:sz w:val="24"/>
        </w:rPr>
        <w:t>Supplementary Table S3.</w:t>
      </w:r>
      <w:proofErr w:type="gramEnd"/>
      <w:r>
        <w:rPr>
          <w:rFonts w:ascii="Times New Roman" w:eastAsia="SimSun" w:hAnsi="Times New Roman" w:cs="Times New Roman"/>
          <w:b/>
          <w:bCs/>
          <w:sz w:val="24"/>
        </w:rPr>
        <w:t xml:space="preserve"> Association between therapeutic inertia and subsequent LDL-C target attainment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197"/>
        <w:gridCol w:w="2900"/>
        <w:gridCol w:w="1019"/>
        <w:gridCol w:w="2043"/>
        <w:gridCol w:w="1360"/>
      </w:tblGrid>
      <w:tr w:rsidR="0009778A" w:rsidTr="00265174">
        <w:trPr>
          <w:trHeight w:val="57"/>
        </w:trPr>
        <w:tc>
          <w:tcPr>
            <w:tcW w:w="70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Model</w:t>
            </w:r>
          </w:p>
        </w:tc>
        <w:tc>
          <w:tcPr>
            <w:tcW w:w="170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Comparison</w:t>
            </w:r>
          </w:p>
        </w:tc>
        <w:tc>
          <w:tcPr>
            <w:tcW w:w="59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OR</w:t>
            </w:r>
          </w:p>
        </w:tc>
        <w:tc>
          <w:tcPr>
            <w:tcW w:w="119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95% CI</w:t>
            </w:r>
          </w:p>
        </w:tc>
        <w:tc>
          <w:tcPr>
            <w:tcW w:w="79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value</w:t>
            </w:r>
          </w:p>
        </w:tc>
      </w:tr>
      <w:tr w:rsidR="0009778A" w:rsidTr="00265174">
        <w:trPr>
          <w:trHeight w:val="57"/>
        </w:trPr>
        <w:tc>
          <w:tcPr>
            <w:tcW w:w="70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GEE</w:t>
            </w:r>
          </w:p>
        </w:tc>
        <w:tc>
          <w:tcPr>
            <w:tcW w:w="170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Therapeutic inertia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vs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intensification</w:t>
            </w:r>
          </w:p>
        </w:tc>
        <w:tc>
          <w:tcPr>
            <w:tcW w:w="59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2.46</w:t>
            </w:r>
          </w:p>
        </w:tc>
        <w:tc>
          <w:tcPr>
            <w:tcW w:w="119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2.09–2.90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9778A" w:rsidTr="00265174">
        <w:trPr>
          <w:trHeight w:val="57"/>
        </w:trPr>
        <w:tc>
          <w:tcPr>
            <w:tcW w:w="70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GLMM</w:t>
            </w:r>
          </w:p>
        </w:tc>
        <w:tc>
          <w:tcPr>
            <w:tcW w:w="170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Therapeutic inertia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vs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intensification</w:t>
            </w:r>
          </w:p>
        </w:tc>
        <w:tc>
          <w:tcPr>
            <w:tcW w:w="59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2.52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2.13–2.98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Therapeutic inertia was defined as no change or discontinuation of lipid-lowering therapy. Any intensification included combination therapy, dose up-titration, or switching/intensification.</w:t>
      </w:r>
    </w:p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proofErr w:type="gramStart"/>
      <w:r>
        <w:rPr>
          <w:rFonts w:ascii="Times New Roman" w:eastAsia="SimSun" w:hAnsi="Times New Roman" w:cs="Times New Roman"/>
          <w:b/>
          <w:bCs/>
          <w:sz w:val="24"/>
        </w:rPr>
        <w:t>Supplementary Table S4.</w:t>
      </w:r>
      <w:proofErr w:type="gramEnd"/>
      <w:r>
        <w:rPr>
          <w:rFonts w:ascii="Times New Roman" w:eastAsia="SimSun" w:hAnsi="Times New Roman" w:cs="Times New Roman"/>
          <w:b/>
          <w:bCs/>
          <w:sz w:val="24"/>
        </w:rPr>
        <w:t xml:space="preserve"> Association between lipid-lowering treatment strategies and LDL-C target attainment using the 2023 guideline threshold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173"/>
        <w:gridCol w:w="3010"/>
        <w:gridCol w:w="999"/>
        <w:gridCol w:w="2005"/>
        <w:gridCol w:w="1332"/>
      </w:tblGrid>
      <w:tr w:rsidR="0009778A" w:rsidTr="00265174">
        <w:trPr>
          <w:trHeight w:val="57"/>
        </w:trPr>
        <w:tc>
          <w:tcPr>
            <w:tcW w:w="68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Model</w:t>
            </w:r>
          </w:p>
        </w:tc>
        <w:tc>
          <w:tcPr>
            <w:tcW w:w="176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Comparison</w:t>
            </w:r>
          </w:p>
        </w:tc>
        <w:tc>
          <w:tcPr>
            <w:tcW w:w="58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OR</w:t>
            </w:r>
          </w:p>
        </w:tc>
        <w:tc>
          <w:tcPr>
            <w:tcW w:w="117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>95% CI</w:t>
            </w:r>
          </w:p>
        </w:tc>
        <w:tc>
          <w:tcPr>
            <w:tcW w:w="78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value</w:t>
            </w:r>
          </w:p>
        </w:tc>
      </w:tr>
      <w:tr w:rsidR="0009778A" w:rsidTr="00265174">
        <w:trPr>
          <w:trHeight w:val="57"/>
        </w:trPr>
        <w:tc>
          <w:tcPr>
            <w:tcW w:w="68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GEE</w:t>
            </w:r>
          </w:p>
        </w:tc>
        <w:tc>
          <w:tcPr>
            <w:tcW w:w="176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Combination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vs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no change/stop</w:t>
            </w:r>
          </w:p>
        </w:tc>
        <w:tc>
          <w:tcPr>
            <w:tcW w:w="58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0.32</w:t>
            </w:r>
          </w:p>
        </w:tc>
        <w:tc>
          <w:tcPr>
            <w:tcW w:w="117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0.28–0.37</w:t>
            </w:r>
          </w:p>
        </w:tc>
        <w:tc>
          <w:tcPr>
            <w:tcW w:w="7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9778A" w:rsidTr="00265174">
        <w:trPr>
          <w:trHeight w:val="57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GEE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Dose up-titration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vs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no change/stop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0.55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0.47–0.64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09778A" w:rsidTr="00265174">
        <w:trPr>
          <w:trHeight w:val="57"/>
        </w:trPr>
        <w:tc>
          <w:tcPr>
            <w:tcW w:w="68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GEE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Switch/intensify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vs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no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change/stop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0.78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0.67–0.90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09778A" w:rsidRDefault="0009778A" w:rsidP="00265174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 w:rsidR="0009778A" w:rsidRDefault="0009778A" w:rsidP="0009778A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lastRenderedPageBreak/>
        <w:t xml:space="preserve">LDL-C target attainment was defined as LDL-C &lt;1.4 </w:t>
      </w:r>
      <w:proofErr w:type="spellStart"/>
      <w:r>
        <w:rPr>
          <w:rFonts w:ascii="Times New Roman" w:eastAsia="SimSun" w:hAnsi="Times New Roman" w:cs="Times New Roman"/>
          <w:sz w:val="24"/>
        </w:rPr>
        <w:t>mmol</w:t>
      </w:r>
      <w:proofErr w:type="spellEnd"/>
      <w:r>
        <w:rPr>
          <w:rFonts w:ascii="Times New Roman" w:eastAsia="SimSun" w:hAnsi="Times New Roman" w:cs="Times New Roman"/>
          <w:sz w:val="24"/>
        </w:rPr>
        <w:t>/L according to the 2023 guideline recommendations</w:t>
      </w:r>
    </w:p>
    <w:p w:rsidR="00285CE8" w:rsidRDefault="0009778A">
      <w:bookmarkStart w:id="0" w:name="_GoBack"/>
      <w:bookmarkEnd w:id="0"/>
    </w:p>
    <w:sectPr w:rsidR="00285CE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8A"/>
    <w:rsid w:val="0009778A"/>
    <w:rsid w:val="002C4045"/>
    <w:rsid w:val="008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78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977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78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97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Nezzie Sabate</dc:creator>
  <cp:lastModifiedBy>Nezzie Sabate</cp:lastModifiedBy>
  <cp:revision>1</cp:revision>
  <dcterms:created xsi:type="dcterms:W3CDTF">2026-04-01T02:22:00Z</dcterms:created>
  <dcterms:modified xsi:type="dcterms:W3CDTF">2026-04-01T02:23:00Z</dcterms:modified>
</cp:coreProperties>
</file>