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1964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35855" cy="2879725"/>
            <wp:effectExtent l="0" t="0" r="7620" b="6350"/>
            <wp:docPr id="3" name="图片 3" descr="D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AG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C427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Supplementary Figure 1. Directed Acyclic Graphs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 w14:paraId="75AF6E48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03FCB8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592705" cy="2160270"/>
            <wp:effectExtent l="0" t="0" r="7620" b="1905"/>
            <wp:docPr id="2" name="图片 2" descr="RCS1_final_model_calib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CS1_final_model_calibratio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44A2"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Supplementary Figure 2. Calibration curve at the first TCBI cutoff (953.6)</w:t>
      </w:r>
    </w:p>
    <w:p w14:paraId="39872D7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sz w:val="24"/>
          <w:lang w:val="en-US" w:eastAsia="zh-CN"/>
        </w:rPr>
        <w:t>The vertical axis represents the observed incidence of in‑hospital complications, and the horizontal axis represents the predicted incidence of in‑hospital complications.</w:t>
      </w:r>
    </w:p>
    <w:p w14:paraId="20CF680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46B9991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2592070" cy="2160270"/>
            <wp:effectExtent l="0" t="0" r="8255" b="1905"/>
            <wp:docPr id="1" name="图片 1" descr="RCS1_final_model_calibrati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CS1_final_model_calibration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86E90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Supplementary Figure 3. Calibration curve at the second TCBI cutoff (1525.0)</w:t>
      </w:r>
    </w:p>
    <w:p w14:paraId="37FC800D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Note: The vertical axis represents the observed incidence of in‑hospital complications, and the horizontal axis represents the predicted incidence of in‑hospital complications.</w:t>
      </w:r>
    </w:p>
    <w:p w14:paraId="74E4EFE1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6ED840E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Supplementary Table 1. Area under the curve (AUC) and internal validation results at the first TCBI cutoff (953.6)</w:t>
      </w:r>
    </w:p>
    <w:tbl>
      <w:tblPr>
        <w:tblStyle w:val="4"/>
        <w:tblW w:w="94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742"/>
        <w:gridCol w:w="2026"/>
        <w:gridCol w:w="1138"/>
        <w:gridCol w:w="1644"/>
      </w:tblGrid>
      <w:tr w14:paraId="562F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9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B7A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Original AUC (95% CI)</w:t>
            </w:r>
          </w:p>
        </w:tc>
        <w:tc>
          <w:tcPr>
            <w:tcW w:w="174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0D6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Bootstrap Mean</w:t>
            </w:r>
          </w:p>
        </w:tc>
        <w:tc>
          <w:tcPr>
            <w:tcW w:w="202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9C0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Bootstrap 95% CI</w:t>
            </w:r>
          </w:p>
        </w:tc>
        <w:tc>
          <w:tcPr>
            <w:tcW w:w="11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EAD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Optimism</w:t>
            </w:r>
          </w:p>
        </w:tc>
        <w:tc>
          <w:tcPr>
            <w:tcW w:w="16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85E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Corrected AUC</w:t>
            </w:r>
          </w:p>
        </w:tc>
      </w:tr>
      <w:tr w14:paraId="5B5D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95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D35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8DA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02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E3A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50-0.700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E63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B3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</w:tbl>
    <w:p w14:paraId="427F5226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117ECCC8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Supplementary Table 2. Area under the curve (AUC) and internal validation results at the second TCBI cutoff (1525.0)</w:t>
      </w:r>
    </w:p>
    <w:tbl>
      <w:tblPr>
        <w:tblStyle w:val="4"/>
        <w:tblW w:w="97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2"/>
        <w:gridCol w:w="1738"/>
        <w:gridCol w:w="1875"/>
        <w:gridCol w:w="1188"/>
        <w:gridCol w:w="2031"/>
      </w:tblGrid>
      <w:tr w14:paraId="59DC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7A208">
            <w:pPr>
              <w:widowControl/>
              <w:snapToGrid w:val="0"/>
              <w:spacing w:beforeLines="0" w:afterLine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Original AUC (95% CI)</w:t>
            </w:r>
          </w:p>
        </w:tc>
        <w:tc>
          <w:tcPr>
            <w:tcW w:w="17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5C7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Bootstrap Mean</w:t>
            </w:r>
          </w:p>
        </w:tc>
        <w:tc>
          <w:tcPr>
            <w:tcW w:w="18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C50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Bootstrap 95% CI</w:t>
            </w:r>
          </w:p>
        </w:tc>
        <w:tc>
          <w:tcPr>
            <w:tcW w:w="118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814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Optimism</w:t>
            </w:r>
          </w:p>
        </w:tc>
        <w:tc>
          <w:tcPr>
            <w:tcW w:w="20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DFA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Corrected AUC</w:t>
            </w:r>
          </w:p>
        </w:tc>
      </w:tr>
      <w:tr w14:paraId="7ECC6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442D7">
            <w:pPr>
              <w:widowControl/>
              <w:snapToGrid w:val="0"/>
              <w:spacing w:beforeLines="0" w:afterLine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0.691 </w:t>
            </w:r>
            <w:r>
              <w:rPr>
                <w:rFonts w:hint="default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(0.65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-0.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29</w:t>
            </w:r>
            <w:r>
              <w:rPr>
                <w:rFonts w:hint="default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DA1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85F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-0.735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1F9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203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148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0.683</w:t>
            </w:r>
          </w:p>
        </w:tc>
      </w:tr>
    </w:tbl>
    <w:p w14:paraId="6C4F691C"/>
    <w:p w14:paraId="29F9B58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Supplementary Table 3. Stratified analysis by hospital level (adjusted for variables in Model 3)</w:t>
      </w:r>
    </w:p>
    <w:tbl>
      <w:tblPr>
        <w:tblStyle w:val="4"/>
        <w:tblW w:w="87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3"/>
        <w:gridCol w:w="973"/>
        <w:gridCol w:w="983"/>
        <w:gridCol w:w="2059"/>
        <w:gridCol w:w="1112"/>
      </w:tblGrid>
      <w:tr w14:paraId="5C60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59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21435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Model</w:t>
            </w:r>
          </w:p>
        </w:tc>
        <w:tc>
          <w:tcPr>
            <w:tcW w:w="9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EF097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Beta</w:t>
            </w:r>
          </w:p>
        </w:tc>
        <w:tc>
          <w:tcPr>
            <w:tcW w:w="98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0ABA0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SE</w:t>
            </w:r>
          </w:p>
        </w:tc>
        <w:tc>
          <w:tcPr>
            <w:tcW w:w="205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7A8C8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OR(95% CI)</w:t>
            </w:r>
          </w:p>
        </w:tc>
        <w:tc>
          <w:tcPr>
            <w:tcW w:w="111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56091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value</w:t>
            </w:r>
          </w:p>
        </w:tc>
      </w:tr>
      <w:tr w14:paraId="32A1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1146F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 Base Logistic Regression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AD998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-0.5248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531A3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0.1728</w:t>
            </w:r>
          </w:p>
        </w:tc>
        <w:tc>
          <w:tcPr>
            <w:tcW w:w="20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375B9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(0.42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-0.830)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A4C27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＜0.001</w:t>
            </w:r>
          </w:p>
        </w:tc>
      </w:tr>
      <w:tr w14:paraId="473FB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E060D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 Mixed-effects (random intercept)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65C942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-0.5248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06CF7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0.1728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04E42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(0.42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D80A1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＜0.001</w:t>
            </w:r>
          </w:p>
        </w:tc>
      </w:tr>
      <w:tr w14:paraId="3760E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3BF92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GEE (exchangeable + robust SE)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D7934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-0.5251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A6031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0.1466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A2574D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(0.44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-0.788)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8F22F">
            <w:pPr>
              <w:keepNext w:val="0"/>
              <w:keepLines w:val="0"/>
              <w:widowControl/>
              <w:suppressLineNumbers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＜0.001</w:t>
            </w:r>
          </w:p>
        </w:tc>
      </w:tr>
    </w:tbl>
    <w:p w14:paraId="7953EF15">
      <w:pPr>
        <w:rPr>
          <w:rFonts w:hint="eastAsia"/>
          <w:lang w:val="en-US" w:eastAsia="zh-CN"/>
        </w:rPr>
      </w:pPr>
    </w:p>
    <w:p w14:paraId="3282D27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Supplementary Table 4. Stratified analysis by categories of length of stay (LOS) (adjusted for variables in Model 3)</w:t>
      </w:r>
    </w:p>
    <w:tbl>
      <w:tblPr>
        <w:tblStyle w:val="4"/>
        <w:tblW w:w="54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4"/>
        <w:gridCol w:w="2097"/>
        <w:gridCol w:w="1050"/>
      </w:tblGrid>
      <w:tr w14:paraId="02A3E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344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C188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14:ligatures w14:val="none"/>
              </w:rPr>
              <w:t>LOS Categories</w:t>
            </w:r>
          </w:p>
        </w:tc>
        <w:tc>
          <w:tcPr>
            <w:tcW w:w="2097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117E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OR(95% CI)</w:t>
            </w:r>
          </w:p>
        </w:tc>
        <w:tc>
          <w:tcPr>
            <w:tcW w:w="105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50EB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P value</w:t>
            </w:r>
          </w:p>
        </w:tc>
      </w:tr>
      <w:tr w14:paraId="78F01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E4C9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7-14 days (n=5,380)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D72E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0.710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0.569-0.887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47B5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  <w14:ligatures w14:val="none"/>
              </w:rPr>
              <w:t>0.002</w:t>
            </w:r>
          </w:p>
        </w:tc>
      </w:tr>
      <w:tr w14:paraId="188C2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6D5B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15-30 days (n=2,908)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8D75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0.639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0.541-0.755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1FECA">
            <w:pPr>
              <w:widowControl/>
              <w:snapToGrid w:val="0"/>
              <w:spacing w:beforeLines="0" w:after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</w:tbl>
    <w:p w14:paraId="0BD515AE">
      <w:pPr>
        <w:spacing w:after="0" w:line="240" w:lineRule="auto"/>
        <w:jc w:val="both"/>
        <w:rPr>
          <w:rFonts w:ascii="Times New Roman" w:hAnsi="Times New Roman" w:eastAsia="宋体" w:cs="Times New Roman"/>
          <w:sz w:val="24"/>
          <w14:ligatures w14:val="none"/>
        </w:rPr>
      </w:pPr>
    </w:p>
    <w:p w14:paraId="1C5A109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Supplementary Table 5. Sensitivity analysis according to ICU admission status (adjusted for variables in Model 3)</w:t>
      </w:r>
    </w:p>
    <w:tbl>
      <w:tblPr>
        <w:tblStyle w:val="4"/>
        <w:tblW w:w="64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2282"/>
        <w:gridCol w:w="1067"/>
      </w:tblGrid>
      <w:tr w14:paraId="7C448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1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BE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 admission status</w:t>
            </w:r>
          </w:p>
        </w:tc>
        <w:tc>
          <w:tcPr>
            <w:tcW w:w="2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A9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106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DB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 w14:paraId="15BF0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3D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Excluding ICU patients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46D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0.636(0.550-0.735)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C6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A38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2F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 patients only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A6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0.444(0.313-0.631)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9F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</w:tbl>
    <w:p w14:paraId="653E1E0E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74B9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FC6D5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FC6D5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1B4EBB"/>
    <w:rsid w:val="1D95194F"/>
    <w:rsid w:val="324165BB"/>
    <w:rsid w:val="53723186"/>
    <w:rsid w:val="6B64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1043</Characters>
  <Lines>0</Lines>
  <Paragraphs>0</Paragraphs>
  <TotalTime>38</TotalTime>
  <ScaleCrop>false</ScaleCrop>
  <LinksUpToDate>false</LinksUpToDate>
  <CharactersWithSpaces>1087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2026-03-04T09:35:00Z</dcterms:created>
  <dc:creator>MI</dc:creator>
  <cp:lastModifiedBy>Yonghao</cp:lastModifiedBy>
  <dcterms:modified xsi:type="dcterms:W3CDTF">2026-03-05T08:42:15Z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eyJoZGlkIjoiNDNhNzI5YjdhNTVkNzc3ZmRhNzAwOTM3OTQxZDBiNTAiLCJ1c2VySWQiOiIyMzk1OTE0NjYifQ==</vt:lpwstr>
  </property>
  <property fmtid="{D5CDD505-2E9C-101B-9397-08002B2CF9AE}" pid="4" name="ICV">
    <vt:lpwstr>3D5B28A469BA47BC92104FF630B11351_12</vt:lpwstr>
  </property>
</Properties>
</file>