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12D214">
      <w:pPr>
        <w:spacing w:line="480" w:lineRule="auto"/>
        <w:jc w:val="center"/>
        <w:rPr>
          <w:rFonts w:hint="default" w:ascii="Times New Roman" w:hAnsi="Times New Roman" w:cs="Times New Roman"/>
          <w:b/>
          <w:bCs/>
          <w:sz w:val="24"/>
          <w:szCs w:val="24"/>
          <w:highlight w:val="none"/>
        </w:rPr>
      </w:pPr>
      <w:bookmarkStart w:id="0" w:name="_GoBack"/>
      <w:r>
        <w:rPr>
          <w:rFonts w:hint="default" w:ascii="Times New Roman" w:hAnsi="Times New Roman" w:cs="Times New Roman"/>
          <w:b/>
          <w:bCs/>
          <w:sz w:val="24"/>
          <w:szCs w:val="24"/>
          <w:highlight w:val="none"/>
        </w:rPr>
        <w:t>Supplementary Materials</w:t>
      </w:r>
    </w:p>
    <w:p w14:paraId="5AF6C435">
      <w:pPr>
        <w:pStyle w:val="3"/>
        <w:keepNext w:val="0"/>
        <w:keepLines w:val="0"/>
        <w:widowControl/>
        <w:suppressLineNumbers w:val="0"/>
        <w:spacing w:line="48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Supplementary Methods</w:t>
      </w:r>
    </w:p>
    <w:p w14:paraId="3359649E">
      <w:pPr>
        <w:pStyle w:val="7"/>
        <w:keepNext w:val="0"/>
        <w:keepLines w:val="0"/>
        <w:widowControl/>
        <w:suppressLineNumbers w:val="0"/>
        <w:spacing w:line="480" w:lineRule="auto"/>
        <w:rPr>
          <w:rFonts w:hint="default" w:ascii="Times New Roman" w:hAnsi="Times New Roman" w:eastAsia="宋体" w:cs="Times New Roman"/>
          <w:b/>
          <w:bCs w:val="0"/>
          <w:sz w:val="24"/>
          <w:szCs w:val="24"/>
          <w:highlight w:val="none"/>
        </w:rPr>
      </w:pPr>
      <w:r>
        <w:rPr>
          <w:rFonts w:hint="default" w:ascii="Times New Roman" w:hAnsi="Times New Roman" w:eastAsia="宋体" w:cs="Times New Roman"/>
          <w:b/>
          <w:bCs w:val="0"/>
          <w:sz w:val="24"/>
          <w:szCs w:val="24"/>
          <w:highlight w:val="none"/>
        </w:rPr>
        <w:t>S1. Electroanatomical mapping settings and quality control</w:t>
      </w:r>
    </w:p>
    <w:p w14:paraId="06E4624F">
      <w:pPr>
        <w:pStyle w:val="7"/>
        <w:keepNext w:val="0"/>
        <w:keepLines w:val="0"/>
        <w:widowControl/>
        <w:suppressLineNumbers w:val="0"/>
        <w:spacing w:line="480" w:lineRule="auto"/>
        <w:rPr>
          <w:rStyle w:val="10"/>
          <w:rFonts w:hint="default" w:ascii="Times New Roman" w:hAnsi="Times New Roman" w:eastAsia="宋体" w:cs="Times New Roman"/>
          <w:b w:val="0"/>
          <w:bCs w:val="0"/>
          <w:sz w:val="24"/>
          <w:szCs w:val="24"/>
          <w:highlight w:val="none"/>
          <w:lang w:bidi="ar-SA"/>
        </w:rPr>
      </w:pPr>
      <w:r>
        <w:rPr>
          <w:rStyle w:val="10"/>
          <w:rFonts w:hint="default" w:ascii="Times New Roman" w:hAnsi="Times New Roman" w:eastAsia="宋体" w:cs="Times New Roman"/>
          <w:b w:val="0"/>
          <w:bCs w:val="0"/>
          <w:sz w:val="24"/>
          <w:szCs w:val="24"/>
          <w:highlight w:val="none"/>
          <w:lang w:bidi="ar-SA"/>
        </w:rPr>
        <w:t xml:space="preserve">Left atrial electroanatomical mapping was performed using the CARTO 3 system (Biosense Webster, Irvine, CA, USA) as part of the routine ablation workflow at </w:t>
      </w:r>
      <w:r>
        <w:rPr>
          <w:rStyle w:val="10"/>
          <w:rFonts w:hint="default" w:ascii="Times New Roman" w:hAnsi="Times New Roman" w:eastAsia="宋体" w:cs="Times New Roman"/>
          <w:b w:val="0"/>
          <w:bCs w:val="0"/>
          <w:sz w:val="24"/>
          <w:szCs w:val="24"/>
          <w:highlight w:val="none"/>
          <w:lang w:val="en-US" w:eastAsia="zh-CN" w:bidi="ar-SA"/>
        </w:rPr>
        <w:t>the</w:t>
      </w:r>
      <w:r>
        <w:rPr>
          <w:rStyle w:val="10"/>
          <w:rFonts w:hint="default" w:ascii="Times New Roman" w:hAnsi="Times New Roman" w:eastAsia="宋体" w:cs="Times New Roman"/>
          <w:b w:val="0"/>
          <w:bCs w:val="0"/>
          <w:sz w:val="24"/>
          <w:szCs w:val="24"/>
          <w:highlight w:val="none"/>
          <w:lang w:bidi="ar-SA"/>
        </w:rPr>
        <w:t xml:space="preserve"> center. Whenever feasible, substrate mapping was performed during sinus rhythm after circumferential pulmonary vein isolation, because bipolar voltage assessment is generally more stable during sinus rhythm and less susceptible to rhythm-related voltage attenuation. When sinus rhythm was not present after pulmonary vein isolation, synchronized electrical cardioversion was performed whenever feasible to restore sinus rhythm. In patients in whom sinus rhythm could not be restored or maintained, substrate mapping was performed during the ongoing atrial arrhythmia.</w:t>
      </w:r>
    </w:p>
    <w:p w14:paraId="535BAA66">
      <w:pPr>
        <w:pStyle w:val="7"/>
        <w:keepNext w:val="0"/>
        <w:keepLines w:val="0"/>
        <w:widowControl/>
        <w:suppressLineNumbers w:val="0"/>
        <w:spacing w:line="480" w:lineRule="auto"/>
        <w:rPr>
          <w:rStyle w:val="10"/>
          <w:rFonts w:hint="default" w:ascii="Times New Roman" w:hAnsi="Times New Roman" w:eastAsia="宋体" w:cs="Times New Roman"/>
          <w:b w:val="0"/>
          <w:bCs w:val="0"/>
          <w:sz w:val="24"/>
          <w:szCs w:val="24"/>
          <w:highlight w:val="none"/>
          <w:lang w:bidi="ar-SA"/>
        </w:rPr>
      </w:pPr>
      <w:r>
        <w:rPr>
          <w:rStyle w:val="10"/>
          <w:rFonts w:hint="default" w:ascii="Times New Roman" w:hAnsi="Times New Roman" w:eastAsia="宋体" w:cs="Times New Roman"/>
          <w:b w:val="0"/>
          <w:bCs w:val="0"/>
          <w:sz w:val="24"/>
          <w:szCs w:val="24"/>
          <w:highlight w:val="none"/>
          <w:lang w:bidi="ar-SA"/>
        </w:rPr>
        <w:t>Voltage maps were generated in a point-by-point manner after reconstruction of the left atrial geometry using a PentaRay multipolar mapping catheter (Biosense Webster, Irvine, CA, USA). Mapping was performed with attention to adequate chamber coverage, catheter stability, endocardial contact, and local electrogram quality. Points acquired within the pulmonary vein ostia, along evident ablation lesion sets, or at sites with obvious noise, far-field signals, unstable catheter position, poor contact, non-anatomical location, or excessive point clustering were excluded from substrate assessment to minimize misclassification of mapping artifact or procedural scar as native low-voltage substrate. During map interpretation, electrogram reproducibility and anatomic consistency were additionally reviewed to avoid classifying isolated or nonreproducible low-amplitude signals as true substrate abnormality.</w:t>
      </w:r>
    </w:p>
    <w:p w14:paraId="1EA4249E">
      <w:pPr>
        <w:pStyle w:val="7"/>
        <w:keepNext w:val="0"/>
        <w:keepLines w:val="0"/>
        <w:widowControl/>
        <w:suppressLineNumbers w:val="0"/>
        <w:spacing w:line="480" w:lineRule="auto"/>
        <w:rPr>
          <w:rStyle w:val="10"/>
          <w:rFonts w:hint="default" w:ascii="Times New Roman" w:hAnsi="Times New Roman" w:eastAsia="宋体" w:cs="Times New Roman"/>
          <w:b w:val="0"/>
          <w:bCs w:val="0"/>
          <w:sz w:val="24"/>
          <w:szCs w:val="24"/>
          <w:highlight w:val="none"/>
          <w:lang w:bidi="ar-SA"/>
        </w:rPr>
      </w:pPr>
      <w:r>
        <w:rPr>
          <w:rStyle w:val="10"/>
          <w:rFonts w:hint="default" w:ascii="Times New Roman" w:hAnsi="Times New Roman" w:eastAsia="宋体" w:cs="Times New Roman"/>
          <w:b w:val="0"/>
          <w:bCs w:val="0"/>
          <w:sz w:val="24"/>
          <w:szCs w:val="24"/>
          <w:highlight w:val="none"/>
          <w:lang w:bidi="ar-SA"/>
        </w:rPr>
        <w:t>Particular caution was applied during atrial-arrhythmia mapping. Because bipolar voltage may be attenuated during atrial arrhythmia owing to cycle-length irregularity, changing activation direction, and wavefront collision, electrograms in suspected low-voltage regions were re-evaluated across multiple beats whenever necessary, and regions showing marked beat-to-beat variability were resampled before final classification. In addition, a higher point density was generally sought during atrial-arrhythmia mapping to improve map reliability. These measures were intended to reduce rhythm-related overestimation of left atrial low-voltage areas (LVAs) as much as possible, although some degree of measurement heterogeneity related to mapping rhythm could not be completely eliminated.</w:t>
      </w:r>
    </w:p>
    <w:p w14:paraId="3762F378">
      <w:pPr>
        <w:pStyle w:val="7"/>
        <w:keepNext w:val="0"/>
        <w:keepLines w:val="0"/>
        <w:widowControl/>
        <w:suppressLineNumbers w:val="0"/>
        <w:spacing w:line="48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S2. Definition and retrospective adjudication of left atrial low-voltage areas</w:t>
      </w:r>
    </w:p>
    <w:p w14:paraId="2ABE63B3">
      <w:pPr>
        <w:pStyle w:val="7"/>
        <w:keepNext w:val="0"/>
        <w:keepLines w:val="0"/>
        <w:widowControl/>
        <w:suppressLineNumbers w:val="0"/>
        <w:spacing w:line="480" w:lineRule="auto"/>
        <w:rPr>
          <w:rStyle w:val="10"/>
          <w:rFonts w:hint="default" w:ascii="Times New Roman" w:hAnsi="Times New Roman" w:eastAsia="宋体" w:cs="Times New Roman"/>
          <w:b w:val="0"/>
          <w:bCs/>
          <w:sz w:val="24"/>
          <w:szCs w:val="24"/>
          <w:highlight w:val="none"/>
          <w:lang w:bidi="ar-SA"/>
        </w:rPr>
      </w:pPr>
      <w:r>
        <w:rPr>
          <w:rStyle w:val="10"/>
          <w:rFonts w:hint="default" w:ascii="Times New Roman" w:hAnsi="Times New Roman" w:eastAsia="宋体" w:cs="Times New Roman"/>
          <w:b w:val="0"/>
          <w:bCs/>
          <w:sz w:val="24"/>
          <w:szCs w:val="24"/>
          <w:highlight w:val="none"/>
          <w:lang w:bidi="ar-SA"/>
        </w:rPr>
        <w:t>In the present study, left atrial low-voltage area (LVA) was analyzed primarily as a binary substrate phenotype (present vs. absent), in line with the main study design. The electrophysiological definition of LVA followed the prespecified study protocol: a contiguous low-voltage region composed of more than three adjacent mapping points, each spaced approximately 0.5 cm apart, with bipolar voltage amplitudes &lt;0.5 mV.</w:t>
      </w:r>
    </w:p>
    <w:p w14:paraId="27F80CAD">
      <w:pPr>
        <w:pStyle w:val="7"/>
        <w:keepNext w:val="0"/>
        <w:keepLines w:val="0"/>
        <w:widowControl/>
        <w:suppressLineNumbers w:val="0"/>
        <w:spacing w:line="480" w:lineRule="auto"/>
        <w:rPr>
          <w:rStyle w:val="10"/>
          <w:rFonts w:hint="default" w:ascii="Times New Roman" w:hAnsi="Times New Roman" w:eastAsia="宋体" w:cs="Times New Roman"/>
          <w:b w:val="0"/>
          <w:bCs/>
          <w:sz w:val="24"/>
          <w:szCs w:val="24"/>
          <w:highlight w:val="none"/>
          <w:lang w:bidi="ar-SA"/>
        </w:rPr>
      </w:pPr>
      <w:r>
        <w:rPr>
          <w:rStyle w:val="10"/>
          <w:rFonts w:hint="default" w:ascii="Times New Roman" w:hAnsi="Times New Roman" w:eastAsia="宋体" w:cs="Times New Roman"/>
          <w:b w:val="0"/>
          <w:bCs/>
          <w:sz w:val="24"/>
          <w:szCs w:val="24"/>
          <w:highlight w:val="none"/>
          <w:lang w:bidi="ar-SA"/>
        </w:rPr>
        <w:t xml:space="preserve">Retrospective adjudication of LVA was based primarily on the operator’s procedural documentation of left atrial substrate assessment before substrate modification. At </w:t>
      </w:r>
      <w:r>
        <w:rPr>
          <w:rStyle w:val="10"/>
          <w:rFonts w:hint="default" w:ascii="Times New Roman" w:hAnsi="Times New Roman" w:eastAsia="宋体" w:cs="Times New Roman"/>
          <w:b w:val="0"/>
          <w:bCs/>
          <w:sz w:val="24"/>
          <w:szCs w:val="24"/>
          <w:highlight w:val="none"/>
          <w:lang w:val="en-US" w:eastAsia="zh-CN" w:bidi="ar-SA"/>
        </w:rPr>
        <w:t>this</w:t>
      </w:r>
      <w:r>
        <w:rPr>
          <w:rStyle w:val="10"/>
          <w:rFonts w:hint="default" w:ascii="Times New Roman" w:hAnsi="Times New Roman" w:eastAsia="宋体" w:cs="Times New Roman"/>
          <w:b w:val="0"/>
          <w:bCs/>
          <w:sz w:val="24"/>
          <w:szCs w:val="24"/>
          <w:highlight w:val="none"/>
          <w:lang w:bidi="ar-SA"/>
        </w:rPr>
        <w:t xml:space="preserve"> center, ablation strategy is individualized according to left atrial substrate characteristics, particularly when substrate mapping is interpretable before further substrate-directed ablation. Accordingly, the procedural record routinely documents whether low-voltage substrate is present before substrate modification, its approximate anatomical location, and whether abnormal atrial substrate is identified. These procedural records served as the principal source for binary LVA classification in the present study.</w:t>
      </w:r>
    </w:p>
    <w:p w14:paraId="3FAA7C22">
      <w:pPr>
        <w:pStyle w:val="7"/>
        <w:keepNext w:val="0"/>
        <w:keepLines w:val="0"/>
        <w:widowControl/>
        <w:suppressLineNumbers w:val="0"/>
        <w:spacing w:line="480" w:lineRule="auto"/>
        <w:rPr>
          <w:rStyle w:val="10"/>
          <w:rFonts w:hint="default" w:ascii="Times New Roman" w:hAnsi="Times New Roman" w:eastAsia="宋体" w:cs="Times New Roman"/>
          <w:b w:val="0"/>
          <w:bCs/>
          <w:sz w:val="24"/>
          <w:szCs w:val="24"/>
          <w:highlight w:val="none"/>
          <w:lang w:bidi="ar-SA"/>
        </w:rPr>
      </w:pPr>
      <w:r>
        <w:rPr>
          <w:rStyle w:val="10"/>
          <w:rFonts w:hint="default" w:ascii="Times New Roman" w:hAnsi="Times New Roman" w:eastAsia="宋体" w:cs="Times New Roman"/>
          <w:b w:val="0"/>
          <w:bCs/>
          <w:sz w:val="24"/>
          <w:szCs w:val="24"/>
          <w:highlight w:val="none"/>
          <w:lang w:bidi="ar-SA"/>
        </w:rPr>
        <w:t>To improve reliability, the documented substrate findings were further cross-checked against available archived intra-procedural electroanatomical maps retrieved from the institutional case system. Importantly, LVA adjudication was intended to reflect native substrate abnormalities assessed before substrate modification rather than lesion-related voltage attenuation. Therefore, low-voltage regions attributable to ablation lesions, including those related to pulmonary vein isolation, empirical linear ablation, or vein of Marshall ethanol infusion, were not classified as LVA. Likewise, isolated scattered low-voltage points, regions located predominantly within lesion sets, or low-amplitude signals considered likely to reflect artifact, unstable catheter contact, or rhythm-related beat-to-beat variation were not considered sufficient for LVA classification.</w:t>
      </w:r>
    </w:p>
    <w:p w14:paraId="7C0812ED">
      <w:pPr>
        <w:pStyle w:val="7"/>
        <w:keepNext w:val="0"/>
        <w:keepLines w:val="0"/>
        <w:widowControl/>
        <w:suppressLineNumbers w:val="0"/>
        <w:spacing w:line="480" w:lineRule="auto"/>
        <w:rPr>
          <w:rStyle w:val="10"/>
          <w:rFonts w:hint="default" w:ascii="Times New Roman" w:hAnsi="Times New Roman" w:eastAsia="宋体" w:cs="Times New Roman"/>
          <w:b w:val="0"/>
          <w:bCs/>
          <w:sz w:val="24"/>
          <w:szCs w:val="24"/>
          <w:highlight w:val="none"/>
          <w:lang w:bidi="ar-SA"/>
        </w:rPr>
      </w:pPr>
      <w:r>
        <w:rPr>
          <w:rStyle w:val="10"/>
          <w:rFonts w:hint="default" w:ascii="Times New Roman" w:hAnsi="Times New Roman" w:eastAsia="宋体" w:cs="Times New Roman"/>
          <w:b w:val="0"/>
          <w:bCs/>
          <w:sz w:val="24"/>
          <w:szCs w:val="24"/>
          <w:highlight w:val="none"/>
          <w:lang w:bidi="ar-SA"/>
        </w:rPr>
        <w:t>The primary analysis was intentionally based on binary LVA adjudication rather than quantitative burden measurement in the full cohort. This was because the study was retrospective, and archived mapping data were not uniformly stored in a standardized format suitable for robust quantitative re-analysis in all patients. In addition, some archived maps may have been influenced by procedural interventions before or during substrate assessment, particularly in patients mapped during atrial arrhythmia. For example, in some patients who could not be restored to sinus rhythm after pulmonary vein isolation, empirical linear ablation had to be performed before substrate mapping, which could substantially alter the subsequent voltage distribution. For these reasons, binary adjudication of the presence or absence of native LVA was considered more robust and reproducible for the main analysis than retrospective quantification of LVA burden across the entire cohort.</w:t>
      </w:r>
    </w:p>
    <w:p w14:paraId="238E63B6">
      <w:pPr>
        <w:pStyle w:val="7"/>
        <w:keepNext w:val="0"/>
        <w:keepLines w:val="0"/>
        <w:widowControl/>
        <w:suppressLineNumbers w:val="0"/>
        <w:spacing w:line="480" w:lineRule="auto"/>
        <w:rPr>
          <w:rStyle w:val="10"/>
          <w:rFonts w:hint="default" w:ascii="Times New Roman" w:hAnsi="Times New Roman" w:eastAsia="宋体" w:cs="Times New Roman"/>
          <w:b w:val="0"/>
          <w:bCs/>
          <w:sz w:val="24"/>
          <w:szCs w:val="24"/>
          <w:highlight w:val="none"/>
          <w:lang w:bidi="ar-SA"/>
        </w:rPr>
      </w:pPr>
      <w:r>
        <w:rPr>
          <w:rStyle w:val="10"/>
          <w:rFonts w:hint="default" w:ascii="Times New Roman" w:hAnsi="Times New Roman" w:eastAsia="宋体" w:cs="Times New Roman"/>
          <w:b w:val="0"/>
          <w:bCs/>
          <w:sz w:val="24"/>
          <w:szCs w:val="24"/>
          <w:highlight w:val="none"/>
          <w:lang w:bidi="ar-SA"/>
        </w:rPr>
        <w:t>Patients mapped during atrial arrhythmia were not excluded from the primary binary analysis, because in real-world procedural practice they often represent a subgroup with more advanced atrial remodeling and greater difficulty achieving rhythm conversion. Excluding such patients could therefore have reduced cohort representativeness and selectively removed individuals with more abnormal atrial substrate. The potential influence of mapping rhythm on the robustness of the main findings was therefore addressed in prespecified sensitivity analyses.</w:t>
      </w:r>
    </w:p>
    <w:p w14:paraId="612B4B49">
      <w:pPr>
        <w:pStyle w:val="7"/>
        <w:keepNext w:val="0"/>
        <w:keepLines w:val="0"/>
        <w:widowControl/>
        <w:suppressLineNumbers w:val="0"/>
        <w:spacing w:line="480" w:lineRule="auto"/>
        <w:rPr>
          <w:rFonts w:hint="default" w:ascii="Times New Roman" w:hAnsi="Times New Roman" w:eastAsia="宋体" w:cs="Times New Roman"/>
          <w:b/>
          <w:bCs w:val="0"/>
          <w:sz w:val="24"/>
          <w:szCs w:val="24"/>
          <w:highlight w:val="none"/>
        </w:rPr>
      </w:pPr>
      <w:r>
        <w:rPr>
          <w:rFonts w:hint="default" w:ascii="Times New Roman" w:hAnsi="Times New Roman" w:eastAsia="宋体" w:cs="Times New Roman"/>
          <w:b/>
          <w:bCs w:val="0"/>
          <w:sz w:val="24"/>
          <w:szCs w:val="24"/>
          <w:highlight w:val="none"/>
        </w:rPr>
        <w:t>S3. Quantitative measurement and quality control of left atrial low-voltage burden</w:t>
      </w:r>
    </w:p>
    <w:p w14:paraId="17F55B74">
      <w:pPr>
        <w:pStyle w:val="7"/>
        <w:keepNext w:val="0"/>
        <w:keepLines w:val="0"/>
        <w:widowControl/>
        <w:suppressLineNumbers w:val="0"/>
        <w:spacing w:line="480" w:lineRule="auto"/>
        <w:rPr>
          <w:rStyle w:val="10"/>
          <w:rFonts w:hint="default" w:ascii="Times New Roman" w:hAnsi="Times New Roman" w:eastAsia="宋体" w:cs="Times New Roman"/>
          <w:b w:val="0"/>
          <w:bCs/>
          <w:sz w:val="24"/>
          <w:szCs w:val="24"/>
          <w:highlight w:val="none"/>
          <w:lang w:bidi="ar-SA"/>
        </w:rPr>
      </w:pPr>
      <w:r>
        <w:rPr>
          <w:rStyle w:val="10"/>
          <w:rFonts w:hint="default" w:ascii="Times New Roman" w:hAnsi="Times New Roman" w:eastAsia="宋体" w:cs="Times New Roman"/>
          <w:b w:val="0"/>
          <w:bCs/>
          <w:sz w:val="24"/>
          <w:szCs w:val="24"/>
          <w:highlight w:val="none"/>
          <w:lang w:bidi="ar-SA"/>
        </w:rPr>
        <w:t>In addition to the primary binary analysis, supplementary quantitative analyses were performed in a subset of patients with archived maps suitable for standardized measurement of left atrial low-voltage burden. These analyses were supplementary in nature and were not part of the primary study design.</w:t>
      </w:r>
    </w:p>
    <w:p w14:paraId="013BBACE">
      <w:pPr>
        <w:pStyle w:val="7"/>
        <w:keepNext w:val="0"/>
        <w:keepLines w:val="0"/>
        <w:widowControl/>
        <w:suppressLineNumbers w:val="0"/>
        <w:spacing w:line="480" w:lineRule="auto"/>
        <w:rPr>
          <w:rStyle w:val="10"/>
          <w:rFonts w:hint="default" w:ascii="Times New Roman" w:hAnsi="Times New Roman" w:eastAsia="宋体" w:cs="Times New Roman"/>
          <w:b w:val="0"/>
          <w:bCs/>
          <w:sz w:val="24"/>
          <w:szCs w:val="24"/>
          <w:highlight w:val="none"/>
          <w:lang w:bidi="ar-SA"/>
        </w:rPr>
      </w:pPr>
      <w:r>
        <w:rPr>
          <w:rStyle w:val="10"/>
          <w:rFonts w:hint="default" w:ascii="Times New Roman" w:hAnsi="Times New Roman" w:eastAsia="宋体" w:cs="Times New Roman"/>
          <w:b w:val="0"/>
          <w:bCs/>
          <w:sz w:val="24"/>
          <w:szCs w:val="24"/>
          <w:highlight w:val="none"/>
          <w:lang w:bidi="ar-SA"/>
        </w:rPr>
        <w:t>For the present supplementary analyses, three quantitative variables were exported: the number of accepted mapping points per patient, total LVA burden, and regional LVA burden. The number of accepted mapping points per patient was used as a descriptive indicator of mapping density after exclusion of points considered unsuitable for substrate assessment. Regional LVA burden was defined as the proportion of low-voltage area within a given predefined region relative to the total analyzable left atrial surface area. Total LVA burden was calculated as the sum of the regional LVA burdens across all predefined analyzable regions. Quantitative measurements were performed manually using the measurement tools integrated in the CARTO 3 system.</w:t>
      </w:r>
    </w:p>
    <w:p w14:paraId="55B73648">
      <w:pPr>
        <w:pStyle w:val="7"/>
        <w:keepNext w:val="0"/>
        <w:keepLines w:val="0"/>
        <w:widowControl/>
        <w:suppressLineNumbers w:val="0"/>
        <w:spacing w:line="480" w:lineRule="auto"/>
        <w:rPr>
          <w:rStyle w:val="10"/>
          <w:rFonts w:hint="default" w:ascii="Times New Roman" w:hAnsi="Times New Roman" w:eastAsia="宋体" w:cs="Times New Roman"/>
          <w:b w:val="0"/>
          <w:bCs/>
          <w:sz w:val="24"/>
          <w:szCs w:val="24"/>
          <w:highlight w:val="none"/>
          <w:lang w:bidi="ar-SA"/>
        </w:rPr>
      </w:pPr>
      <w:r>
        <w:rPr>
          <w:rStyle w:val="10"/>
          <w:rFonts w:hint="default" w:ascii="Times New Roman" w:hAnsi="Times New Roman" w:eastAsia="宋体" w:cs="Times New Roman"/>
          <w:b w:val="0"/>
          <w:bCs/>
          <w:sz w:val="24"/>
          <w:szCs w:val="24"/>
          <w:highlight w:val="none"/>
          <w:lang w:bidi="ar-SA"/>
        </w:rPr>
        <w:t>Regional analyses were restricted to anatomically reproducible regions with relatively stable mapping reliability, including the anterior wall, posterior wall, roof, inferior wall, and right pulmonary vein antrum. In contrast, the mitral isthmus region, septal region, and the area adjacent to the left atrial appendage were not included in the quantitative burden analyses. These regions were excluded because they were more susceptible to mapping error or procedural influence, particularly from vein of Marshall ethanol infusion, complex local anatomy, and limited catheter accessibility. Quantitative LVA burden was assessed using the same voltage definition as in the main analysis (&lt;0.5 mV).</w:t>
      </w:r>
    </w:p>
    <w:p w14:paraId="2C991A32">
      <w:pPr>
        <w:pStyle w:val="7"/>
        <w:keepNext w:val="0"/>
        <w:keepLines w:val="0"/>
        <w:widowControl/>
        <w:suppressLineNumbers w:val="0"/>
        <w:spacing w:line="480" w:lineRule="auto"/>
        <w:rPr>
          <w:rStyle w:val="10"/>
          <w:rFonts w:hint="default" w:ascii="Times New Roman" w:hAnsi="Times New Roman" w:eastAsia="宋体" w:cs="Times New Roman"/>
          <w:b w:val="0"/>
          <w:bCs/>
          <w:sz w:val="24"/>
          <w:szCs w:val="24"/>
          <w:highlight w:val="none"/>
          <w:lang w:bidi="ar-SA"/>
        </w:rPr>
      </w:pPr>
      <w:r>
        <w:rPr>
          <w:rStyle w:val="10"/>
          <w:rFonts w:hint="default" w:ascii="Times New Roman" w:hAnsi="Times New Roman" w:eastAsia="宋体" w:cs="Times New Roman"/>
          <w:b w:val="0"/>
          <w:bCs/>
          <w:sz w:val="24"/>
          <w:szCs w:val="24"/>
          <w:highlight w:val="none"/>
          <w:lang w:bidi="ar-SA"/>
        </w:rPr>
        <w:t>To maintain measurement quality, quantitative analyses were limited to archived maps that allowed reproducible assessment of the predefined analyzable regions. Maps were considered suitable only when left atrial geometry was adequate, anatomical orientation was consistent, and the included regions had no major geometric defects or obvious distortion from lesion-related low-voltage change. Only accepted mapping points were used for quantitative analysis. As described in Supplementary Method S1, points within the pulmonary vein ostia, along evident ablation lesion sets, or at sites with obvious noise, far-field signals, unstable catheter position, poor contact, non-anatomical location, or excessive point clustering were excluded before quantitative assessment.</w:t>
      </w:r>
    </w:p>
    <w:p w14:paraId="017C9577">
      <w:pPr>
        <w:pStyle w:val="7"/>
        <w:keepNext w:val="0"/>
        <w:keepLines w:val="0"/>
        <w:widowControl/>
        <w:suppressLineNumbers w:val="0"/>
        <w:spacing w:line="480" w:lineRule="auto"/>
        <w:rPr>
          <w:rStyle w:val="10"/>
          <w:rFonts w:hint="default" w:ascii="Times New Roman" w:hAnsi="Times New Roman" w:eastAsia="宋体" w:cs="Times New Roman"/>
          <w:b w:val="0"/>
          <w:bCs/>
          <w:sz w:val="24"/>
          <w:szCs w:val="24"/>
          <w:highlight w:val="none"/>
          <w:lang w:bidi="ar-SA"/>
        </w:rPr>
      </w:pPr>
      <w:r>
        <w:rPr>
          <w:rStyle w:val="10"/>
          <w:rFonts w:hint="default" w:ascii="Times New Roman" w:hAnsi="Times New Roman" w:eastAsia="宋体" w:cs="Times New Roman"/>
          <w:b w:val="0"/>
          <w:bCs/>
          <w:sz w:val="24"/>
          <w:szCs w:val="24"/>
          <w:highlight w:val="none"/>
          <w:lang w:bidi="ar-SA"/>
        </w:rPr>
        <w:t>Because maps acquired during atrial arrhythmia were more frequently incompletely archived and were more susceptible to the effects of intraprocedural ablation, they were not included in the standardized analyses of the association between LDL-C and quantitative LVA burden. However, available quantitative data from maps obtained during both sinus rhythm and atrial arrhythmia were retained for a descriptive sensitivity comparison of mapping characteristics according to mapping rhythm. For example, in some patients who could not be restored to sinus rhythm after pulmonary vein isolation, empirical linear ablation may have been performed before substrate mapping, potentially altering the subsequent voltage distribution. Therefore, all subsequent analyses of regional and total LVA burden in relation to LDL-C were restricted to patients with complete maps obtained during sinus rhythm.</w:t>
      </w:r>
    </w:p>
    <w:p w14:paraId="489B159F">
      <w:pPr>
        <w:pStyle w:val="7"/>
        <w:keepNext w:val="0"/>
        <w:keepLines w:val="0"/>
        <w:widowControl/>
        <w:suppressLineNumbers w:val="0"/>
        <w:spacing w:line="480" w:lineRule="auto"/>
        <w:rPr>
          <w:rStyle w:val="10"/>
          <w:rFonts w:hint="default" w:ascii="Times New Roman" w:hAnsi="Times New Roman" w:eastAsia="宋体" w:cs="Times New Roman"/>
          <w:b w:val="0"/>
          <w:bCs/>
          <w:sz w:val="24"/>
          <w:szCs w:val="24"/>
          <w:highlight w:val="none"/>
          <w:lang w:bidi="ar-SA"/>
        </w:rPr>
      </w:pPr>
      <w:r>
        <w:rPr>
          <w:rStyle w:val="10"/>
          <w:rFonts w:hint="default" w:ascii="Times New Roman" w:hAnsi="Times New Roman" w:eastAsia="宋体" w:cs="Times New Roman"/>
          <w:b w:val="0"/>
          <w:bCs/>
          <w:sz w:val="24"/>
          <w:szCs w:val="24"/>
          <w:highlight w:val="none"/>
          <w:lang w:bidi="ar-SA"/>
        </w:rPr>
        <w:t>Missing data in the quantitative analyses were mainly due to incomplete archival storage or insufficient map quality for standardized measurement, rather than routine clinical variable missingness. Because the proportion of incomplete quantitative mapping data was low (&lt;10%), no imputation was performed. Instead, a complete-case approach was used, and patients with incomplete quantitative mapping information were excluded from the corresponding analyses.</w:t>
      </w:r>
    </w:p>
    <w:p w14:paraId="5A5B74C9">
      <w:pPr>
        <w:pStyle w:val="7"/>
        <w:keepNext w:val="0"/>
        <w:keepLines w:val="0"/>
        <w:widowControl/>
        <w:suppressLineNumbers w:val="0"/>
        <w:spacing w:line="480" w:lineRule="auto"/>
        <w:rPr>
          <w:rStyle w:val="10"/>
          <w:rFonts w:hint="default" w:ascii="Times New Roman" w:hAnsi="Times New Roman" w:cs="Times New Roman"/>
          <w:sz w:val="24"/>
          <w:szCs w:val="24"/>
          <w:highlight w:val="none"/>
          <w:lang w:bidi="ar-SA"/>
        </w:rPr>
      </w:pPr>
      <w:r>
        <w:rPr>
          <w:rStyle w:val="10"/>
          <w:rFonts w:hint="default" w:ascii="Times New Roman" w:hAnsi="Times New Roman" w:eastAsia="宋体" w:cs="Times New Roman"/>
          <w:b w:val="0"/>
          <w:bCs/>
          <w:sz w:val="24"/>
          <w:szCs w:val="24"/>
          <w:highlight w:val="none"/>
          <w:lang w:bidi="ar-SA"/>
        </w:rPr>
        <w:t>The primary analyses in the main manuscript remained based on the binary presence or absence of LVA in the full cohort, whereas the quantitative analyses were performed as supplementary sensitivity analyses in the sinus-rhythm subgroup with complete archived maps.</w:t>
      </w:r>
    </w:p>
    <w:p w14:paraId="4DA3F61E">
      <w:pPr>
        <w:spacing w:line="480" w:lineRule="auto"/>
        <w:rPr>
          <w:rFonts w:hint="default" w:ascii="Times New Roman" w:hAnsi="Times New Roman" w:eastAsia="宋体" w:cs="Times New Roman"/>
          <w:b/>
          <w:bCs/>
          <w:kern w:val="0"/>
          <w:sz w:val="24"/>
          <w:szCs w:val="24"/>
          <w:highlight w:val="none"/>
          <w:lang w:val="en-US" w:eastAsia="zh-CN" w:bidi="ar"/>
        </w:rPr>
      </w:pPr>
      <w:r>
        <w:rPr>
          <w:rFonts w:hint="default" w:ascii="Times New Roman" w:hAnsi="Times New Roman" w:eastAsia="宋体" w:cs="Times New Roman"/>
          <w:b/>
          <w:bCs/>
          <w:kern w:val="0"/>
          <w:sz w:val="24"/>
          <w:szCs w:val="24"/>
          <w:highlight w:val="none"/>
          <w:lang w:val="en-US" w:eastAsia="zh-CN" w:bidi="ar"/>
        </w:rPr>
        <w:t>S4. Procedural details</w:t>
      </w:r>
    </w:p>
    <w:p w14:paraId="084B76B4">
      <w:pPr>
        <w:spacing w:line="480" w:lineRule="auto"/>
        <w:rPr>
          <w:rStyle w:val="10"/>
          <w:rFonts w:hint="default" w:ascii="Times New Roman" w:hAnsi="Times New Roman" w:eastAsia="宋体" w:cs="Times New Roman"/>
          <w:b w:val="0"/>
          <w:bCs/>
          <w:kern w:val="0"/>
          <w:sz w:val="24"/>
          <w:szCs w:val="24"/>
          <w:highlight w:val="none"/>
          <w:lang w:val="en-US" w:eastAsia="zh-CN" w:bidi="ar-SA"/>
        </w:rPr>
      </w:pPr>
      <w:r>
        <w:rPr>
          <w:rStyle w:val="10"/>
          <w:rFonts w:hint="default" w:ascii="Times New Roman" w:hAnsi="Times New Roman" w:eastAsia="宋体" w:cs="Times New Roman"/>
          <w:b w:val="0"/>
          <w:bCs/>
          <w:kern w:val="0"/>
          <w:sz w:val="24"/>
          <w:szCs w:val="24"/>
          <w:highlight w:val="none"/>
          <w:lang w:val="en-US" w:eastAsia="zh-CN" w:bidi="ar-SA"/>
        </w:rPr>
        <w:t>In selected patients with long-standing persistent atrial fibrillation and enlarged left atrial diameter, adjunctive vein of Marshall ethanol infusion (VOMEI) was performed as part of the substrate modification strategy (Supplementary Figure S1). As a participating center in the STABLE-SR-III study</w:t>
      </w:r>
      <w:r>
        <w:rPr>
          <w:rStyle w:val="10"/>
          <w:rFonts w:hint="eastAsia" w:ascii="Times New Roman" w:hAnsi="Times New Roman" w:eastAsia="宋体" w:cs="Times New Roman"/>
          <w:b w:val="0"/>
          <w:bCs/>
          <w:kern w:val="0"/>
          <w:sz w:val="24"/>
          <w:szCs w:val="24"/>
          <w:highlight w:val="none"/>
          <w:lang w:val="en-US" w:eastAsia="zh-CN" w:bidi="ar-SA"/>
        </w:rPr>
        <w:t xml:space="preserve"> </w:t>
      </w:r>
      <w:r>
        <w:rPr>
          <w:rStyle w:val="10"/>
          <w:rFonts w:hint="default" w:ascii="Times New Roman" w:hAnsi="Times New Roman" w:eastAsia="宋体" w:cs="Times New Roman"/>
          <w:b w:val="0"/>
          <w:bCs/>
          <w:kern w:val="0"/>
          <w:sz w:val="24"/>
          <w:szCs w:val="24"/>
          <w:highlight w:val="none"/>
          <w:lang w:val="en-US" w:eastAsia="zh-CN" w:bidi="ar-SA"/>
        </w:rPr>
        <w:fldChar w:fldCharType="begin"/>
      </w:r>
      <w:r>
        <w:rPr>
          <w:rStyle w:val="10"/>
          <w:rFonts w:hint="eastAsia" w:ascii="Times New Roman" w:hAnsi="Times New Roman" w:eastAsia="宋体" w:cs="Times New Roman"/>
          <w:b w:val="0"/>
          <w:bCs/>
          <w:kern w:val="0"/>
          <w:sz w:val="24"/>
          <w:szCs w:val="24"/>
          <w:highlight w:val="none"/>
          <w:lang w:val="en-US" w:eastAsia="zh-CN" w:bidi="ar-SA"/>
        </w:rPr>
        <w:instrText xml:space="preserve"> ADDIN ZOTERO_ITEM CSL_CITATION {"citationID":"b5eUBHiV","properties":{"formattedCitation":"[1]","plainCitation":"[1]","noteIndex":0},"citationItems":[{"id":1539,"uris":["http://zotero.org/users/local/BLW9bsIX/items/46BXDSXG"],"itemData":{"id":1539,"type":"article-journal","abstract":"IMPORTANCE: The overall success rate of circumferential pulmonary vein isolation (CPVI) treatment in patients with paroxysmal atrial fibrillation (AF) remains suboptimal, especially in older patients.\nOBJECTIVE: To explore the incremental benefit of low-voltage-area ablation after CPVI in older patients with paroxysmal AF.\nDESIGN, SETTING, AND PARTICIPANTS: This randomized clinical trial was an investigator-initiated trial to compare the efficacy of additional low-voltage-area ablation beyond CPVI vs CPVI alone in older patients with paroxysmal AF. Participants were patients aged 65 to 80 years with paroxysmal AF who were referred for catheter ablation. They were enrolled in 14 tertiary hospitals in China from April 1, 2018, to August 3, 2020, and follow-up occurred through August 15, 2021.\nINTERVENTIONS: Patients were randomized (1:1) to undergo CPVI plus low-voltage-area ablation or CPVI alone. Low-voltage areas were defined as areas with amplitude less than 0.5 mV in more than 3 adjacent points. If low-voltage areas existed, additional substrate ablation was performed in the CPVI plus group but not the CPVI alone group.\nMAIN OUTCOMES AND MEASURES: The primary end point of the study was freedom from atrial tachyarrhythmia as documented by electrocardiogram during a clinical visit or lasting longer than 30 seconds during Holter recordings occurring after a single ablation procedure.\nRESULTS: Among 438 patients who were randomized (mean [SD] age, 70.5 [4.4] years; 219 men [50%]), 24 (5.5%) did not complete the blanking period and were not included for efficacy analysis. After a median follow-up of 23 months, the recurrence rate of atrial tachyarrhythmia was significantly lower in the CPVI plus group (31/209 patients, 15%) compared with the CPVI alone group (49/205, 24%; hazard ratio [HR], 0.61; 95% CI, 0.38-0.95; P = .03). In subgroup analyses, among all patients with low-voltage area, CPVI plus substrate modification was associated with a 51% decreased risk of ATA recurrence compared with CPVI alone (HR, 0.49; 95% CI, 0.25-0.94; P = .03).\nCONCLUSIONS AND RELEVANCE: This study found that additional low-voltage-area ablation beyond CPVI decreased the ATA recurrence in older patients with paroxysmal AF compared with CPVI alone. Our findings merit further replication by larger trials with longer follow-up.\nTRIAL REGISTRATION: ClinicalTrials.gov Identifier: NCT03462628.","container-title":"JAMA cardiology","DOI":"10.1001/jamacardio.2023.1749","ISSN":"2380-6591","issue":"8","journalAbbreviation":"JAMA Cardiol","language":"eng","note":"TLDR: This study found that additional low-voltage-area ablation beyond CPVI decreased the ATA recurrence in older patients with paroxysmal AF compared with CPVI alone.","page":"765-772","PMID":"37378966","PMCID":"PMC10308299","source":"PubMed","title":"Circumferential pulmonary vein isolation with vs without additional low-voltage-area ablation in older patients with paroxysmal atrial fibrillation: A randomized clinical trial","title-short":"Circumferential Pulmonary Vein Isolation With vs Without Additional Low-Voltage-Area Ablation in Older Patients With Paroxysmal Atrial Fibrillation","volume":"8","author":[{"family":"Chen","given":"Hongwu"},{"family":"Li","given":"Chengzong"},{"family":"Han","given":"Bing"},{"family":"Xiao","given":"Fangyi"},{"family":"Yi","given":"Fu"},{"family":"Wei","given":"Youquan"},{"family":"Jiang","given":"Chenyang"},{"family":"Zou","given":"Cao"},{"family":"Shi","given":"Linsheng"},{"family":"Ma","given":"Wei"},{"family":"Wang","given":"Weiming"},{"family":"Wang","given":"Yuegang"},{"family":"Du","given":"Hong"},{"family":"Chen","given":"Long"},{"family":"Chen","given":"Minglong"},{"literal":"STABLE-SR-III Investigators"}],"issued":{"date-parts":[["2023",8,1]]}}}],"schema":"https://github.com/citation-style-language/schema/raw/master/csl-citation.json"} </w:instrText>
      </w:r>
      <w:r>
        <w:rPr>
          <w:rStyle w:val="10"/>
          <w:rFonts w:hint="default" w:ascii="Times New Roman" w:hAnsi="Times New Roman" w:eastAsia="宋体" w:cs="Times New Roman"/>
          <w:b w:val="0"/>
          <w:bCs/>
          <w:kern w:val="0"/>
          <w:sz w:val="24"/>
          <w:szCs w:val="24"/>
          <w:highlight w:val="none"/>
          <w:lang w:val="en-US" w:eastAsia="zh-CN" w:bidi="ar-SA"/>
        </w:rPr>
        <w:fldChar w:fldCharType="separate"/>
      </w:r>
      <w:r>
        <w:rPr>
          <w:rFonts w:hint="default" w:ascii="Times New Roman" w:hAnsi="Times New Roman" w:eastAsia="宋体" w:cs="Times New Roman"/>
          <w:sz w:val="24"/>
          <w:highlight w:val="none"/>
          <w:lang w:eastAsia="zh-CN"/>
        </w:rPr>
        <w:t>[1]</w:t>
      </w:r>
      <w:r>
        <w:rPr>
          <w:rStyle w:val="10"/>
          <w:rFonts w:hint="default" w:ascii="Times New Roman" w:hAnsi="Times New Roman" w:eastAsia="宋体" w:cs="Times New Roman"/>
          <w:b w:val="0"/>
          <w:bCs/>
          <w:kern w:val="0"/>
          <w:sz w:val="24"/>
          <w:szCs w:val="24"/>
          <w:highlight w:val="none"/>
          <w:lang w:val="en-US" w:eastAsia="zh-CN" w:bidi="ar-SA"/>
        </w:rPr>
        <w:fldChar w:fldCharType="end"/>
      </w:r>
      <w:r>
        <w:rPr>
          <w:rStyle w:val="10"/>
          <w:rFonts w:hint="default" w:ascii="Times New Roman" w:hAnsi="Times New Roman" w:eastAsia="宋体" w:cs="Times New Roman"/>
          <w:b w:val="0"/>
          <w:bCs/>
          <w:kern w:val="0"/>
          <w:sz w:val="24"/>
          <w:szCs w:val="24"/>
          <w:highlight w:val="none"/>
          <w:lang w:val="en-US" w:eastAsia="zh-CN" w:bidi="ar-SA"/>
        </w:rPr>
        <w:t>, the center has accumulated experience with substrate-guided ablation strategies based on circumferential pulmonary vein isolation and additional modification tailored to abnormal left atrial substrate distribution (Supplementary Figure S2). In the present cohort, adjunctive lesion sets were applied at the operator’s discretion according to the substrate pattern and procedural findings.</w:t>
      </w:r>
    </w:p>
    <w:p w14:paraId="4969FA60">
      <w:pPr>
        <w:spacing w:line="480" w:lineRule="auto"/>
        <w:rPr>
          <w:rFonts w:hint="default" w:ascii="Times New Roman" w:hAnsi="Times New Roman" w:eastAsia="宋体" w:cs="Times New Roman"/>
          <w:b/>
          <w:bCs/>
          <w:kern w:val="0"/>
          <w:sz w:val="24"/>
          <w:szCs w:val="24"/>
          <w:highlight w:val="none"/>
          <w:lang w:val="en-US" w:eastAsia="zh-CN" w:bidi="ar"/>
        </w:rPr>
      </w:pPr>
    </w:p>
    <w:p w14:paraId="1AED07A0">
      <w:pPr>
        <w:numPr>
          <w:ilvl w:val="0"/>
          <w:numId w:val="0"/>
        </w:numPr>
        <w:spacing w:line="480" w:lineRule="auto"/>
        <w:rPr>
          <w:rFonts w:hint="default" w:ascii="Times New Roman" w:hAnsi="Times New Roman" w:cs="Times New Roman"/>
          <w:b/>
          <w:bCs/>
          <w:kern w:val="0"/>
          <w:sz w:val="24"/>
          <w:szCs w:val="24"/>
          <w:highlight w:val="none"/>
          <w:lang w:eastAsia="zh-CN" w:bidi="ar"/>
        </w:rPr>
      </w:pPr>
      <w:r>
        <w:rPr>
          <w:rFonts w:hint="default" w:ascii="Times New Roman" w:hAnsi="Times New Roman" w:cs="Times New Roman"/>
          <w:b/>
          <w:bCs/>
          <w:kern w:val="0"/>
          <w:sz w:val="24"/>
          <w:szCs w:val="24"/>
          <w:highlight w:val="none"/>
          <w:lang w:val="en-US" w:eastAsia="zh-CN" w:bidi="ar"/>
        </w:rPr>
        <w:t>S4.1. V</w:t>
      </w:r>
      <w:r>
        <w:rPr>
          <w:rFonts w:hint="default" w:ascii="Times New Roman" w:hAnsi="Times New Roman" w:cs="Times New Roman"/>
          <w:b/>
          <w:bCs/>
          <w:kern w:val="0"/>
          <w:sz w:val="24"/>
          <w:szCs w:val="24"/>
          <w:highlight w:val="none"/>
          <w:lang w:eastAsia="zh-CN" w:bidi="ar"/>
        </w:rPr>
        <w:t>ein of Marshall ethanol infusion</w:t>
      </w:r>
    </w:p>
    <w:p w14:paraId="48DFDB3C">
      <w:pPr>
        <w:numPr>
          <w:ilvl w:val="0"/>
          <w:numId w:val="0"/>
        </w:numPr>
        <w:spacing w:line="480" w:lineRule="auto"/>
        <w:rPr>
          <w:rFonts w:hint="default" w:ascii="Times New Roman" w:hAnsi="Times New Roman" w:cs="Times New Roman"/>
          <w:b/>
          <w:bCs/>
          <w:kern w:val="0"/>
          <w:sz w:val="24"/>
          <w:szCs w:val="24"/>
          <w:highlight w:val="none"/>
          <w:lang w:eastAsia="zh-CN" w:bidi="ar"/>
        </w:rPr>
      </w:pPr>
    </w:p>
    <w:p w14:paraId="124A3A8D">
      <w:pPr>
        <w:spacing w:line="48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drawing>
          <wp:inline distT="0" distB="0" distL="114300" distR="114300">
            <wp:extent cx="5358130" cy="2654300"/>
            <wp:effectExtent l="0" t="0" r="1270" b="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a:xfrm>
                      <a:off x="0" y="0"/>
                      <a:ext cx="5358130" cy="2654300"/>
                    </a:xfrm>
                    <a:prstGeom prst="rect">
                      <a:avLst/>
                    </a:prstGeom>
                    <a:effectLst/>
                  </pic:spPr>
                </pic:pic>
              </a:graphicData>
            </a:graphic>
          </wp:inline>
        </w:drawing>
      </w:r>
    </w:p>
    <w:p w14:paraId="0432E711">
      <w:pPr>
        <w:pStyle w:val="7"/>
        <w:widowControl/>
        <w:spacing w:line="480" w:lineRule="auto"/>
        <w:rPr>
          <w:rStyle w:val="10"/>
          <w:rFonts w:hint="default" w:ascii="Times New Roman" w:hAnsi="Times New Roman" w:eastAsia="宋体" w:cs="Times New Roman"/>
          <w:b w:val="0"/>
          <w:bCs/>
          <w:sz w:val="24"/>
          <w:szCs w:val="24"/>
          <w:highlight w:val="none"/>
        </w:rPr>
      </w:pPr>
      <w:r>
        <w:rPr>
          <w:rStyle w:val="10"/>
          <w:rFonts w:hint="default" w:ascii="Times New Roman" w:hAnsi="Times New Roman" w:eastAsia="宋体" w:cs="Times New Roman"/>
          <w:b w:val="0"/>
          <w:bCs/>
          <w:sz w:val="24"/>
          <w:szCs w:val="24"/>
          <w:highlight w:val="none"/>
        </w:rPr>
        <w:t xml:space="preserve">The stepwise procedural workflow of VOMEI is illustrated in </w:t>
      </w:r>
      <w:r>
        <w:rPr>
          <w:rStyle w:val="10"/>
          <w:rFonts w:hint="default" w:ascii="Times New Roman" w:hAnsi="Times New Roman" w:eastAsia="宋体" w:cs="Times New Roman"/>
          <w:b/>
          <w:bCs w:val="0"/>
          <w:sz w:val="24"/>
          <w:szCs w:val="24"/>
          <w:highlight w:val="none"/>
        </w:rPr>
        <w:t>Supplementary Figure S1</w:t>
      </w:r>
      <w:r>
        <w:rPr>
          <w:rStyle w:val="10"/>
          <w:rFonts w:hint="default" w:ascii="Times New Roman" w:hAnsi="Times New Roman" w:eastAsia="宋体" w:cs="Times New Roman"/>
          <w:b w:val="0"/>
          <w:bCs/>
          <w:sz w:val="24"/>
          <w:szCs w:val="24"/>
          <w:highlight w:val="none"/>
        </w:rPr>
        <w:t>.</w:t>
      </w:r>
    </w:p>
    <w:p w14:paraId="6DF170F1">
      <w:pPr>
        <w:pStyle w:val="7"/>
        <w:widowControl/>
        <w:spacing w:line="480" w:lineRule="auto"/>
        <w:rPr>
          <w:rFonts w:hint="default" w:ascii="Times New Roman" w:hAnsi="Times New Roman" w:cs="Times New Roman"/>
          <w:sz w:val="24"/>
          <w:szCs w:val="24"/>
          <w:highlight w:val="none"/>
        </w:rPr>
      </w:pPr>
      <w:r>
        <w:rPr>
          <w:rStyle w:val="10"/>
          <w:rFonts w:hint="default" w:ascii="Times New Roman" w:hAnsi="Times New Roman" w:cs="Times New Roman"/>
          <w:b w:val="0"/>
          <w:bCs/>
          <w:sz w:val="24"/>
          <w:szCs w:val="24"/>
          <w:highlight w:val="none"/>
        </w:rPr>
        <w:t>A.</w:t>
      </w:r>
      <w:r>
        <w:rPr>
          <w:rFonts w:hint="default" w:ascii="Times New Roman" w:hAnsi="Times New Roman" w:cs="Times New Roman"/>
          <w:bCs/>
          <w:sz w:val="24"/>
          <w:szCs w:val="24"/>
          <w:highlight w:val="none"/>
        </w:rPr>
        <w:t xml:space="preserve"> A </w:t>
      </w:r>
      <w:r>
        <w:rPr>
          <w:rStyle w:val="10"/>
          <w:rFonts w:hint="default" w:ascii="Times New Roman" w:hAnsi="Times New Roman" w:cs="Times New Roman"/>
          <w:b w:val="0"/>
          <w:bCs/>
          <w:sz w:val="24"/>
          <w:szCs w:val="24"/>
          <w:highlight w:val="none"/>
        </w:rPr>
        <w:t>6F JR4.0 guiding catheter</w:t>
      </w:r>
      <w:r>
        <w:rPr>
          <w:rFonts w:hint="default" w:ascii="Times New Roman" w:hAnsi="Times New Roman" w:cs="Times New Roman"/>
          <w:bCs/>
          <w:sz w:val="24"/>
          <w:szCs w:val="24"/>
          <w:highlight w:val="none"/>
        </w:rPr>
        <w:t xml:space="preserve"> (Medtronic, Inc., Minneapolis, MN, USA) was advanced into the </w:t>
      </w:r>
      <w:r>
        <w:rPr>
          <w:rStyle w:val="10"/>
          <w:rFonts w:hint="default" w:ascii="Times New Roman" w:hAnsi="Times New Roman" w:cs="Times New Roman"/>
          <w:b w:val="0"/>
          <w:bCs/>
          <w:sz w:val="24"/>
          <w:szCs w:val="24"/>
          <w:highlight w:val="none"/>
        </w:rPr>
        <w:t>coronary sinus via femoral venous access</w:t>
      </w:r>
      <w:r>
        <w:rPr>
          <w:rFonts w:hint="default" w:ascii="Times New Roman" w:hAnsi="Times New Roman" w:cs="Times New Roman"/>
          <w:bCs/>
          <w:sz w:val="24"/>
          <w:szCs w:val="24"/>
          <w:highlight w:val="none"/>
        </w:rPr>
        <w:t xml:space="preserve"> under fluoroscopic guidance. </w:t>
      </w:r>
      <w:r>
        <w:rPr>
          <w:rStyle w:val="10"/>
          <w:rFonts w:hint="default" w:ascii="Times New Roman" w:hAnsi="Times New Roman" w:cs="Times New Roman"/>
          <w:b w:val="0"/>
          <w:bCs/>
          <w:sz w:val="24"/>
          <w:szCs w:val="24"/>
          <w:highlight w:val="none"/>
        </w:rPr>
        <w:t>B.</w:t>
      </w:r>
      <w:r>
        <w:rPr>
          <w:rFonts w:hint="default" w:ascii="Times New Roman" w:hAnsi="Times New Roman" w:cs="Times New Roman"/>
          <w:bCs/>
          <w:sz w:val="24"/>
          <w:szCs w:val="24"/>
          <w:highlight w:val="none"/>
        </w:rPr>
        <w:t xml:space="preserve"> </w:t>
      </w:r>
      <w:r>
        <w:rPr>
          <w:rStyle w:val="10"/>
          <w:rFonts w:hint="default" w:ascii="Times New Roman" w:hAnsi="Times New Roman" w:cs="Times New Roman"/>
          <w:b w:val="0"/>
          <w:bCs/>
          <w:sz w:val="24"/>
          <w:szCs w:val="24"/>
          <w:highlight w:val="none"/>
        </w:rPr>
        <w:t>Contrast venography</w:t>
      </w:r>
      <w:r>
        <w:rPr>
          <w:rFonts w:hint="default" w:ascii="Times New Roman" w:hAnsi="Times New Roman" w:cs="Times New Roman"/>
          <w:bCs/>
          <w:sz w:val="24"/>
          <w:szCs w:val="24"/>
          <w:highlight w:val="none"/>
        </w:rPr>
        <w:t xml:space="preserve"> was performed to identify the </w:t>
      </w:r>
      <w:r>
        <w:rPr>
          <w:rStyle w:val="10"/>
          <w:rFonts w:hint="default" w:ascii="Times New Roman" w:hAnsi="Times New Roman" w:cs="Times New Roman"/>
          <w:b w:val="0"/>
          <w:bCs/>
          <w:sz w:val="24"/>
          <w:szCs w:val="24"/>
          <w:highlight w:val="none"/>
        </w:rPr>
        <w:t>vein of Marshall (VoM)</w:t>
      </w:r>
      <w:r>
        <w:rPr>
          <w:rFonts w:hint="default" w:ascii="Times New Roman" w:hAnsi="Times New Roman" w:cs="Times New Roman"/>
          <w:bCs/>
          <w:sz w:val="24"/>
          <w:szCs w:val="24"/>
          <w:highlight w:val="none"/>
        </w:rPr>
        <w:t xml:space="preserve"> and the </w:t>
      </w:r>
      <w:r>
        <w:rPr>
          <w:rStyle w:val="10"/>
          <w:rFonts w:hint="default" w:ascii="Times New Roman" w:hAnsi="Times New Roman" w:cs="Times New Roman"/>
          <w:b w:val="0"/>
          <w:bCs/>
          <w:sz w:val="24"/>
          <w:szCs w:val="24"/>
          <w:highlight w:val="none"/>
        </w:rPr>
        <w:t>valve of Vieussens</w:t>
      </w:r>
      <w:r>
        <w:rPr>
          <w:rFonts w:hint="default" w:ascii="Times New Roman" w:hAnsi="Times New Roman" w:cs="Times New Roman"/>
          <w:bCs/>
          <w:sz w:val="24"/>
          <w:szCs w:val="24"/>
          <w:highlight w:val="none"/>
        </w:rPr>
        <w:t xml:space="preserve">. </w:t>
      </w:r>
      <w:r>
        <w:rPr>
          <w:rStyle w:val="10"/>
          <w:rFonts w:hint="default" w:ascii="Times New Roman" w:hAnsi="Times New Roman" w:cs="Times New Roman"/>
          <w:b w:val="0"/>
          <w:bCs/>
          <w:sz w:val="24"/>
          <w:szCs w:val="24"/>
          <w:highlight w:val="none"/>
        </w:rPr>
        <w:t>C.</w:t>
      </w:r>
      <w:r>
        <w:rPr>
          <w:rFonts w:hint="default" w:ascii="Times New Roman" w:hAnsi="Times New Roman" w:cs="Times New Roman"/>
          <w:bCs/>
          <w:sz w:val="24"/>
          <w:szCs w:val="24"/>
          <w:highlight w:val="none"/>
        </w:rPr>
        <w:t xml:space="preserve"> A </w:t>
      </w:r>
      <w:r>
        <w:rPr>
          <w:rStyle w:val="10"/>
          <w:rFonts w:hint="default" w:ascii="Times New Roman" w:hAnsi="Times New Roman" w:cs="Times New Roman"/>
          <w:b w:val="0"/>
          <w:bCs/>
          <w:sz w:val="24"/>
          <w:szCs w:val="24"/>
          <w:highlight w:val="none"/>
        </w:rPr>
        <w:t>0.014-inch guidewire</w:t>
      </w:r>
      <w:r>
        <w:rPr>
          <w:rFonts w:hint="default" w:ascii="Times New Roman" w:hAnsi="Times New Roman" w:cs="Times New Roman"/>
          <w:bCs/>
          <w:sz w:val="24"/>
          <w:szCs w:val="24"/>
          <w:highlight w:val="none"/>
        </w:rPr>
        <w:t xml:space="preserve"> (Roughthrough; Asahi Intecc, Seto, Aichi, Japan) was advanced through the catheter into the </w:t>
      </w:r>
      <w:r>
        <w:rPr>
          <w:rStyle w:val="10"/>
          <w:rFonts w:hint="default" w:ascii="Times New Roman" w:hAnsi="Times New Roman" w:cs="Times New Roman"/>
          <w:b w:val="0"/>
          <w:bCs/>
          <w:sz w:val="24"/>
          <w:szCs w:val="24"/>
          <w:highlight w:val="none"/>
        </w:rPr>
        <w:t>distal segment of the VoM</w:t>
      </w:r>
      <w:r>
        <w:rPr>
          <w:rFonts w:hint="default" w:ascii="Times New Roman" w:hAnsi="Times New Roman" w:cs="Times New Roman"/>
          <w:bCs/>
          <w:sz w:val="24"/>
          <w:szCs w:val="24"/>
          <w:highlight w:val="none"/>
        </w:rPr>
        <w:t xml:space="preserve">. </w:t>
      </w:r>
      <w:r>
        <w:rPr>
          <w:rStyle w:val="10"/>
          <w:rFonts w:hint="default" w:ascii="Times New Roman" w:hAnsi="Times New Roman" w:cs="Times New Roman"/>
          <w:b w:val="0"/>
          <w:bCs/>
          <w:sz w:val="24"/>
          <w:szCs w:val="24"/>
          <w:highlight w:val="none"/>
        </w:rPr>
        <w:t>D.</w:t>
      </w:r>
      <w:r>
        <w:rPr>
          <w:rFonts w:hint="default" w:ascii="Times New Roman" w:hAnsi="Times New Roman" w:cs="Times New Roman"/>
          <w:bCs/>
          <w:sz w:val="24"/>
          <w:szCs w:val="24"/>
          <w:highlight w:val="none"/>
        </w:rPr>
        <w:t xml:space="preserve"> An </w:t>
      </w:r>
      <w:r>
        <w:rPr>
          <w:rStyle w:val="10"/>
          <w:rFonts w:hint="default" w:ascii="Times New Roman" w:hAnsi="Times New Roman" w:cs="Times New Roman"/>
          <w:b w:val="0"/>
          <w:bCs/>
          <w:sz w:val="24"/>
          <w:szCs w:val="24"/>
          <w:highlight w:val="none"/>
        </w:rPr>
        <w:t>over-the-wire balloon catheter</w:t>
      </w:r>
      <w:r>
        <w:rPr>
          <w:rFonts w:hint="default" w:ascii="Times New Roman" w:hAnsi="Times New Roman" w:cs="Times New Roman"/>
          <w:bCs/>
          <w:sz w:val="24"/>
          <w:szCs w:val="24"/>
          <w:highlight w:val="none"/>
        </w:rPr>
        <w:t xml:space="preserve"> (diameter 1.5–2.5 mm, length 8–12 mm</w:t>
      </w:r>
      <w:r>
        <w:rPr>
          <w:rFonts w:hint="default" w:ascii="Times New Roman" w:hAnsi="Times New Roman" w:cs="Times New Roman"/>
          <w:bCs/>
          <w:sz w:val="24"/>
          <w:szCs w:val="24"/>
          <w:highlight w:val="none"/>
          <w:lang w:val="en-US" w:eastAsia="zh-CN"/>
        </w:rPr>
        <w:t>; Medtronic, Minneapolis, MN, USA</w:t>
      </w:r>
      <w:r>
        <w:rPr>
          <w:rFonts w:hint="default" w:ascii="Times New Roman" w:hAnsi="Times New Roman" w:cs="Times New Roman"/>
          <w:bCs/>
          <w:sz w:val="24"/>
          <w:szCs w:val="24"/>
          <w:highlight w:val="none"/>
        </w:rPr>
        <w:t xml:space="preserve">) was advanced along the guidewire and inflated to </w:t>
      </w:r>
      <w:r>
        <w:rPr>
          <w:rStyle w:val="10"/>
          <w:rFonts w:hint="default" w:ascii="Times New Roman" w:hAnsi="Times New Roman" w:cs="Times New Roman"/>
          <w:b w:val="0"/>
          <w:bCs/>
          <w:sz w:val="24"/>
          <w:szCs w:val="24"/>
          <w:highlight w:val="none"/>
        </w:rPr>
        <w:t>occlude the vessel</w:t>
      </w:r>
      <w:r>
        <w:rPr>
          <w:rFonts w:hint="default" w:ascii="Times New Roman" w:hAnsi="Times New Roman" w:cs="Times New Roman"/>
          <w:bCs/>
          <w:sz w:val="24"/>
          <w:szCs w:val="24"/>
          <w:highlight w:val="none"/>
        </w:rPr>
        <w:t xml:space="preserve">. </w:t>
      </w:r>
      <w:r>
        <w:rPr>
          <w:rStyle w:val="10"/>
          <w:rFonts w:hint="default" w:ascii="Times New Roman" w:hAnsi="Times New Roman" w:cs="Times New Roman"/>
          <w:b w:val="0"/>
          <w:bCs/>
          <w:sz w:val="24"/>
          <w:szCs w:val="24"/>
          <w:highlight w:val="none"/>
        </w:rPr>
        <w:t>E.</w:t>
      </w:r>
      <w:r>
        <w:rPr>
          <w:rFonts w:hint="default" w:ascii="Times New Roman" w:hAnsi="Times New Roman" w:cs="Times New Roman"/>
          <w:bCs/>
          <w:sz w:val="24"/>
          <w:szCs w:val="24"/>
          <w:highlight w:val="none"/>
        </w:rPr>
        <w:t xml:space="preserve"> </w:t>
      </w:r>
      <w:r>
        <w:rPr>
          <w:rStyle w:val="10"/>
          <w:rFonts w:hint="default" w:ascii="Times New Roman" w:hAnsi="Times New Roman" w:cs="Times New Roman"/>
          <w:b w:val="0"/>
          <w:bCs/>
          <w:sz w:val="24"/>
          <w:szCs w:val="24"/>
          <w:highlight w:val="none"/>
        </w:rPr>
        <w:t>Contrast injection through the balloon catheter</w:t>
      </w:r>
      <w:r>
        <w:rPr>
          <w:rFonts w:hint="default" w:ascii="Times New Roman" w:hAnsi="Times New Roman" w:cs="Times New Roman"/>
          <w:bCs/>
          <w:sz w:val="24"/>
          <w:szCs w:val="24"/>
          <w:highlight w:val="none"/>
        </w:rPr>
        <w:t xml:space="preserve"> was performed to further visualize the </w:t>
      </w:r>
      <w:r>
        <w:rPr>
          <w:rStyle w:val="10"/>
          <w:rFonts w:hint="default" w:ascii="Times New Roman" w:hAnsi="Times New Roman" w:cs="Times New Roman"/>
          <w:b w:val="0"/>
          <w:bCs/>
          <w:sz w:val="24"/>
          <w:szCs w:val="24"/>
          <w:highlight w:val="none"/>
        </w:rPr>
        <w:t>VoM anatomy and arborization</w:t>
      </w:r>
      <w:r>
        <w:rPr>
          <w:rFonts w:hint="default" w:ascii="Times New Roman" w:hAnsi="Times New Roman" w:cs="Times New Roman"/>
          <w:bCs/>
          <w:sz w:val="24"/>
          <w:szCs w:val="24"/>
          <w:highlight w:val="none"/>
        </w:rPr>
        <w:t xml:space="preserve">. </w:t>
      </w:r>
      <w:r>
        <w:rPr>
          <w:rStyle w:val="10"/>
          <w:rFonts w:hint="default" w:ascii="Times New Roman" w:hAnsi="Times New Roman" w:cs="Times New Roman"/>
          <w:b w:val="0"/>
          <w:bCs/>
          <w:sz w:val="24"/>
          <w:szCs w:val="24"/>
          <w:highlight w:val="none"/>
        </w:rPr>
        <w:t>F–I.</w:t>
      </w:r>
      <w:r>
        <w:rPr>
          <w:rFonts w:hint="default" w:ascii="Times New Roman" w:hAnsi="Times New Roman" w:cs="Times New Roman"/>
          <w:bCs/>
          <w:sz w:val="24"/>
          <w:szCs w:val="24"/>
          <w:highlight w:val="none"/>
        </w:rPr>
        <w:t xml:space="preserve"> </w:t>
      </w:r>
      <w:r>
        <w:rPr>
          <w:rStyle w:val="10"/>
          <w:rFonts w:hint="default" w:ascii="Times New Roman" w:hAnsi="Times New Roman" w:cs="Times New Roman"/>
          <w:b w:val="0"/>
          <w:bCs/>
          <w:sz w:val="24"/>
          <w:szCs w:val="24"/>
          <w:highlight w:val="none"/>
        </w:rPr>
        <w:t>95% dehydrated ethanol</w:t>
      </w:r>
      <w:r>
        <w:rPr>
          <w:rFonts w:hint="default" w:ascii="Times New Roman" w:hAnsi="Times New Roman" w:cs="Times New Roman"/>
          <w:bCs/>
          <w:sz w:val="24"/>
          <w:szCs w:val="24"/>
          <w:highlight w:val="none"/>
        </w:rPr>
        <w:t xml:space="preserve"> was infused stepwise from the </w:t>
      </w:r>
      <w:r>
        <w:rPr>
          <w:rStyle w:val="10"/>
          <w:rFonts w:hint="default" w:ascii="Times New Roman" w:hAnsi="Times New Roman" w:cs="Times New Roman"/>
          <w:b w:val="0"/>
          <w:bCs/>
          <w:sz w:val="24"/>
          <w:szCs w:val="24"/>
          <w:highlight w:val="none"/>
        </w:rPr>
        <w:t>distal to proximal VoM</w:t>
      </w:r>
      <w:r>
        <w:rPr>
          <w:rFonts w:hint="default" w:ascii="Times New Roman" w:hAnsi="Times New Roman" w:cs="Times New Roman"/>
          <w:bCs/>
          <w:sz w:val="24"/>
          <w:szCs w:val="24"/>
          <w:highlight w:val="none"/>
        </w:rPr>
        <w:t xml:space="preserve">, approximately </w:t>
      </w:r>
      <w:r>
        <w:rPr>
          <w:rStyle w:val="10"/>
          <w:rFonts w:hint="default" w:ascii="Times New Roman" w:hAnsi="Times New Roman" w:cs="Times New Roman"/>
          <w:b w:val="0"/>
          <w:bCs/>
          <w:sz w:val="24"/>
          <w:szCs w:val="24"/>
          <w:highlight w:val="none"/>
        </w:rPr>
        <w:t>3 mL per injection</w:t>
      </w:r>
      <w:r>
        <w:rPr>
          <w:rFonts w:hint="default" w:ascii="Times New Roman" w:hAnsi="Times New Roman" w:cs="Times New Roman"/>
          <w:bCs/>
          <w:sz w:val="24"/>
          <w:szCs w:val="24"/>
          <w:highlight w:val="none"/>
        </w:rPr>
        <w:t xml:space="preserve">, with a </w:t>
      </w:r>
      <w:r>
        <w:rPr>
          <w:rStyle w:val="10"/>
          <w:rFonts w:hint="default" w:ascii="Times New Roman" w:hAnsi="Times New Roman" w:cs="Times New Roman"/>
          <w:b w:val="0"/>
          <w:bCs/>
          <w:sz w:val="24"/>
          <w:szCs w:val="24"/>
          <w:highlight w:val="none"/>
        </w:rPr>
        <w:t>total volume of 9–10 mL</w:t>
      </w:r>
      <w:r>
        <w:rPr>
          <w:rFonts w:hint="default" w:ascii="Times New Roman" w:hAnsi="Times New Roman" w:cs="Times New Roman"/>
          <w:bCs/>
          <w:sz w:val="24"/>
          <w:szCs w:val="24"/>
          <w:highlight w:val="none"/>
        </w:rPr>
        <w:t xml:space="preserve">, resulting in progressive staining of the adjacent </w:t>
      </w:r>
      <w:r>
        <w:rPr>
          <w:rStyle w:val="10"/>
          <w:rFonts w:hint="default" w:ascii="Times New Roman" w:hAnsi="Times New Roman" w:cs="Times New Roman"/>
          <w:b w:val="0"/>
          <w:bCs/>
          <w:sz w:val="24"/>
          <w:szCs w:val="24"/>
          <w:highlight w:val="none"/>
        </w:rPr>
        <w:t>left atrial myocardium</w:t>
      </w:r>
      <w:r>
        <w:rPr>
          <w:rFonts w:hint="default" w:ascii="Times New Roman" w:hAnsi="Times New Roman" w:cs="Times New Roman"/>
          <w:bCs/>
          <w:sz w:val="24"/>
          <w:szCs w:val="24"/>
          <w:highlight w:val="none"/>
        </w:rPr>
        <w:t xml:space="preserve">. </w:t>
      </w:r>
      <w:r>
        <w:rPr>
          <w:rStyle w:val="10"/>
          <w:rFonts w:hint="default" w:ascii="Times New Roman" w:hAnsi="Times New Roman" w:cs="Times New Roman"/>
          <w:b w:val="0"/>
          <w:bCs/>
          <w:sz w:val="24"/>
          <w:szCs w:val="24"/>
          <w:highlight w:val="none"/>
        </w:rPr>
        <w:t>J.</w:t>
      </w:r>
      <w:r>
        <w:rPr>
          <w:rFonts w:hint="default" w:ascii="Times New Roman" w:hAnsi="Times New Roman" w:cs="Times New Roman"/>
          <w:bCs/>
          <w:sz w:val="24"/>
          <w:szCs w:val="24"/>
          <w:highlight w:val="none"/>
        </w:rPr>
        <w:t xml:space="preserve"> The ablation effect of VOMEI was evaluated using </w:t>
      </w:r>
      <w:r>
        <w:rPr>
          <w:rStyle w:val="10"/>
          <w:rFonts w:hint="default" w:ascii="Times New Roman" w:hAnsi="Times New Roman" w:cs="Times New Roman"/>
          <w:b w:val="0"/>
          <w:bCs/>
          <w:sz w:val="24"/>
          <w:szCs w:val="24"/>
          <w:highlight w:val="none"/>
        </w:rPr>
        <w:t>electroanatomical voltage mapping</w:t>
      </w:r>
      <w:r>
        <w:rPr>
          <w:rFonts w:hint="default" w:ascii="Times New Roman" w:hAnsi="Times New Roman" w:cs="Times New Roman"/>
          <w:bCs/>
          <w:sz w:val="24"/>
          <w:szCs w:val="24"/>
          <w:highlight w:val="none"/>
        </w:rPr>
        <w:t xml:space="preserve">, which typically demonstrated </w:t>
      </w:r>
      <w:r>
        <w:rPr>
          <w:rStyle w:val="10"/>
          <w:rFonts w:hint="default" w:ascii="Times New Roman" w:hAnsi="Times New Roman" w:cs="Times New Roman"/>
          <w:b w:val="0"/>
          <w:bCs/>
          <w:sz w:val="24"/>
          <w:szCs w:val="24"/>
          <w:highlight w:val="none"/>
        </w:rPr>
        <w:t>low-voltage regions along the mitral isthmus and adjacent posterolateral left atrial wall</w:t>
      </w:r>
      <w:r>
        <w:rPr>
          <w:rFonts w:hint="default" w:ascii="Times New Roman" w:hAnsi="Times New Roman" w:cs="Times New Roman"/>
          <w:bCs/>
          <w:sz w:val="24"/>
          <w:szCs w:val="24"/>
          <w:highlight w:val="none"/>
        </w:rPr>
        <w:t>, corresponding to the ethanol-induced lesion set.</w:t>
      </w:r>
    </w:p>
    <w:p w14:paraId="68485A2A">
      <w:pPr>
        <w:spacing w:line="480" w:lineRule="auto"/>
        <w:rPr>
          <w:rFonts w:hint="default" w:ascii="Times New Roman" w:hAnsi="Times New Roman" w:cs="Times New Roman"/>
          <w:b/>
          <w:bCs/>
          <w:kern w:val="0"/>
          <w:sz w:val="24"/>
          <w:szCs w:val="24"/>
          <w:highlight w:val="none"/>
          <w:lang w:eastAsia="zh-CN" w:bidi="ar"/>
        </w:rPr>
      </w:pPr>
      <w:r>
        <w:rPr>
          <w:rFonts w:hint="default" w:ascii="Times New Roman" w:hAnsi="Times New Roman" w:cs="Times New Roman"/>
          <w:b/>
          <w:bCs/>
          <w:kern w:val="0"/>
          <w:sz w:val="24"/>
          <w:szCs w:val="24"/>
          <w:highlight w:val="none"/>
          <w:lang w:eastAsia="zh-CN" w:bidi="ar"/>
        </w:rPr>
        <w:drawing>
          <wp:anchor distT="0" distB="0" distL="114300" distR="114300" simplePos="0" relativeHeight="251660288" behindDoc="0" locked="0" layoutInCell="1" allowOverlap="1">
            <wp:simplePos x="0" y="0"/>
            <wp:positionH relativeFrom="column">
              <wp:posOffset>20955</wp:posOffset>
            </wp:positionH>
            <wp:positionV relativeFrom="paragraph">
              <wp:posOffset>943610</wp:posOffset>
            </wp:positionV>
            <wp:extent cx="5143500" cy="4144645"/>
            <wp:effectExtent l="0" t="0" r="0" b="8255"/>
            <wp:wrapSquare wrapText="bothSides"/>
            <wp:docPr id="3" name="图片 3" descr="窦性心律下基质改良(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窦性心律下基质改良(1)_01"/>
                    <pic:cNvPicPr>
                      <a:picLocks noChangeAspect="1"/>
                    </pic:cNvPicPr>
                  </pic:nvPicPr>
                  <pic:blipFill>
                    <a:blip r:embed="rId6"/>
                    <a:stretch>
                      <a:fillRect/>
                    </a:stretch>
                  </pic:blipFill>
                  <pic:spPr>
                    <a:xfrm>
                      <a:off x="0" y="0"/>
                      <a:ext cx="5143500" cy="4144645"/>
                    </a:xfrm>
                    <a:prstGeom prst="rect">
                      <a:avLst/>
                    </a:prstGeom>
                  </pic:spPr>
                </pic:pic>
              </a:graphicData>
            </a:graphic>
          </wp:anchor>
        </w:drawing>
      </w:r>
      <w:r>
        <w:rPr>
          <w:rFonts w:hint="default" w:ascii="Times New Roman" w:hAnsi="Times New Roman" w:cs="Times New Roman"/>
          <w:b/>
          <w:bCs/>
          <w:kern w:val="0"/>
          <w:sz w:val="24"/>
          <w:szCs w:val="24"/>
          <w:highlight w:val="none"/>
          <w:lang w:val="en-US" w:eastAsia="zh-CN" w:bidi="ar"/>
        </w:rPr>
        <w:t xml:space="preserve">S4.2. </w:t>
      </w:r>
      <w:r>
        <w:rPr>
          <w:rFonts w:hint="default" w:ascii="Times New Roman" w:hAnsi="Times New Roman" w:cs="Times New Roman"/>
          <w:b/>
          <w:bCs/>
          <w:kern w:val="0"/>
          <w:sz w:val="24"/>
          <w:szCs w:val="24"/>
          <w:highlight w:val="none"/>
          <w:lang w:eastAsia="zh-CN" w:bidi="ar"/>
        </w:rPr>
        <w:t>Substrate-guided ablation of left atrial low-voltage areas during sinus-rhythm mapping</w:t>
      </w:r>
    </w:p>
    <w:p w14:paraId="68D42AD1">
      <w:pPr>
        <w:pStyle w:val="7"/>
        <w:widowControl/>
        <w:spacing w:line="480" w:lineRule="auto"/>
        <w:rPr>
          <w:rStyle w:val="10"/>
          <w:rFonts w:hint="default" w:ascii="Times New Roman" w:hAnsi="Times New Roman" w:eastAsia="宋体" w:cs="Times New Roman"/>
          <w:b w:val="0"/>
          <w:bCs/>
          <w:sz w:val="24"/>
          <w:szCs w:val="24"/>
          <w:highlight w:val="none"/>
          <w:lang w:eastAsia="zh-CN"/>
        </w:rPr>
      </w:pPr>
      <w:r>
        <w:rPr>
          <w:rStyle w:val="10"/>
          <w:rFonts w:hint="default" w:ascii="Times New Roman" w:hAnsi="Times New Roman" w:eastAsia="宋体" w:cs="Times New Roman"/>
          <w:b w:val="0"/>
          <w:bCs/>
          <w:sz w:val="24"/>
          <w:szCs w:val="24"/>
          <w:highlight w:val="none"/>
          <w:lang w:eastAsia="zh-CN"/>
        </w:rPr>
        <w:t xml:space="preserve">The substrate-guided workflow for left atrial low-voltage area ablation during sinus-rhythm mapping is illustrated in </w:t>
      </w:r>
      <w:r>
        <w:rPr>
          <w:rStyle w:val="10"/>
          <w:rFonts w:hint="default" w:ascii="Times New Roman" w:hAnsi="Times New Roman" w:eastAsia="宋体" w:cs="Times New Roman"/>
          <w:b/>
          <w:bCs w:val="0"/>
          <w:sz w:val="24"/>
          <w:szCs w:val="24"/>
          <w:highlight w:val="none"/>
          <w:lang w:eastAsia="zh-CN"/>
        </w:rPr>
        <w:t>Supplementary Figure S2</w:t>
      </w:r>
      <w:r>
        <w:rPr>
          <w:rStyle w:val="10"/>
          <w:rFonts w:hint="default" w:ascii="Times New Roman" w:hAnsi="Times New Roman" w:eastAsia="宋体" w:cs="Times New Roman"/>
          <w:b w:val="0"/>
          <w:bCs/>
          <w:sz w:val="24"/>
          <w:szCs w:val="24"/>
          <w:highlight w:val="none"/>
          <w:lang w:eastAsia="zh-CN"/>
        </w:rPr>
        <w:t>.</w:t>
      </w:r>
    </w:p>
    <w:p w14:paraId="3FBA0715">
      <w:pPr>
        <w:pStyle w:val="7"/>
        <w:widowControl/>
        <w:spacing w:line="480" w:lineRule="auto"/>
        <w:rPr>
          <w:rStyle w:val="10"/>
          <w:rFonts w:hint="default" w:ascii="Times New Roman" w:hAnsi="Times New Roman" w:eastAsia="宋体" w:cs="Times New Roman"/>
          <w:b w:val="0"/>
          <w:bCs/>
          <w:sz w:val="24"/>
          <w:szCs w:val="24"/>
          <w:highlight w:val="none"/>
        </w:rPr>
      </w:pPr>
      <w:r>
        <w:rPr>
          <w:rFonts w:hint="default" w:ascii="Times New Roman" w:hAnsi="Times New Roman" w:eastAsia="宋体" w:cs="Times New Roman"/>
          <w:b w:val="0"/>
          <w:bCs/>
          <w:sz w:val="24"/>
          <w:szCs w:val="24"/>
          <w:highlight w:val="none"/>
          <w:lang w:bidi="ar"/>
        </w:rPr>
        <w:t xml:space="preserve">a) </w:t>
      </w:r>
      <w:r>
        <w:rPr>
          <w:rStyle w:val="10"/>
          <w:rFonts w:hint="default" w:ascii="Times New Roman" w:hAnsi="Times New Roman" w:eastAsia="宋体" w:cs="Times New Roman"/>
          <w:b w:val="0"/>
          <w:bCs/>
          <w:sz w:val="24"/>
          <w:szCs w:val="24"/>
          <w:highlight w:val="none"/>
        </w:rPr>
        <w:t>Under the guidance of the CARTO 3 electroanatomical mapping system (Biosense Webster, Irvine, CA, USA), a three-dimensional left atrial geometry was constructed using a PentaRay catheter</w:t>
      </w:r>
      <w:r>
        <w:rPr>
          <w:rStyle w:val="10"/>
          <w:rFonts w:hint="default" w:ascii="Times New Roman" w:hAnsi="Times New Roman" w:eastAsia="宋体" w:cs="Times New Roman"/>
          <w:b w:val="0"/>
          <w:bCs/>
          <w:sz w:val="24"/>
          <w:szCs w:val="24"/>
          <w:highlight w:val="none"/>
          <w:lang w:val="en-US" w:eastAsia="zh-CN"/>
        </w:rPr>
        <w:t xml:space="preserve"> (</w:t>
      </w:r>
      <w:r>
        <w:rPr>
          <w:rStyle w:val="10"/>
          <w:rFonts w:hint="default" w:ascii="Times New Roman" w:hAnsi="Times New Roman" w:eastAsia="宋体" w:cs="Times New Roman"/>
          <w:b w:val="0"/>
          <w:bCs/>
          <w:sz w:val="24"/>
          <w:szCs w:val="24"/>
          <w:highlight w:val="none"/>
        </w:rPr>
        <w:t>Biosense Webster, Irvine, CA, USA</w:t>
      </w:r>
      <w:r>
        <w:rPr>
          <w:rStyle w:val="10"/>
          <w:rFonts w:hint="default" w:ascii="Times New Roman" w:hAnsi="Times New Roman" w:eastAsia="宋体" w:cs="Times New Roman"/>
          <w:b w:val="0"/>
          <w:bCs/>
          <w:sz w:val="24"/>
          <w:szCs w:val="24"/>
          <w:highlight w:val="none"/>
          <w:lang w:val="en-US" w:eastAsia="zh-CN"/>
        </w:rPr>
        <w:t>)</w:t>
      </w:r>
      <w:r>
        <w:rPr>
          <w:rStyle w:val="10"/>
          <w:rFonts w:hint="default" w:ascii="Times New Roman" w:hAnsi="Times New Roman" w:eastAsia="宋体" w:cs="Times New Roman"/>
          <w:b w:val="0"/>
          <w:bCs/>
          <w:sz w:val="24"/>
          <w:szCs w:val="24"/>
          <w:highlight w:val="none"/>
        </w:rPr>
        <w:t xml:space="preserve">. Circumferential pulmonary vein antral isolation was then performed using a SmartTouch SurroundFlow catheter (Biosense Webster, Irvine, CA, USA) until complete electrical isolation was achieved. </w:t>
      </w:r>
      <w:r>
        <w:rPr>
          <w:rStyle w:val="10"/>
          <w:rFonts w:hint="default" w:ascii="Times New Roman" w:hAnsi="Times New Roman" w:eastAsia="宋体" w:cs="Times New Roman"/>
          <w:b w:val="0"/>
          <w:bCs/>
          <w:sz w:val="24"/>
          <w:szCs w:val="24"/>
          <w:highlight w:val="none"/>
          <w:lang w:eastAsia="zh-CN"/>
        </w:rPr>
        <w:t>b) After confirmation of complete pulmonary vein isolation, sinus-rhythm mapping was performed to identify low-voltage areas (LVAs).</w:t>
      </w:r>
      <w:r>
        <w:rPr>
          <w:rStyle w:val="10"/>
          <w:rFonts w:hint="default" w:ascii="Times New Roman" w:hAnsi="Times New Roman" w:eastAsia="宋体" w:cs="Times New Roman"/>
          <w:b w:val="0"/>
          <w:bCs/>
          <w:sz w:val="24"/>
          <w:szCs w:val="24"/>
          <w:highlight w:val="none"/>
        </w:rPr>
        <w:t xml:space="preserve"> </w:t>
      </w:r>
      <w:r>
        <w:rPr>
          <w:rStyle w:val="10"/>
          <w:rFonts w:hint="default" w:ascii="Times New Roman" w:hAnsi="Times New Roman" w:eastAsia="宋体" w:cs="Times New Roman"/>
          <w:b w:val="0"/>
          <w:bCs/>
          <w:sz w:val="24"/>
          <w:szCs w:val="24"/>
          <w:highlight w:val="none"/>
          <w:lang w:eastAsia="zh-CN"/>
        </w:rPr>
        <w:t>c–h. Substrate modification during sinus-rhythm mapping.</w:t>
      </w:r>
      <w:r>
        <w:rPr>
          <w:rStyle w:val="10"/>
          <w:rFonts w:hint="default" w:ascii="Times New Roman" w:hAnsi="Times New Roman" w:eastAsia="宋体" w:cs="Times New Roman"/>
          <w:b w:val="0"/>
          <w:bCs/>
          <w:sz w:val="24"/>
          <w:szCs w:val="24"/>
          <w:highlight w:val="none"/>
        </w:rPr>
        <w:t xml:space="preserve"> c) If abnormal substrate or fractionated electrograms were detected at the right pulmonary vein antrum, extended pulmonary vein antral ablation was performed. d) Patchy LVAs were treated with homogenization ablation. e-h. For patients with extensive left atrial low-voltage areas, a substrate-based linear ablation strategy was performed. e) In patients with extensive anterior wall LVAs, anterior wall linear ablation was performed. f) Bidirectional conduction block across the anterior line was then confirmed. g) For extensive posterior wall LVAs, posterior wall BOX isolation was performed. h) Successful posterior wall isolation was confirmed by demonstrating both entrance and exit block.  </w:t>
      </w:r>
    </w:p>
    <w:p w14:paraId="5FD5997F">
      <w:pPr>
        <w:pStyle w:val="7"/>
        <w:widowControl/>
        <w:spacing w:line="480" w:lineRule="auto"/>
        <w:rPr>
          <w:rFonts w:hint="default" w:ascii="Times New Roman" w:hAnsi="Times New Roman" w:cs="Times New Roman" w:eastAsiaTheme="minorEastAsia"/>
          <w:b/>
          <w:bCs/>
          <w:kern w:val="0"/>
          <w:sz w:val="24"/>
          <w:szCs w:val="24"/>
          <w:highlight w:val="none"/>
          <w:lang w:val="en-US" w:eastAsia="zh-CN" w:bidi="ar"/>
        </w:rPr>
      </w:pPr>
      <w:r>
        <w:rPr>
          <w:rFonts w:hint="default" w:ascii="Times New Roman" w:hAnsi="Times New Roman" w:cs="Times New Roman" w:eastAsiaTheme="minorEastAsia"/>
          <w:b/>
          <w:bCs/>
          <w:kern w:val="0"/>
          <w:sz w:val="24"/>
          <w:szCs w:val="24"/>
          <w:highlight w:val="none"/>
          <w:lang w:val="en-US" w:eastAsia="zh-CN" w:bidi="ar"/>
        </w:rPr>
        <w:t>S</w:t>
      </w:r>
      <w:r>
        <w:rPr>
          <w:rFonts w:hint="default" w:ascii="Times New Roman" w:hAnsi="Times New Roman" w:cs="Times New Roman"/>
          <w:b/>
          <w:bCs/>
          <w:kern w:val="0"/>
          <w:sz w:val="24"/>
          <w:szCs w:val="24"/>
          <w:highlight w:val="none"/>
          <w:lang w:val="en-US" w:eastAsia="zh-CN" w:bidi="ar"/>
        </w:rPr>
        <w:t>4</w:t>
      </w:r>
      <w:r>
        <w:rPr>
          <w:rFonts w:hint="default" w:ascii="Times New Roman" w:hAnsi="Times New Roman" w:cs="Times New Roman" w:eastAsiaTheme="minorEastAsia"/>
          <w:b/>
          <w:bCs/>
          <w:kern w:val="0"/>
          <w:sz w:val="24"/>
          <w:szCs w:val="24"/>
          <w:highlight w:val="none"/>
          <w:lang w:val="en-US" w:eastAsia="zh-CN" w:bidi="ar"/>
        </w:rPr>
        <w:t>.3. Radiofrequency catheter ablation settings</w:t>
      </w:r>
    </w:p>
    <w:p w14:paraId="68B552C1">
      <w:pPr>
        <w:pStyle w:val="7"/>
        <w:widowControl/>
        <w:spacing w:line="480" w:lineRule="auto"/>
        <w:rPr>
          <w:rStyle w:val="10"/>
          <w:rFonts w:hint="default" w:ascii="Times New Roman" w:hAnsi="Times New Roman" w:eastAsia="宋体" w:cs="Times New Roman"/>
          <w:b w:val="0"/>
          <w:bCs/>
          <w:sz w:val="24"/>
          <w:szCs w:val="24"/>
          <w:highlight w:val="none"/>
        </w:rPr>
      </w:pPr>
      <w:r>
        <w:rPr>
          <w:rStyle w:val="10"/>
          <w:rFonts w:hint="default" w:ascii="Times New Roman" w:hAnsi="Times New Roman" w:eastAsia="宋体" w:cs="Times New Roman"/>
          <w:b w:val="0"/>
          <w:bCs/>
          <w:sz w:val="24"/>
          <w:szCs w:val="24"/>
          <w:highlight w:val="none"/>
        </w:rPr>
        <w:t xml:space="preserve">Endocardial </w:t>
      </w:r>
      <w:r>
        <w:rPr>
          <w:rStyle w:val="10"/>
          <w:rFonts w:hint="default" w:ascii="Times New Roman" w:hAnsi="Times New Roman" w:eastAsia="宋体" w:cs="Times New Roman"/>
          <w:b w:val="0"/>
          <w:bCs/>
          <w:sz w:val="24"/>
          <w:szCs w:val="24"/>
          <w:highlight w:val="none"/>
          <w:lang w:eastAsia="zh-CN"/>
        </w:rPr>
        <w:t>radiofrequency catheter ablation</w:t>
      </w:r>
      <w:r>
        <w:rPr>
          <w:rStyle w:val="10"/>
          <w:rFonts w:hint="default" w:ascii="Times New Roman" w:hAnsi="Times New Roman" w:eastAsia="宋体" w:cs="Times New Roman"/>
          <w:b w:val="0"/>
          <w:bCs/>
          <w:sz w:val="24"/>
          <w:szCs w:val="24"/>
          <w:highlight w:val="none"/>
        </w:rPr>
        <w:t xml:space="preserve"> was delivered using a contact force–sensing catheter in power-controlled mode (40–50 W), with a temperature limit of 43°C and an irrigation flow rate of 8–20 mL/min. Esophageal temperature monitoring was used during posterior wall ablation to minimize the risk of esophageal injury. Point-by-point ablation was performed with an interlesion distance &lt; 4 mm. Each lesion required catheter stability (&lt; 2 mm movement for ≥ 4 s), contact force ≥ 8 g for ≥ 70% of the application time, and target ablation index (AI) values of 450–600. For mitral isthmus ablation within the coronary sinus, power was limited to 20 W with an irrigation flow rate of 17 mL/min and a duration of 20–25 s per lesion. </w:t>
      </w:r>
    </w:p>
    <w:p w14:paraId="3581C210">
      <w:pPr>
        <w:pStyle w:val="7"/>
        <w:widowControl/>
        <w:spacing w:line="480" w:lineRule="auto"/>
        <w:rPr>
          <w:rStyle w:val="10"/>
          <w:rFonts w:hint="default" w:ascii="Times New Roman" w:hAnsi="Times New Roman" w:eastAsia="宋体" w:cs="Times New Roman"/>
          <w:b w:val="0"/>
          <w:bCs/>
          <w:sz w:val="24"/>
          <w:szCs w:val="24"/>
          <w:highlight w:val="none"/>
        </w:rPr>
      </w:pPr>
      <w:r>
        <w:rPr>
          <w:rFonts w:hint="default" w:ascii="Times New Roman" w:hAnsi="Times New Roman" w:eastAsia="宋体" w:cs="Times New Roman"/>
          <w:b/>
          <w:bCs/>
          <w:kern w:val="0"/>
          <w:sz w:val="24"/>
          <w:szCs w:val="24"/>
          <w:highlight w:val="none"/>
          <w:lang w:val="en-US" w:eastAsia="zh-CN" w:bidi="ar"/>
        </w:rPr>
        <w:t>S5. Measurement of fibrillatory wave amplitude</w:t>
      </w:r>
      <w:r>
        <w:rPr>
          <w:rFonts w:hint="default" w:ascii="Times New Roman" w:hAnsi="Times New Roman" w:eastAsia="宋体" w:cs="Times New Roman"/>
          <w:sz w:val="24"/>
          <w:szCs w:val="24"/>
          <w:highlight w:val="none"/>
        </w:rPr>
        <w:br w:type="textWrapping"/>
      </w:r>
      <w:r>
        <w:rPr>
          <w:rStyle w:val="10"/>
          <w:rFonts w:hint="default" w:ascii="Times New Roman" w:hAnsi="Times New Roman" w:eastAsia="宋体" w:cs="Times New Roman"/>
          <w:b w:val="0"/>
          <w:bCs/>
          <w:sz w:val="24"/>
          <w:szCs w:val="24"/>
          <w:highlight w:val="none"/>
        </w:rPr>
        <w:t>Fibrillatory wave (f-wave) amplitude was measured using the institutional digital electrocardiography system. Preprocedural 12-lead electrocardiograms recorded during atrial fibrillation were reviewed, and lead V₁</w:t>
      </w:r>
      <w:r>
        <w:rPr>
          <w:rStyle w:val="10"/>
          <w:rFonts w:hint="default" w:ascii="Times New Roman" w:hAnsi="Times New Roman" w:eastAsia="宋体" w:cs="Times New Roman"/>
          <w:b w:val="0"/>
          <w:bCs/>
          <w:sz w:val="24"/>
          <w:szCs w:val="24"/>
          <w:highlight w:val="none"/>
          <w:lang w:val="en-US" w:eastAsia="zh-CN"/>
        </w:rPr>
        <w:t xml:space="preserve"> </w:t>
      </w:r>
      <w:r>
        <w:rPr>
          <w:rStyle w:val="10"/>
          <w:rFonts w:hint="default" w:ascii="Times New Roman" w:hAnsi="Times New Roman" w:eastAsia="宋体" w:cs="Times New Roman"/>
          <w:b w:val="0"/>
          <w:bCs/>
          <w:sz w:val="24"/>
          <w:szCs w:val="24"/>
          <w:highlight w:val="none"/>
        </w:rPr>
        <w:t>was selected for analysis because atrial fibrillatory activity is typically most clearly visualized in this lead. A segment with a stable baseline and minimal artifact was identified on each tracing. Using the built-in electronic caliper tool, the amplitude of the most clearly identifiable f-wave within the selected segment was measured. F-wave amplitude was defined as the vertical distance from the nadir of the trough to the peak of the same wave and was recorded in millivolts (mV)</w:t>
      </w:r>
      <w:r>
        <w:rPr>
          <w:rStyle w:val="10"/>
          <w:rFonts w:hint="eastAsia" w:ascii="Times New Roman" w:hAnsi="Times New Roman" w:eastAsia="宋体" w:cs="Times New Roman"/>
          <w:b w:val="0"/>
          <w:bCs/>
          <w:sz w:val="24"/>
          <w:szCs w:val="24"/>
          <w:highlight w:val="none"/>
          <w:lang w:val="en-US" w:eastAsia="zh-CN"/>
        </w:rPr>
        <w:t xml:space="preserve"> </w:t>
      </w:r>
      <w:r>
        <w:rPr>
          <w:rStyle w:val="10"/>
          <w:rFonts w:hint="default" w:ascii="Times New Roman" w:hAnsi="Times New Roman" w:eastAsia="宋体" w:cs="Times New Roman"/>
          <w:b w:val="0"/>
          <w:bCs/>
          <w:sz w:val="24"/>
          <w:szCs w:val="24"/>
          <w:highlight w:val="none"/>
        </w:rPr>
        <w:fldChar w:fldCharType="begin"/>
      </w:r>
      <w:r>
        <w:rPr>
          <w:rStyle w:val="10"/>
          <w:rFonts w:hint="eastAsia" w:ascii="Times New Roman" w:hAnsi="Times New Roman" w:eastAsia="宋体" w:cs="Times New Roman"/>
          <w:b w:val="0"/>
          <w:bCs/>
          <w:sz w:val="24"/>
          <w:szCs w:val="24"/>
          <w:highlight w:val="none"/>
          <w:lang w:eastAsia="zh-CN"/>
        </w:rPr>
        <w:instrText xml:space="preserve"> ADDIN ZOTERO_ITEM CSL_CITATION {"citationID":"Z76ywbFi","properties":{"formattedCitation":"[2]","plainCitation":"[2]","noteIndex":0},"citationItems":[{"id":1862,"uris":["http://zotero.org/users/local/BLW9bsIX/items/J94BQ8GL"],"itemData":{"id":1862,"type":"article-journal","container-title":"Circulation","DOI":"10.1161/01.cir.33.4.599","ISSN":"0009-7322","issue":"4","journalAbbreviation":"Circulation","language":"eng","note":"TLDR: This relationship suggests that the factors responsible for the characteristic of the terminal portion of the P wave recorded in sinus rhythm probably determine the magnitude of the fibrillatory wave that occurs when atrial fibrillation is present.","page":"599-606","PMID":"5937556","source":"PubMed","title":"Relationship of fibrillatory waves and P waves in the electrocardiogram","volume":"33","author":[{"family":"Peter","given":"R. H."},{"family":"Morris","given":"J. J."},{"family":"McIntosh","given":"H. D."}],"issued":{"date-parts":[["1966",4]]}}}],"schema":"https://github.com/citation-style-language/schema/raw/master/csl-citation.json"} </w:instrText>
      </w:r>
      <w:r>
        <w:rPr>
          <w:rStyle w:val="10"/>
          <w:rFonts w:hint="default" w:ascii="Times New Roman" w:hAnsi="Times New Roman" w:eastAsia="宋体" w:cs="Times New Roman"/>
          <w:b w:val="0"/>
          <w:bCs/>
          <w:sz w:val="24"/>
          <w:szCs w:val="24"/>
          <w:highlight w:val="none"/>
        </w:rPr>
        <w:fldChar w:fldCharType="separate"/>
      </w:r>
      <w:r>
        <w:rPr>
          <w:rFonts w:hint="default" w:ascii="Times New Roman" w:hAnsi="Times New Roman" w:eastAsia="宋体" w:cs="Times New Roman"/>
          <w:sz w:val="24"/>
          <w:highlight w:val="none"/>
          <w:lang w:eastAsia="zh-CN"/>
        </w:rPr>
        <w:t>[2]</w:t>
      </w:r>
      <w:r>
        <w:rPr>
          <w:rStyle w:val="10"/>
          <w:rFonts w:hint="default" w:ascii="Times New Roman" w:hAnsi="Times New Roman" w:eastAsia="宋体" w:cs="Times New Roman"/>
          <w:b w:val="0"/>
          <w:bCs/>
          <w:sz w:val="24"/>
          <w:szCs w:val="24"/>
          <w:highlight w:val="none"/>
        </w:rPr>
        <w:fldChar w:fldCharType="end"/>
      </w:r>
      <w:r>
        <w:rPr>
          <w:rStyle w:val="10"/>
          <w:rFonts w:hint="default" w:ascii="Times New Roman" w:hAnsi="Times New Roman" w:eastAsia="宋体" w:cs="Times New Roman"/>
          <w:b w:val="0"/>
          <w:bCs/>
          <w:sz w:val="24"/>
          <w:szCs w:val="24"/>
          <w:highlight w:val="none"/>
        </w:rPr>
        <w:t>.</w:t>
      </w:r>
    </w:p>
    <w:p w14:paraId="7B1C87AD">
      <w:pPr>
        <w:pStyle w:val="3"/>
        <w:keepNext w:val="0"/>
        <w:keepLines w:val="0"/>
        <w:widowControl/>
        <w:suppressLineNumbers w:val="0"/>
        <w:rPr>
          <w:rFonts w:hint="default" w:ascii="Times New Roman" w:hAnsi="Times New Roman" w:eastAsia="宋体" w:cs="Times New Roman"/>
          <w:b/>
          <w:bCs/>
          <w:kern w:val="0"/>
          <w:sz w:val="24"/>
          <w:szCs w:val="24"/>
          <w:highlight w:val="none"/>
          <w:lang w:val="en-US" w:eastAsia="zh-CN" w:bidi="ar"/>
        </w:rPr>
      </w:pPr>
      <w:r>
        <w:rPr>
          <w:rFonts w:hint="default" w:ascii="Times New Roman" w:hAnsi="Times New Roman" w:eastAsia="宋体" w:cs="Times New Roman"/>
          <w:b/>
          <w:bCs/>
          <w:kern w:val="0"/>
          <w:sz w:val="24"/>
          <w:szCs w:val="24"/>
          <w:highlight w:val="none"/>
          <w:lang w:val="en-US" w:eastAsia="zh-CN" w:bidi="ar"/>
        </w:rPr>
        <w:t>S</w:t>
      </w:r>
      <w:r>
        <w:rPr>
          <w:rFonts w:hint="default" w:ascii="Times New Roman" w:hAnsi="Times New Roman" w:cs="Times New Roman"/>
          <w:b/>
          <w:bCs/>
          <w:kern w:val="0"/>
          <w:sz w:val="24"/>
          <w:szCs w:val="24"/>
          <w:highlight w:val="none"/>
          <w:lang w:val="en-US" w:eastAsia="zh-CN" w:bidi="ar"/>
        </w:rPr>
        <w:t>6</w:t>
      </w:r>
      <w:r>
        <w:rPr>
          <w:rFonts w:hint="default" w:ascii="Times New Roman" w:hAnsi="Times New Roman" w:eastAsia="宋体" w:cs="Times New Roman"/>
          <w:b/>
          <w:bCs/>
          <w:kern w:val="0"/>
          <w:sz w:val="24"/>
          <w:szCs w:val="24"/>
          <w:highlight w:val="none"/>
          <w:lang w:val="en-US" w:eastAsia="zh-CN" w:bidi="ar"/>
        </w:rPr>
        <w:t>. Statistical analysis</w:t>
      </w:r>
    </w:p>
    <w:p w14:paraId="7A6D4BE1">
      <w:pPr>
        <w:pStyle w:val="3"/>
        <w:keepNext w:val="0"/>
        <w:keepLines w:val="0"/>
        <w:widowControl/>
        <w:suppressLineNumbers w:val="0"/>
        <w:rPr>
          <w:rFonts w:hint="default" w:ascii="Times New Roman" w:hAnsi="Times New Roman" w:cs="Times New Roman" w:eastAsiaTheme="minorEastAsia"/>
          <w:b/>
          <w:bCs/>
          <w:kern w:val="0"/>
          <w:sz w:val="24"/>
          <w:szCs w:val="24"/>
          <w:highlight w:val="none"/>
          <w:lang w:val="en-US" w:eastAsia="zh-CN" w:bidi="ar"/>
        </w:rPr>
      </w:pPr>
      <w:r>
        <w:rPr>
          <w:rFonts w:hint="default" w:ascii="Times New Roman" w:hAnsi="Times New Roman" w:cs="Times New Roman" w:eastAsiaTheme="minorEastAsia"/>
          <w:b/>
          <w:bCs/>
          <w:kern w:val="0"/>
          <w:sz w:val="24"/>
          <w:szCs w:val="24"/>
          <w:highlight w:val="none"/>
          <w:lang w:val="en-US" w:eastAsia="zh-CN" w:bidi="ar"/>
        </w:rPr>
        <w:t>S6.1. General statistical principles</w:t>
      </w:r>
    </w:p>
    <w:p w14:paraId="163966E8">
      <w:pPr>
        <w:pStyle w:val="7"/>
        <w:widowControl/>
        <w:spacing w:line="480" w:lineRule="auto"/>
        <w:rPr>
          <w:rStyle w:val="10"/>
          <w:rFonts w:hint="default" w:ascii="Times New Roman" w:hAnsi="Times New Roman" w:eastAsia="宋体" w:cs="Times New Roman"/>
          <w:b w:val="0"/>
          <w:bCs/>
          <w:sz w:val="24"/>
          <w:szCs w:val="24"/>
          <w:highlight w:val="none"/>
        </w:rPr>
      </w:pPr>
      <w:r>
        <w:rPr>
          <w:rStyle w:val="10"/>
          <w:rFonts w:hint="default" w:ascii="Times New Roman" w:hAnsi="Times New Roman" w:eastAsia="宋体" w:cs="Times New Roman"/>
          <w:b w:val="0"/>
          <w:bCs/>
          <w:sz w:val="24"/>
          <w:szCs w:val="24"/>
          <w:highlight w:val="none"/>
        </w:rPr>
        <w:t>All analyses followed an exploratory framework. The aim was to identify clinical factors associated with the presence of LVAs, and then to further examine the relationship of low-density lipoprotein cholesterol (LDL-C) with atrial substrate and post-ablation outcomes. Because this was a retrospective observational study, all findings were interpreted as associations rather than evidence of causality.</w:t>
      </w:r>
    </w:p>
    <w:p w14:paraId="4C416B0D">
      <w:pPr>
        <w:pStyle w:val="7"/>
        <w:widowControl/>
        <w:spacing w:line="480" w:lineRule="auto"/>
        <w:rPr>
          <w:rStyle w:val="10"/>
          <w:rFonts w:hint="default" w:ascii="Times New Roman" w:hAnsi="Times New Roman" w:eastAsia="宋体" w:cs="Times New Roman"/>
          <w:b w:val="0"/>
          <w:bCs/>
          <w:sz w:val="24"/>
          <w:szCs w:val="24"/>
          <w:highlight w:val="none"/>
        </w:rPr>
      </w:pPr>
      <w:r>
        <w:rPr>
          <w:rStyle w:val="10"/>
          <w:rFonts w:hint="default" w:ascii="Times New Roman" w:hAnsi="Times New Roman" w:eastAsia="宋体" w:cs="Times New Roman"/>
          <w:b w:val="0"/>
          <w:bCs/>
          <w:sz w:val="24"/>
          <w:szCs w:val="24"/>
          <w:highlight w:val="none"/>
        </w:rPr>
        <w:t>The statistical analysis followed a sequential framework. First, baseline comparisons and univariable logistic regression were used to identify candidate factors associated with LVA presence. Candidate covariates were then selected for parsimonious multivariable modeling based on the univariable findings, clinical relevance, and prior evidence. Among the routinely measured metabolic variables, LDL-C was selected as the main exposure for subsequent focused analyses because it showed the most consistent association with LVA presence across the initial univariable and multivariable analyses. Subsequent analyses assessed the robustness and characteristics of the LDL-C–LVA association using incrementally adjusted models and complementary analyses of nonlinearity, potential explanatory pathways, subgroup heterogeneity, categorical LDL-C patterns, and postablation recurrence. Detailed methods for these analyses are provided in the following subsections.</w:t>
      </w:r>
    </w:p>
    <w:p w14:paraId="26DFBE45">
      <w:pPr>
        <w:pStyle w:val="7"/>
        <w:widowControl/>
        <w:spacing w:line="480" w:lineRule="auto"/>
        <w:rPr>
          <w:rStyle w:val="10"/>
          <w:rFonts w:hint="default" w:ascii="Times New Roman" w:hAnsi="Times New Roman" w:eastAsia="宋体" w:cs="Times New Roman"/>
          <w:b w:val="0"/>
          <w:bCs/>
          <w:sz w:val="24"/>
          <w:szCs w:val="24"/>
          <w:highlight w:val="none"/>
        </w:rPr>
      </w:pPr>
      <w:r>
        <w:rPr>
          <w:rStyle w:val="10"/>
          <w:rFonts w:hint="default" w:ascii="Times New Roman" w:hAnsi="Times New Roman" w:eastAsia="宋体" w:cs="Times New Roman"/>
          <w:b w:val="0"/>
          <w:bCs/>
          <w:sz w:val="24"/>
          <w:szCs w:val="24"/>
          <w:highlight w:val="none"/>
        </w:rPr>
        <w:t>For regression analyses, results are presented as odds ratios or hazard ratios with 95% confidence intervals. Covariates were selected according to the study objective, exploratory results, and clinical relevance. All tests were two-sided. Given the observational design and the exploratory nature of several secondary analyses, findings from spline, quartile, mediation, and subgroup analyses were interpreted cautiously and regarded as hypothesis-generating.</w:t>
      </w:r>
    </w:p>
    <w:p w14:paraId="1F9EFCC3">
      <w:pPr>
        <w:pStyle w:val="7"/>
        <w:keepNext w:val="0"/>
        <w:keepLines w:val="0"/>
        <w:widowControl/>
        <w:suppressLineNumbers w:val="0"/>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S</w:t>
      </w:r>
      <w:r>
        <w:rPr>
          <w:rFonts w:hint="default" w:ascii="Times New Roman" w:hAnsi="Times New Roman" w:cs="Times New Roman"/>
          <w:b/>
          <w:bCs/>
          <w:sz w:val="24"/>
          <w:szCs w:val="24"/>
          <w:highlight w:val="none"/>
          <w:lang w:val="en-US" w:eastAsia="zh-CN"/>
        </w:rPr>
        <w:t>6</w:t>
      </w:r>
      <w:r>
        <w:rPr>
          <w:rFonts w:hint="default" w:ascii="Times New Roman" w:hAnsi="Times New Roman" w:cs="Times New Roman"/>
          <w:b/>
          <w:bCs/>
          <w:sz w:val="24"/>
          <w:szCs w:val="24"/>
          <w:highlight w:val="none"/>
        </w:rPr>
        <w:t>.</w:t>
      </w:r>
      <w:r>
        <w:rPr>
          <w:rFonts w:hint="default" w:ascii="Times New Roman" w:hAnsi="Times New Roman" w:cs="Times New Roman"/>
          <w:b/>
          <w:bCs/>
          <w:sz w:val="24"/>
          <w:szCs w:val="24"/>
          <w:highlight w:val="none"/>
          <w:lang w:val="en-US" w:eastAsia="zh-CN"/>
        </w:rPr>
        <w:t>2</w:t>
      </w:r>
      <w:r>
        <w:rPr>
          <w:rFonts w:hint="default" w:ascii="Times New Roman" w:hAnsi="Times New Roman" w:cs="Times New Roman"/>
          <w:b/>
          <w:bCs/>
          <w:sz w:val="24"/>
          <w:szCs w:val="24"/>
          <w:highlight w:val="none"/>
        </w:rPr>
        <w:t>. Multiple Imputation</w:t>
      </w:r>
    </w:p>
    <w:p w14:paraId="37AD7975">
      <w:pPr>
        <w:pStyle w:val="7"/>
        <w:keepNext w:val="0"/>
        <w:keepLines w:val="0"/>
        <w:widowControl/>
        <w:suppressLineNumbers w:val="0"/>
        <w:spacing w:line="480" w:lineRule="auto"/>
        <w:rPr>
          <w:rStyle w:val="10"/>
          <w:rFonts w:hint="default" w:ascii="Times New Roman" w:hAnsi="Times New Roman" w:eastAsia="宋体" w:cs="Times New Roman"/>
          <w:b w:val="0"/>
          <w:bCs w:val="0"/>
          <w:sz w:val="24"/>
          <w:szCs w:val="24"/>
          <w:highlight w:val="none"/>
        </w:rPr>
      </w:pPr>
      <w:r>
        <w:rPr>
          <w:rStyle w:val="10"/>
          <w:rFonts w:hint="default" w:ascii="Times New Roman" w:hAnsi="Times New Roman" w:eastAsia="宋体" w:cs="Times New Roman"/>
          <w:b w:val="0"/>
          <w:bCs w:val="0"/>
          <w:sz w:val="24"/>
          <w:szCs w:val="24"/>
          <w:highlight w:val="none"/>
        </w:rPr>
        <w:t>Multiple imputation (MI) was used to handle the missing data for hs-CRP, which exhibited a significant proportion of missing values. The imputation procedure was performed using the mice package in R, employing the Predictive Mean Matching (PMM) method for the imputation of 40 datasets.</w:t>
      </w:r>
    </w:p>
    <w:p w14:paraId="4EA0718F">
      <w:pPr>
        <w:pStyle w:val="7"/>
        <w:keepNext w:val="0"/>
        <w:keepLines w:val="0"/>
        <w:widowControl/>
        <w:suppressLineNumbers w:val="0"/>
        <w:spacing w:line="480" w:lineRule="auto"/>
        <w:rPr>
          <w:rStyle w:val="10"/>
          <w:rFonts w:hint="default" w:ascii="Times New Roman" w:hAnsi="Times New Roman" w:eastAsia="宋体" w:cs="Times New Roman"/>
          <w:b w:val="0"/>
          <w:bCs w:val="0"/>
          <w:sz w:val="24"/>
          <w:szCs w:val="24"/>
          <w:highlight w:val="none"/>
        </w:rPr>
      </w:pPr>
      <w:r>
        <w:rPr>
          <w:rStyle w:val="10"/>
          <w:rFonts w:hint="default" w:ascii="Times New Roman" w:hAnsi="Times New Roman" w:eastAsia="宋体" w:cs="Times New Roman"/>
          <w:b w:val="0"/>
          <w:bCs w:val="0"/>
          <w:sz w:val="24"/>
          <w:szCs w:val="24"/>
          <w:highlight w:val="none"/>
        </w:rPr>
        <w:t>The imputation model included complete predictor variables, and the imputation was carried out over 20 iterations to ensure convergence. The primary variables used as predictors for the imputation included clinical factors relevant to the presence of LVAs and other baseline characteristics.</w:t>
      </w:r>
      <w:r>
        <w:rPr>
          <w:rStyle w:val="10"/>
          <w:rFonts w:hint="default" w:ascii="Times New Roman" w:hAnsi="Times New Roman" w:eastAsia="宋体" w:cs="Times New Roman"/>
          <w:b w:val="0"/>
          <w:bCs w:val="0"/>
          <w:sz w:val="24"/>
          <w:szCs w:val="24"/>
          <w:highlight w:val="none"/>
          <w:lang w:val="en-US" w:eastAsia="zh-CN"/>
        </w:rPr>
        <w:t xml:space="preserve"> The imputed datasets were used for subsequent exploratory multivariable model construction, ensuring that the missing values in hs-CRP were appropriately addressed.</w:t>
      </w:r>
    </w:p>
    <w:p w14:paraId="201B286E">
      <w:pPr>
        <w:pStyle w:val="7"/>
        <w:widowControl/>
        <w:spacing w:line="480" w:lineRule="auto"/>
        <w:rPr>
          <w:rStyle w:val="10"/>
          <w:rFonts w:hint="default" w:ascii="Times New Roman" w:hAnsi="Times New Roman" w:eastAsia="宋体" w:cs="Times New Roman"/>
          <w:b w:val="0"/>
          <w:bCs/>
          <w:sz w:val="24"/>
          <w:szCs w:val="24"/>
          <w:highlight w:val="none"/>
        </w:rPr>
      </w:pPr>
      <w:r>
        <w:rPr>
          <w:rStyle w:val="10"/>
          <w:rFonts w:hint="default" w:ascii="Times New Roman" w:hAnsi="Times New Roman" w:eastAsia="宋体" w:cs="Times New Roman"/>
          <w:b w:val="0"/>
          <w:bCs w:val="0"/>
          <w:sz w:val="24"/>
          <w:szCs w:val="24"/>
          <w:highlight w:val="none"/>
        </w:rPr>
        <w:t>All multiple imputation analyses were conducted using R software (version 4.4.1; R Foundation for Statistical Computing, Vienna, Austria) with the mice package.</w:t>
      </w:r>
    </w:p>
    <w:p w14:paraId="6FC56A16">
      <w:pPr>
        <w:pStyle w:val="7"/>
        <w:widowControl/>
        <w:spacing w:line="480" w:lineRule="auto"/>
        <w:rPr>
          <w:rFonts w:hint="default" w:ascii="Times New Roman" w:hAnsi="Times New Roman" w:cs="Times New Roman" w:eastAsiaTheme="minorEastAsia"/>
          <w:b/>
          <w:bCs/>
          <w:kern w:val="0"/>
          <w:sz w:val="24"/>
          <w:szCs w:val="24"/>
          <w:highlight w:val="none"/>
          <w:lang w:val="en-US" w:eastAsia="zh-CN" w:bidi="ar"/>
        </w:rPr>
      </w:pPr>
      <w:r>
        <w:rPr>
          <w:rFonts w:hint="default" w:ascii="Times New Roman" w:hAnsi="Times New Roman" w:cs="Times New Roman" w:eastAsiaTheme="minorEastAsia"/>
          <w:b/>
          <w:bCs/>
          <w:kern w:val="0"/>
          <w:sz w:val="24"/>
          <w:szCs w:val="24"/>
          <w:highlight w:val="none"/>
          <w:lang w:val="en-US" w:eastAsia="zh-CN" w:bidi="ar"/>
        </w:rPr>
        <w:t>S</w:t>
      </w:r>
      <w:r>
        <w:rPr>
          <w:rFonts w:hint="default" w:ascii="Times New Roman" w:hAnsi="Times New Roman" w:cs="Times New Roman"/>
          <w:b/>
          <w:bCs/>
          <w:kern w:val="0"/>
          <w:sz w:val="24"/>
          <w:szCs w:val="24"/>
          <w:highlight w:val="none"/>
          <w:lang w:val="en-US" w:eastAsia="zh-CN" w:bidi="ar"/>
        </w:rPr>
        <w:t>6</w:t>
      </w:r>
      <w:r>
        <w:rPr>
          <w:rFonts w:hint="default" w:ascii="Times New Roman" w:hAnsi="Times New Roman" w:cs="Times New Roman" w:eastAsiaTheme="minorEastAsia"/>
          <w:b/>
          <w:bCs/>
          <w:kern w:val="0"/>
          <w:sz w:val="24"/>
          <w:szCs w:val="24"/>
          <w:highlight w:val="none"/>
          <w:lang w:val="en-US" w:eastAsia="zh-CN" w:bidi="ar"/>
        </w:rPr>
        <w:t>.</w:t>
      </w:r>
      <w:r>
        <w:rPr>
          <w:rFonts w:hint="default" w:ascii="Times New Roman" w:hAnsi="Times New Roman" w:cs="Times New Roman"/>
          <w:b/>
          <w:bCs/>
          <w:kern w:val="0"/>
          <w:sz w:val="24"/>
          <w:szCs w:val="24"/>
          <w:highlight w:val="none"/>
          <w:lang w:val="en-US" w:eastAsia="zh-CN" w:bidi="ar"/>
        </w:rPr>
        <w:t>3</w:t>
      </w:r>
      <w:r>
        <w:rPr>
          <w:rFonts w:hint="default" w:ascii="Times New Roman" w:hAnsi="Times New Roman" w:cs="Times New Roman" w:eastAsiaTheme="minorEastAsia"/>
          <w:b/>
          <w:bCs/>
          <w:kern w:val="0"/>
          <w:sz w:val="24"/>
          <w:szCs w:val="24"/>
          <w:highlight w:val="none"/>
          <w:lang w:val="en-US" w:eastAsia="zh-CN" w:bidi="ar"/>
        </w:rPr>
        <w:t>. Firth penalized logistic regression for f-wave amplitude</w:t>
      </w:r>
    </w:p>
    <w:p w14:paraId="595AD509">
      <w:pPr>
        <w:pStyle w:val="7"/>
        <w:widowControl/>
        <w:spacing w:line="480" w:lineRule="auto"/>
        <w:rPr>
          <w:rStyle w:val="10"/>
          <w:rFonts w:hint="default" w:ascii="Times New Roman" w:hAnsi="Times New Roman" w:eastAsia="宋体" w:cs="Times New Roman"/>
          <w:b w:val="0"/>
          <w:bCs/>
          <w:sz w:val="24"/>
          <w:szCs w:val="24"/>
          <w:highlight w:val="none"/>
        </w:rPr>
      </w:pPr>
      <w:r>
        <w:rPr>
          <w:rStyle w:val="10"/>
          <w:rFonts w:hint="default" w:ascii="Times New Roman" w:hAnsi="Times New Roman" w:cs="Times New Roman"/>
          <w:b w:val="0"/>
          <w:bCs w:val="0"/>
          <w:sz w:val="24"/>
          <w:szCs w:val="24"/>
          <w:highlight w:val="none"/>
        </w:rPr>
        <w:t xml:space="preserve">The association between surface </w:t>
      </w:r>
      <w:r>
        <w:rPr>
          <w:rStyle w:val="10"/>
          <w:rFonts w:hint="default" w:ascii="Times New Roman" w:hAnsi="Times New Roman" w:eastAsia="宋体" w:cs="Times New Roman"/>
          <w:b w:val="0"/>
          <w:bCs w:val="0"/>
          <w:sz w:val="24"/>
          <w:szCs w:val="24"/>
          <w:highlight w:val="none"/>
        </w:rPr>
        <w:t>electrocardiogram (ECG)-derived</w:t>
      </w:r>
      <w:r>
        <w:rPr>
          <w:rStyle w:val="10"/>
          <w:rFonts w:hint="default" w:ascii="Times New Roman" w:hAnsi="Times New Roman" w:cs="Times New Roman"/>
          <w:b w:val="0"/>
          <w:bCs w:val="0"/>
          <w:sz w:val="24"/>
          <w:szCs w:val="24"/>
          <w:highlight w:val="none"/>
        </w:rPr>
        <w:t xml:space="preserve"> f-wave amplitude and LVA presence was further assessed</w:t>
      </w:r>
      <w:r>
        <w:rPr>
          <w:rStyle w:val="10"/>
          <w:rFonts w:hint="default" w:ascii="Times New Roman" w:hAnsi="Times New Roman" w:eastAsia="宋体" w:cs="Times New Roman"/>
          <w:b w:val="0"/>
          <w:bCs w:val="0"/>
          <w:sz w:val="24"/>
          <w:szCs w:val="24"/>
          <w:highlight w:val="none"/>
        </w:rPr>
        <w:t>.</w:t>
      </w:r>
      <w:r>
        <w:rPr>
          <w:rStyle w:val="10"/>
          <w:rFonts w:hint="default" w:ascii="Times New Roman" w:hAnsi="Times New Roman" w:eastAsia="宋体" w:cs="Times New Roman"/>
          <w:b w:val="0"/>
          <w:bCs/>
          <w:sz w:val="24"/>
          <w:szCs w:val="24"/>
          <w:highlight w:val="none"/>
        </w:rPr>
        <w:t xml:space="preserve"> In the standard logistic model, f-wave amplitude showed an extremely strong inverse association with LVA, resulting in complete separation. Because this can lead to unstable maximum-likelihood estimates, Firth penalized logistic regression was used.</w:t>
      </w:r>
      <w:r>
        <w:rPr>
          <w:rStyle w:val="10"/>
          <w:rFonts w:hint="default" w:ascii="Times New Roman" w:hAnsi="Times New Roman" w:eastAsia="宋体" w:cs="Times New Roman"/>
          <w:b w:val="0"/>
          <w:bCs/>
          <w:sz w:val="24"/>
          <w:szCs w:val="24"/>
          <w:highlight w:val="none"/>
          <w:lang w:val="en-US" w:eastAsia="zh-CN"/>
        </w:rPr>
        <w:t xml:space="preserve"> </w:t>
      </w:r>
      <w:r>
        <w:rPr>
          <w:rStyle w:val="10"/>
          <w:rFonts w:hint="default" w:ascii="Times New Roman" w:hAnsi="Times New Roman" w:eastAsia="宋体" w:cs="Times New Roman"/>
          <w:b w:val="0"/>
          <w:bCs/>
          <w:sz w:val="24"/>
          <w:szCs w:val="24"/>
          <w:highlight w:val="none"/>
        </w:rPr>
        <w:t>Both univariable and multivariable Firth models were fitted. The multivariable model adjusted for age, sex, drinking status, CHA₂DS₂-VASc score, LDL-C, triiodothyronine (T3), and left atrial diameter (LAD), consistent with the main analysis framework</w:t>
      </w:r>
      <w:r>
        <w:rPr>
          <w:rStyle w:val="10"/>
          <w:rFonts w:hint="default" w:ascii="Times New Roman" w:hAnsi="Times New Roman" w:eastAsia="宋体" w:cs="Times New Roman"/>
          <w:b w:val="0"/>
          <w:bCs/>
          <w:sz w:val="24"/>
          <w:szCs w:val="24"/>
          <w:highlight w:val="none"/>
          <w:lang w:val="en-US" w:eastAsia="zh-CN"/>
        </w:rPr>
        <w:t xml:space="preserve"> (</w:t>
      </w:r>
      <w:r>
        <w:rPr>
          <w:rFonts w:hint="default" w:ascii="Times New Roman" w:hAnsi="Times New Roman" w:cs="Times New Roman" w:eastAsiaTheme="minorEastAsia"/>
          <w:b w:val="0"/>
          <w:bCs w:val="0"/>
          <w:kern w:val="0"/>
          <w:sz w:val="24"/>
          <w:szCs w:val="24"/>
          <w:highlight w:val="none"/>
          <w:lang w:val="en-US" w:eastAsia="zh-CN" w:bidi="ar"/>
        </w:rPr>
        <w:t>Supplementary Table S1</w:t>
      </w:r>
      <w:r>
        <w:rPr>
          <w:rFonts w:hint="default" w:ascii="Times New Roman" w:hAnsi="Times New Roman" w:cs="Times New Roman"/>
          <w:b w:val="0"/>
          <w:bCs w:val="0"/>
          <w:kern w:val="0"/>
          <w:sz w:val="24"/>
          <w:szCs w:val="24"/>
          <w:highlight w:val="none"/>
          <w:lang w:val="en-US" w:eastAsia="zh-CN" w:bidi="ar"/>
        </w:rPr>
        <w:t>)</w:t>
      </w:r>
      <w:r>
        <w:rPr>
          <w:rStyle w:val="10"/>
          <w:rFonts w:hint="default" w:ascii="Times New Roman" w:hAnsi="Times New Roman" w:eastAsia="宋体" w:cs="Times New Roman"/>
          <w:b w:val="0"/>
          <w:bCs/>
          <w:sz w:val="24"/>
          <w:szCs w:val="24"/>
          <w:highlight w:val="none"/>
        </w:rPr>
        <w:t>.</w:t>
      </w:r>
    </w:p>
    <w:p w14:paraId="713C01A2">
      <w:pPr>
        <w:pStyle w:val="7"/>
        <w:widowControl/>
        <w:spacing w:line="480" w:lineRule="auto"/>
        <w:rPr>
          <w:rStyle w:val="10"/>
          <w:rFonts w:hint="default" w:ascii="Times New Roman" w:hAnsi="Times New Roman" w:eastAsia="宋体" w:cs="Times New Roman"/>
          <w:b w:val="0"/>
          <w:bCs/>
          <w:sz w:val="24"/>
          <w:szCs w:val="24"/>
          <w:highlight w:val="none"/>
        </w:rPr>
      </w:pPr>
      <w:r>
        <w:rPr>
          <w:rStyle w:val="10"/>
          <w:rFonts w:hint="default" w:ascii="Times New Roman" w:hAnsi="Times New Roman" w:eastAsia="宋体" w:cs="Times New Roman"/>
          <w:b w:val="0"/>
          <w:bCs/>
          <w:sz w:val="24"/>
          <w:szCs w:val="24"/>
          <w:highlight w:val="none"/>
        </w:rPr>
        <w:t>To improve clinical interpretability, the effect size was expressed per 0.1 mV decrease in f-wave amplitude. Since the estimated coefficient for f-wave amplitude in the multivariable Firth model was β = −7.393, the corresponding odds ratio for each 0.1 mV decrease was calculated as follows:</w:t>
      </w:r>
    </w:p>
    <w:p w14:paraId="5C485E1A">
      <w:pPr>
        <w:pStyle w:val="7"/>
        <w:widowControl/>
        <w:spacing w:line="480" w:lineRule="auto"/>
        <w:rPr>
          <w:rStyle w:val="10"/>
          <w:rFonts w:hint="default" w:ascii="Times New Roman" w:hAnsi="Times New Roman" w:eastAsia="宋体" w:cs="Times New Roman"/>
          <w:b w:val="0"/>
          <w:bCs/>
          <w:sz w:val="24"/>
          <w:szCs w:val="24"/>
          <w:highlight w:val="none"/>
        </w:rPr>
      </w:pPr>
      <m:oMathPara>
        <m:oMath>
          <m:sSub>
            <m:sSubPr>
              <m:ctrlPr>
                <w:rPr>
                  <w:rFonts w:hint="default" w:ascii="Cambria Math" w:hAnsi="Cambria Math" w:eastAsia="宋体" w:cs="Times New Roman"/>
                  <w:i/>
                  <w:sz w:val="24"/>
                  <w:szCs w:val="24"/>
                  <w:highlight w:val="none"/>
                </w:rPr>
              </m:ctrlPr>
            </m:sSubPr>
            <m:e>
              <m:r>
                <m:rPr>
                  <m:nor/>
                </m:rPr>
                <w:rPr>
                  <w:rFonts w:hint="default" w:ascii="Times New Roman" w:hAnsi="Times New Roman" w:eastAsia="宋体" w:cs="Times New Roman"/>
                  <w:i/>
                  <w:sz w:val="24"/>
                  <w:szCs w:val="24"/>
                  <w:highlight w:val="none"/>
                </w:rPr>
                <m:t>OR</m:t>
              </m:r>
              <m:ctrlPr>
                <w:rPr>
                  <w:rFonts w:hint="default" w:ascii="Cambria Math" w:hAnsi="Cambria Math" w:eastAsia="宋体" w:cs="Times New Roman"/>
                  <w:i/>
                  <w:sz w:val="24"/>
                  <w:szCs w:val="24"/>
                  <w:highlight w:val="none"/>
                </w:rPr>
              </m:ctrlPr>
            </m:e>
            <m:sub>
              <m:r>
                <m:rPr>
                  <m:nor/>
                  <m:sty m:val="p"/>
                </m:rPr>
                <w:rPr>
                  <w:rFonts w:hint="default" w:ascii="Times New Roman" w:hAnsi="Times New Roman" w:eastAsia="宋体" w:cs="Times New Roman"/>
                  <w:b w:val="0"/>
                  <w:i w:val="0"/>
                  <w:sz w:val="24"/>
                  <w:szCs w:val="24"/>
                  <w:highlight w:val="none"/>
                </w:rPr>
                <m:t>0.1 </m:t>
              </m:r>
              <m:r>
                <m:rPr>
                  <m:nor/>
                </m:rPr>
                <w:rPr>
                  <w:rFonts w:hint="default" w:ascii="Times New Roman" w:hAnsi="Times New Roman" w:eastAsia="宋体" w:cs="Times New Roman"/>
                  <w:i/>
                  <w:sz w:val="24"/>
                  <w:szCs w:val="24"/>
                  <w:highlight w:val="none"/>
                </w:rPr>
                <m:t>mV</m:t>
              </m:r>
              <m:r>
                <m:rPr>
                  <m:nor/>
                  <m:sty m:val="p"/>
                </m:rPr>
                <w:rPr>
                  <w:rFonts w:hint="default" w:ascii="Times New Roman" w:hAnsi="Times New Roman" w:eastAsia="宋体" w:cs="Times New Roman"/>
                  <w:b w:val="0"/>
                  <w:i w:val="0"/>
                  <w:sz w:val="24"/>
                  <w:szCs w:val="24"/>
                  <w:highlight w:val="none"/>
                </w:rPr>
                <m:t> </m:t>
              </m:r>
              <m:r>
                <m:rPr>
                  <m:nor/>
                </m:rPr>
                <w:rPr>
                  <w:rFonts w:hint="default" w:ascii="Times New Roman" w:hAnsi="Times New Roman" w:eastAsia="宋体" w:cs="Times New Roman"/>
                  <w:i/>
                  <w:sz w:val="24"/>
                  <w:szCs w:val="24"/>
                  <w:highlight w:val="none"/>
                </w:rPr>
                <m:t>decrease</m:t>
              </m:r>
              <m:ctrlPr>
                <w:rPr>
                  <w:rFonts w:hint="default" w:ascii="Cambria Math" w:hAnsi="Cambria Math" w:eastAsia="宋体" w:cs="Times New Roman"/>
                  <w:i/>
                  <w:sz w:val="24"/>
                  <w:szCs w:val="24"/>
                  <w:highlight w:val="none"/>
                </w:rPr>
              </m:ctrlPr>
            </m:sub>
          </m:sSub>
          <m:r>
            <m:rPr>
              <m:nor/>
              <m:sty m:val="p"/>
            </m:rPr>
            <w:rPr>
              <w:rFonts w:hint="default" w:ascii="Times New Roman" w:hAnsi="Times New Roman" w:eastAsia="宋体" w:cs="Times New Roman"/>
              <w:b w:val="0"/>
              <w:i w:val="0"/>
              <w:sz w:val="24"/>
              <w:szCs w:val="24"/>
              <w:highlight w:val="none"/>
            </w:rPr>
            <m:t>=</m:t>
          </m:r>
          <m:r>
            <m:rPr>
              <m:nor/>
            </m:rPr>
            <w:rPr>
              <w:rFonts w:hint="default" w:ascii="Times New Roman" w:hAnsi="Times New Roman" w:eastAsia="宋体" w:cs="Times New Roman"/>
              <w:i/>
              <w:sz w:val="24"/>
              <w:szCs w:val="24"/>
              <w:highlight w:val="none"/>
            </w:rPr>
            <m:t>exp</m:t>
          </m:r>
          <m:r>
            <m:rPr>
              <m:nor/>
              <m:sty m:val="p"/>
            </m:rPr>
            <w:rPr>
              <w:rFonts w:hint="default" w:ascii="Times New Roman" w:hAnsi="Times New Roman" w:eastAsia="宋体" w:cs="Times New Roman"/>
              <w:b w:val="0"/>
              <w:i w:val="0"/>
              <w:sz w:val="24"/>
              <w:szCs w:val="24"/>
              <w:highlight w:val="none"/>
              <w:lang w:val="en-US" w:eastAsia="zh-CN"/>
            </w:rPr>
            <m:t xml:space="preserve"> </m:t>
          </m:r>
          <m:r>
            <m:rPr>
              <m:nor/>
              <m:sty m:val="p"/>
            </m:rPr>
            <w:rPr>
              <w:rFonts w:hint="default" w:ascii="Times New Roman" w:hAnsi="Times New Roman" w:eastAsia="宋体" w:cs="Times New Roman"/>
              <w:b w:val="0"/>
              <w:i w:val="0"/>
              <w:sz w:val="24"/>
              <w:szCs w:val="24"/>
              <w:highlight w:val="none"/>
            </w:rPr>
            <m:t>(−0.1×</m:t>
          </m:r>
          <m:r>
            <m:rPr>
              <m:nor/>
            </m:rPr>
            <w:rPr>
              <w:rFonts w:hint="default" w:ascii="Times New Roman" w:hAnsi="Times New Roman" w:eastAsia="宋体" w:cs="Times New Roman"/>
              <w:i/>
              <w:sz w:val="24"/>
              <w:szCs w:val="24"/>
              <w:highlight w:val="none"/>
            </w:rPr>
            <m:t>β</m:t>
          </m:r>
          <m:r>
            <m:rPr>
              <m:nor/>
              <m:sty m:val="p"/>
            </m:rPr>
            <w:rPr>
              <w:rFonts w:hint="default" w:ascii="Times New Roman" w:hAnsi="Times New Roman" w:eastAsia="宋体" w:cs="Times New Roman"/>
              <w:b w:val="0"/>
              <w:i w:val="0"/>
              <w:sz w:val="24"/>
              <w:szCs w:val="24"/>
              <w:highlight w:val="none"/>
            </w:rPr>
            <m:t>)</m:t>
          </m:r>
          <m:r>
            <m:rPr>
              <m:nor/>
              <m:sty m:val="p"/>
            </m:rPr>
            <w:rPr>
              <w:rFonts w:hint="default" w:ascii="Times New Roman" w:hAnsi="Times New Roman" w:eastAsia="宋体" w:cs="Times New Roman"/>
              <w:b w:val="0"/>
              <w:i w:val="0"/>
              <w:sz w:val="24"/>
              <w:szCs w:val="24"/>
              <w:highlight w:val="none"/>
              <w:lang w:val="en-US" w:eastAsia="zh-CN"/>
            </w:rPr>
            <m:t xml:space="preserve"> </m:t>
          </m:r>
          <m:r>
            <m:rPr>
              <m:nor/>
              <m:sty m:val="p"/>
            </m:rPr>
            <w:rPr>
              <w:rFonts w:hint="default" w:ascii="Times New Roman" w:hAnsi="Times New Roman" w:eastAsia="宋体" w:cs="Times New Roman"/>
              <w:b w:val="0"/>
              <w:i w:val="0"/>
              <w:sz w:val="24"/>
              <w:szCs w:val="24"/>
              <w:highlight w:val="none"/>
            </w:rPr>
            <m:t>=</m:t>
          </m:r>
          <m:r>
            <m:rPr>
              <m:nor/>
            </m:rPr>
            <w:rPr>
              <w:rFonts w:hint="default" w:ascii="Times New Roman" w:hAnsi="Times New Roman" w:eastAsia="宋体" w:cs="Times New Roman"/>
              <w:i/>
              <w:sz w:val="24"/>
              <w:szCs w:val="24"/>
              <w:highlight w:val="none"/>
            </w:rPr>
            <m:t>exp</m:t>
          </m:r>
          <m:r>
            <m:rPr>
              <m:nor/>
              <m:sty m:val="p"/>
            </m:rPr>
            <w:rPr>
              <w:rFonts w:hint="default" w:ascii="Times New Roman" w:hAnsi="Times New Roman" w:eastAsia="宋体" w:cs="Times New Roman"/>
              <w:b w:val="0"/>
              <w:i w:val="0"/>
              <w:sz w:val="24"/>
              <w:szCs w:val="24"/>
              <w:highlight w:val="none"/>
              <w:lang w:val="en-US" w:eastAsia="zh-CN"/>
            </w:rPr>
            <m:t xml:space="preserve"> </m:t>
          </m:r>
          <m:r>
            <m:rPr>
              <m:nor/>
              <m:sty m:val="p"/>
            </m:rPr>
            <w:rPr>
              <w:rFonts w:hint="default" w:ascii="Times New Roman" w:hAnsi="Times New Roman" w:eastAsia="宋体" w:cs="Times New Roman"/>
              <w:b w:val="0"/>
              <w:i w:val="0"/>
              <w:sz w:val="24"/>
              <w:szCs w:val="24"/>
              <w:highlight w:val="none"/>
            </w:rPr>
            <m:t>[−0.1×(−7.393)]=</m:t>
          </m:r>
          <m:r>
            <m:rPr>
              <m:nor/>
            </m:rPr>
            <w:rPr>
              <w:rFonts w:hint="default" w:ascii="Times New Roman" w:hAnsi="Times New Roman" w:eastAsia="宋体" w:cs="Times New Roman"/>
              <w:i/>
              <w:sz w:val="24"/>
              <w:szCs w:val="24"/>
              <w:highlight w:val="none"/>
            </w:rPr>
            <m:t>exp</m:t>
          </m:r>
          <m:r>
            <m:rPr>
              <m:nor/>
              <m:sty m:val="p"/>
            </m:rPr>
            <w:rPr>
              <w:rFonts w:hint="default" w:ascii="Times New Roman" w:hAnsi="Times New Roman" w:eastAsia="宋体" w:cs="Times New Roman"/>
              <w:b w:val="0"/>
              <w:i w:val="0"/>
              <w:sz w:val="24"/>
              <w:szCs w:val="24"/>
              <w:highlight w:val="none"/>
              <w:lang w:val="en-US" w:eastAsia="zh-CN"/>
            </w:rPr>
            <m:t xml:space="preserve"> </m:t>
          </m:r>
          <m:r>
            <m:rPr>
              <m:nor/>
              <m:sty m:val="p"/>
            </m:rPr>
            <w:rPr>
              <w:rFonts w:hint="default" w:ascii="Times New Roman" w:hAnsi="Times New Roman" w:eastAsia="宋体" w:cs="Times New Roman"/>
              <w:b w:val="0"/>
              <w:i w:val="0"/>
              <w:sz w:val="24"/>
              <w:szCs w:val="24"/>
              <w:highlight w:val="none"/>
            </w:rPr>
            <m:t>(0.7393)=2.09</m:t>
          </m:r>
        </m:oMath>
      </m:oMathPara>
    </w:p>
    <w:p w14:paraId="6FD4C807">
      <w:pPr>
        <w:pStyle w:val="7"/>
        <w:widowControl/>
        <w:spacing w:line="480" w:lineRule="auto"/>
        <w:rPr>
          <w:rStyle w:val="10"/>
          <w:rFonts w:hint="default" w:ascii="Times New Roman" w:hAnsi="Times New Roman" w:eastAsia="宋体" w:cs="Times New Roman"/>
          <w:b w:val="0"/>
          <w:bCs/>
          <w:sz w:val="24"/>
          <w:szCs w:val="24"/>
          <w:highlight w:val="none"/>
        </w:rPr>
      </w:pPr>
      <w:r>
        <w:rPr>
          <w:rStyle w:val="10"/>
          <w:rFonts w:hint="default" w:ascii="Times New Roman" w:hAnsi="Times New Roman" w:eastAsia="宋体" w:cs="Times New Roman"/>
          <w:b w:val="0"/>
          <w:bCs/>
          <w:sz w:val="24"/>
          <w:szCs w:val="24"/>
          <w:highlight w:val="none"/>
        </w:rPr>
        <w:t>Accordingly, each 0.1 mV decrease in f-wave amplitude was associated with a 2.09-fold higher odds of LVA presence (95% CI 1.44</w:t>
      </w:r>
      <w:r>
        <w:rPr>
          <w:rFonts w:hint="default" w:ascii="Times New Roman" w:hAnsi="Times New Roman" w:eastAsia="宋体" w:cs="Times New Roman"/>
          <w:sz w:val="24"/>
          <w:szCs w:val="24"/>
          <w:highlight w:val="none"/>
        </w:rPr>
        <w:t>–</w:t>
      </w:r>
      <w:r>
        <w:rPr>
          <w:rStyle w:val="10"/>
          <w:rFonts w:hint="default" w:ascii="Times New Roman" w:hAnsi="Times New Roman" w:eastAsia="宋体" w:cs="Times New Roman"/>
          <w:b w:val="0"/>
          <w:bCs/>
          <w:sz w:val="24"/>
          <w:szCs w:val="24"/>
          <w:highlight w:val="none"/>
        </w:rPr>
        <w:t xml:space="preserve">3.09, </w:t>
      </w:r>
      <w:r>
        <w:rPr>
          <w:rStyle w:val="10"/>
          <w:rFonts w:hint="default" w:ascii="Times New Roman" w:hAnsi="Times New Roman" w:eastAsia="宋体" w:cs="Times New Roman"/>
          <w:b w:val="0"/>
          <w:bCs/>
          <w:i/>
          <w:iCs/>
          <w:sz w:val="24"/>
          <w:szCs w:val="24"/>
          <w:highlight w:val="none"/>
        </w:rPr>
        <w:t>P</w:t>
      </w:r>
      <w:r>
        <w:rPr>
          <w:rStyle w:val="10"/>
          <w:rFonts w:hint="default" w:ascii="Times New Roman" w:hAnsi="Times New Roman" w:eastAsia="宋体" w:cs="Times New Roman"/>
          <w:b w:val="0"/>
          <w:bCs/>
          <w:sz w:val="24"/>
          <w:szCs w:val="24"/>
          <w:highlight w:val="none"/>
        </w:rPr>
        <w:t xml:space="preserve"> &lt; 0.001).</w:t>
      </w:r>
    </w:p>
    <w:p w14:paraId="26C08590">
      <w:pPr>
        <w:pStyle w:val="7"/>
        <w:widowControl/>
        <w:spacing w:line="480" w:lineRule="auto"/>
        <w:rPr>
          <w:rStyle w:val="10"/>
          <w:rFonts w:hint="default" w:ascii="Times New Roman" w:hAnsi="Times New Roman" w:eastAsia="宋体" w:cs="Times New Roman"/>
          <w:b w:val="0"/>
          <w:bCs/>
          <w:sz w:val="24"/>
          <w:szCs w:val="24"/>
          <w:highlight w:val="none"/>
        </w:rPr>
      </w:pPr>
      <w:r>
        <w:rPr>
          <w:rStyle w:val="10"/>
          <w:rFonts w:hint="default" w:ascii="Times New Roman" w:hAnsi="Times New Roman" w:eastAsia="宋体" w:cs="Times New Roman"/>
          <w:b w:val="0"/>
          <w:bCs/>
          <w:sz w:val="24"/>
          <w:szCs w:val="24"/>
          <w:highlight w:val="none"/>
        </w:rPr>
        <w:t xml:space="preserve">These findings indicate a very strong inverse association between f-wave amplitude and LVA presence. Lower f-wave amplitude was associated with a markedly higher likelihood of LVAs, indicating that lower f-wave amplitude may be a marker of more advanced atrial remodeling. </w:t>
      </w:r>
    </w:p>
    <w:p w14:paraId="2F35B825">
      <w:pPr>
        <w:pStyle w:val="7"/>
        <w:widowControl/>
        <w:spacing w:line="480" w:lineRule="auto"/>
        <w:rPr>
          <w:rStyle w:val="10"/>
          <w:rFonts w:hint="default" w:ascii="Times New Roman" w:hAnsi="Times New Roman" w:eastAsia="宋体" w:cs="Times New Roman"/>
          <w:b w:val="0"/>
          <w:bCs/>
          <w:sz w:val="24"/>
          <w:szCs w:val="24"/>
          <w:highlight w:val="none"/>
        </w:rPr>
      </w:pPr>
      <w:r>
        <w:rPr>
          <w:rStyle w:val="10"/>
          <w:rFonts w:hint="default" w:ascii="Times New Roman" w:hAnsi="Times New Roman" w:eastAsia="宋体" w:cs="Times New Roman"/>
          <w:b w:val="0"/>
          <w:bCs/>
          <w:sz w:val="24"/>
          <w:szCs w:val="24"/>
          <w:highlight w:val="none"/>
        </w:rPr>
        <w:t>All Firth penalized logistic regression analyses were performed using R software (version 4.4.1; R Foundation for Statistical Computing, Vienna, Austria) with the logistf package.</w:t>
      </w:r>
    </w:p>
    <w:p w14:paraId="08E39DAF">
      <w:pPr>
        <w:pStyle w:val="3"/>
        <w:keepNext w:val="0"/>
        <w:keepLines w:val="0"/>
        <w:widowControl/>
        <w:suppressLineNumbers w:val="0"/>
        <w:spacing w:line="480" w:lineRule="auto"/>
        <w:rPr>
          <w:rFonts w:hint="default" w:ascii="Times New Roman" w:hAnsi="Times New Roman" w:cs="Times New Roman" w:eastAsiaTheme="minorEastAsia"/>
          <w:b/>
          <w:bCs/>
          <w:kern w:val="0"/>
          <w:sz w:val="24"/>
          <w:szCs w:val="24"/>
          <w:highlight w:val="none"/>
          <w:lang w:val="en-US" w:eastAsia="zh-CN" w:bidi="ar"/>
        </w:rPr>
      </w:pPr>
      <w:r>
        <w:rPr>
          <w:rFonts w:hint="default" w:ascii="Times New Roman" w:hAnsi="Times New Roman" w:cs="Times New Roman" w:eastAsiaTheme="minorEastAsia"/>
          <w:b/>
          <w:bCs/>
          <w:kern w:val="0"/>
          <w:sz w:val="24"/>
          <w:szCs w:val="24"/>
          <w:highlight w:val="none"/>
          <w:lang w:val="en-US" w:eastAsia="zh-CN" w:bidi="ar"/>
        </w:rPr>
        <w:t>S6.4. Restricted cubic spline analysis</w:t>
      </w:r>
    </w:p>
    <w:p w14:paraId="4CBBFB40">
      <w:pPr>
        <w:pStyle w:val="7"/>
        <w:widowControl/>
        <w:spacing w:line="480" w:lineRule="auto"/>
        <w:rPr>
          <w:rStyle w:val="10"/>
          <w:rFonts w:hint="default" w:ascii="Times New Roman" w:hAnsi="Times New Roman" w:eastAsia="宋体" w:cs="Times New Roman"/>
          <w:b w:val="0"/>
          <w:bCs/>
          <w:sz w:val="24"/>
          <w:szCs w:val="24"/>
          <w:highlight w:val="none"/>
        </w:rPr>
      </w:pPr>
      <w:r>
        <w:rPr>
          <w:rStyle w:val="10"/>
          <w:rFonts w:hint="default" w:ascii="Times New Roman" w:hAnsi="Times New Roman" w:eastAsia="宋体" w:cs="Times New Roman"/>
          <w:b w:val="0"/>
          <w:bCs/>
          <w:sz w:val="24"/>
          <w:szCs w:val="24"/>
          <w:highlight w:val="none"/>
        </w:rPr>
        <w:t xml:space="preserve">Restricted cubic spline (RCS) analysis was used as an exploratory method to examine the shape of the association between LDL-C and LVA presence. </w:t>
      </w:r>
      <w:r>
        <w:rPr>
          <w:rStyle w:val="10"/>
          <w:rFonts w:hint="default" w:ascii="Times New Roman" w:hAnsi="Times New Roman" w:eastAsia="宋体" w:cs="Times New Roman"/>
          <w:b w:val="0"/>
          <w:bCs/>
          <w:sz w:val="24"/>
          <w:szCs w:val="24"/>
          <w:highlight w:val="none"/>
        </w:rPr>
        <w:t xml:space="preserve">Because LDL-C showed the most consistent association with LVA presence across the initial analyses, </w:t>
      </w:r>
      <w:r>
        <w:rPr>
          <w:rStyle w:val="10"/>
          <w:rFonts w:hint="default" w:ascii="Times New Roman" w:hAnsi="Times New Roman" w:eastAsia="宋体" w:cs="Times New Roman"/>
          <w:b w:val="0"/>
          <w:bCs/>
          <w:sz w:val="24"/>
          <w:szCs w:val="24"/>
          <w:highlight w:val="none"/>
        </w:rPr>
        <w:t>spline analysis was performed to assess whether there was evidence of departure from linearity in its association with LVAs.</w:t>
      </w:r>
    </w:p>
    <w:p w14:paraId="01E6566B">
      <w:pPr>
        <w:pStyle w:val="7"/>
        <w:widowControl/>
        <w:spacing w:line="480" w:lineRule="auto"/>
        <w:rPr>
          <w:rStyle w:val="10"/>
          <w:rFonts w:hint="default" w:ascii="Times New Roman" w:hAnsi="Times New Roman" w:eastAsia="宋体" w:cs="Times New Roman"/>
          <w:b w:val="0"/>
          <w:bCs/>
          <w:sz w:val="24"/>
          <w:szCs w:val="24"/>
          <w:highlight w:val="none"/>
        </w:rPr>
      </w:pPr>
      <w:r>
        <w:rPr>
          <w:rStyle w:val="10"/>
          <w:rFonts w:hint="default" w:ascii="Times New Roman" w:hAnsi="Times New Roman" w:eastAsia="宋体" w:cs="Times New Roman"/>
          <w:b w:val="0"/>
          <w:bCs/>
          <w:sz w:val="24"/>
          <w:szCs w:val="24"/>
          <w:highlight w:val="none"/>
        </w:rPr>
        <w:t>RCS analysis was based on logistic regression, with LVA presence as the binary outcome. The model was adjusted for age</w:t>
      </w:r>
      <w:r>
        <w:rPr>
          <w:rStyle w:val="10"/>
          <w:rFonts w:hint="default" w:ascii="Times New Roman" w:hAnsi="Times New Roman" w:eastAsia="宋体" w:cs="Times New Roman"/>
          <w:b w:val="0"/>
          <w:bCs/>
          <w:sz w:val="24"/>
          <w:szCs w:val="24"/>
          <w:highlight w:val="none"/>
          <w:lang w:val="en-US" w:eastAsia="zh-CN"/>
        </w:rPr>
        <w:t xml:space="preserve"> and </w:t>
      </w:r>
      <w:r>
        <w:rPr>
          <w:rStyle w:val="10"/>
          <w:rFonts w:hint="default" w:ascii="Times New Roman" w:hAnsi="Times New Roman" w:eastAsia="宋体" w:cs="Times New Roman"/>
          <w:b w:val="0"/>
          <w:bCs/>
          <w:sz w:val="24"/>
          <w:szCs w:val="24"/>
          <w:highlight w:val="none"/>
        </w:rPr>
        <w:t xml:space="preserve">sex. LDL-C was modeled using restricted cubic splines with 4 knots placed at the 5th, 35th, 65th, and 95th percentiles of the LDL-C distribution. A linear logistic model and an RCS logistic model were both fitted, and the spline model was used for curve estimation. </w:t>
      </w:r>
      <w:r>
        <w:rPr>
          <w:rStyle w:val="10"/>
          <w:rFonts w:hint="default" w:ascii="Times New Roman" w:hAnsi="Times New Roman" w:eastAsia="宋体" w:cs="Times New Roman"/>
          <w:b w:val="0"/>
          <w:bCs/>
          <w:sz w:val="24"/>
          <w:szCs w:val="24"/>
          <w:highlight w:val="none"/>
          <w:lang w:val="en-US" w:eastAsia="zh-CN"/>
        </w:rPr>
        <w:t>T</w:t>
      </w:r>
      <w:r>
        <w:rPr>
          <w:rStyle w:val="10"/>
          <w:rFonts w:hint="default" w:ascii="Times New Roman" w:hAnsi="Times New Roman" w:eastAsia="宋体" w:cs="Times New Roman"/>
          <w:b w:val="0"/>
          <w:bCs/>
          <w:sz w:val="24"/>
          <w:szCs w:val="24"/>
          <w:highlight w:val="none"/>
        </w:rPr>
        <w:t xml:space="preserve">he overall spline term and its nonlinear component were assessed using analysis of variance from the fitted RCS model. The median LDL-C value was used as the reference point for effect estimation. Odds ratios were then expressed relative to this reference value. </w:t>
      </w:r>
    </w:p>
    <w:p w14:paraId="4E5DCA51">
      <w:pPr>
        <w:pStyle w:val="7"/>
        <w:widowControl/>
        <w:spacing w:line="480" w:lineRule="auto"/>
        <w:rPr>
          <w:rStyle w:val="10"/>
          <w:rFonts w:hint="default" w:ascii="Times New Roman" w:hAnsi="Times New Roman" w:eastAsia="宋体" w:cs="Times New Roman"/>
          <w:b w:val="0"/>
          <w:bCs/>
          <w:sz w:val="24"/>
          <w:szCs w:val="24"/>
          <w:highlight w:val="none"/>
          <w:lang w:val="en-US" w:eastAsia="zh-CN"/>
        </w:rPr>
      </w:pPr>
      <w:r>
        <w:rPr>
          <w:rStyle w:val="10"/>
          <w:rFonts w:hint="default" w:ascii="Times New Roman" w:hAnsi="Times New Roman" w:eastAsia="宋体" w:cs="Times New Roman"/>
          <w:b w:val="0"/>
          <w:bCs/>
          <w:sz w:val="24"/>
          <w:szCs w:val="24"/>
          <w:highlight w:val="none"/>
        </w:rPr>
        <w:t>For plotting, predicted odds ratios and 95% confidence intervals were generated across the observed LDL-C range. To avoid unstable estimates at the extremes, predictions were calculated from the 1st to the 99th percentile of LDL-C. Histogram bars were added to the figure to show the distribution of LDL-C values in the study population. As reported in the main text, no statistically significant evidence of nonlinearity was observed after adjustment for age and sex (</w:t>
      </w:r>
      <w:r>
        <w:rPr>
          <w:rStyle w:val="10"/>
          <w:rFonts w:hint="default" w:ascii="Times New Roman" w:hAnsi="Times New Roman" w:eastAsia="宋体" w:cs="Times New Roman"/>
          <w:b w:val="0"/>
          <w:bCs/>
          <w:i/>
          <w:iCs/>
          <w:sz w:val="24"/>
          <w:szCs w:val="24"/>
          <w:highlight w:val="none"/>
        </w:rPr>
        <w:t>P</w:t>
      </w:r>
      <w:r>
        <w:rPr>
          <w:rStyle w:val="10"/>
          <w:rFonts w:hint="default" w:ascii="Times New Roman" w:hAnsi="Times New Roman" w:eastAsia="宋体" w:cs="Times New Roman"/>
          <w:b w:val="0"/>
          <w:bCs/>
          <w:sz w:val="24"/>
          <w:szCs w:val="24"/>
          <w:highlight w:val="none"/>
        </w:rPr>
        <w:t xml:space="preserve"> for nonlinearity = 0.191), although some visual variation across the LDL-C distribution was apparent. Because formal support for nonlinearity was not present, the spline findings were interpreted cautiously, and the subsequent quartile-based analyses were retained only as descriptive categorizations of LDL-C rather than as evidence of a range-dependent effect.</w:t>
      </w:r>
      <w:r>
        <w:rPr>
          <w:rStyle w:val="10"/>
          <w:rFonts w:hint="default" w:ascii="Times New Roman" w:hAnsi="Times New Roman" w:eastAsia="宋体" w:cs="Times New Roman"/>
          <w:b w:val="0"/>
          <w:bCs/>
          <w:sz w:val="24"/>
          <w:szCs w:val="24"/>
          <w:highlight w:val="none"/>
          <w:lang w:val="en-US" w:eastAsia="zh-CN"/>
        </w:rPr>
        <w:t xml:space="preserve"> For the exploratory quartile-based Cox analyses, Q3 was used as the model reference category for numerical comparison only. This parameterization was retained solely to express pairwise hazard ratios and should not be interpreted as indicating a biologically or clinically preferred LDL-C range.</w:t>
      </w:r>
    </w:p>
    <w:p w14:paraId="7F3AC230">
      <w:pPr>
        <w:pStyle w:val="7"/>
        <w:widowControl/>
        <w:spacing w:line="480" w:lineRule="auto"/>
        <w:rPr>
          <w:rStyle w:val="10"/>
          <w:rFonts w:hint="default" w:ascii="Times New Roman" w:hAnsi="Times New Roman" w:eastAsia="宋体" w:cs="Times New Roman"/>
          <w:b w:val="0"/>
          <w:bCs/>
          <w:sz w:val="24"/>
          <w:szCs w:val="24"/>
          <w:highlight w:val="none"/>
        </w:rPr>
      </w:pPr>
      <w:r>
        <w:rPr>
          <w:rStyle w:val="10"/>
          <w:rFonts w:hint="default" w:ascii="Times New Roman" w:hAnsi="Times New Roman" w:eastAsia="宋体" w:cs="Times New Roman"/>
          <w:b w:val="0"/>
          <w:bCs/>
          <w:sz w:val="24"/>
          <w:szCs w:val="24"/>
          <w:highlight w:val="none"/>
        </w:rPr>
        <w:t>All restricted cubic spline analyses were performed using R software (version 4.4.1; R Foundation for Statistical Computing, Vienna, Austria) with the rms, lmtest, and ggplot2 packages.</w:t>
      </w:r>
    </w:p>
    <w:p w14:paraId="4B9663CD">
      <w:pPr>
        <w:pStyle w:val="3"/>
        <w:keepNext w:val="0"/>
        <w:keepLines w:val="0"/>
        <w:widowControl/>
        <w:suppressLineNumbers w:val="0"/>
        <w:spacing w:line="480" w:lineRule="auto"/>
        <w:rPr>
          <w:rFonts w:hint="default" w:ascii="Times New Roman" w:hAnsi="Times New Roman" w:cs="Times New Roman" w:eastAsiaTheme="minorEastAsia"/>
          <w:b/>
          <w:bCs/>
          <w:kern w:val="0"/>
          <w:sz w:val="24"/>
          <w:szCs w:val="24"/>
          <w:highlight w:val="none"/>
          <w:lang w:val="en-US" w:eastAsia="zh-CN" w:bidi="ar"/>
        </w:rPr>
      </w:pPr>
      <w:r>
        <w:rPr>
          <w:rFonts w:hint="default" w:ascii="Times New Roman" w:hAnsi="Times New Roman" w:cs="Times New Roman" w:eastAsiaTheme="minorEastAsia"/>
          <w:b/>
          <w:bCs/>
          <w:kern w:val="0"/>
          <w:sz w:val="24"/>
          <w:szCs w:val="24"/>
          <w:highlight w:val="none"/>
          <w:lang w:val="en-US" w:eastAsia="zh-CN" w:bidi="ar"/>
        </w:rPr>
        <w:t>S6.5. Mediation analysis</w:t>
      </w:r>
    </w:p>
    <w:p w14:paraId="3B722457">
      <w:pPr>
        <w:pStyle w:val="7"/>
        <w:widowControl/>
        <w:spacing w:line="480" w:lineRule="auto"/>
        <w:rPr>
          <w:rStyle w:val="10"/>
          <w:rFonts w:hint="default" w:ascii="Times New Roman" w:hAnsi="Times New Roman" w:eastAsia="宋体" w:cs="Times New Roman"/>
          <w:b w:val="0"/>
          <w:bCs/>
          <w:sz w:val="24"/>
          <w:szCs w:val="24"/>
          <w:highlight w:val="none"/>
        </w:rPr>
      </w:pPr>
      <w:r>
        <w:rPr>
          <w:rStyle w:val="10"/>
          <w:rFonts w:hint="default" w:ascii="Times New Roman" w:hAnsi="Times New Roman" w:eastAsia="宋体" w:cs="Times New Roman"/>
          <w:b w:val="0"/>
          <w:bCs/>
          <w:sz w:val="24"/>
          <w:szCs w:val="24"/>
          <w:highlight w:val="none"/>
        </w:rPr>
        <w:t xml:space="preserve">To further explore potential pathways linking LDL-C levels to LVA presence, </w:t>
      </w:r>
      <w:r>
        <w:rPr>
          <w:rStyle w:val="10"/>
          <w:rFonts w:hint="default" w:ascii="Times New Roman" w:hAnsi="Times New Roman" w:eastAsia="宋体" w:cs="Times New Roman"/>
          <w:b w:val="0"/>
          <w:bCs/>
          <w:sz w:val="24"/>
          <w:szCs w:val="24"/>
          <w:highlight w:val="none"/>
          <w:lang w:val="en-US" w:eastAsia="zh-CN"/>
        </w:rPr>
        <w:t>e</w:t>
      </w:r>
      <w:r>
        <w:rPr>
          <w:rStyle w:val="10"/>
          <w:rFonts w:hint="default" w:ascii="Times New Roman" w:hAnsi="Times New Roman" w:cs="Times New Roman"/>
          <w:b w:val="0"/>
          <w:bCs/>
          <w:sz w:val="24"/>
          <w:szCs w:val="24"/>
          <w:highlight w:val="none"/>
        </w:rPr>
        <w:t>xploratory mediation analyses were performed within a causal mediation framework using the mediation package in R</w:t>
      </w:r>
      <w:r>
        <w:rPr>
          <w:rStyle w:val="10"/>
          <w:rFonts w:hint="default" w:ascii="Times New Roman" w:hAnsi="Times New Roman" w:eastAsia="宋体" w:cs="Times New Roman"/>
          <w:b w:val="0"/>
          <w:bCs/>
          <w:sz w:val="24"/>
          <w:szCs w:val="24"/>
          <w:highlight w:val="none"/>
        </w:rPr>
        <w:t>. LDL-C was treated as a continuous exposure, and LVA presence was analyzed as a binary outcome.</w:t>
      </w:r>
    </w:p>
    <w:p w14:paraId="221BF03B">
      <w:pPr>
        <w:pStyle w:val="7"/>
        <w:widowControl/>
        <w:spacing w:line="480" w:lineRule="auto"/>
        <w:rPr>
          <w:rStyle w:val="10"/>
          <w:rFonts w:hint="default" w:ascii="Times New Roman" w:hAnsi="Times New Roman" w:eastAsia="宋体" w:cs="Times New Roman"/>
          <w:b w:val="0"/>
          <w:bCs/>
          <w:sz w:val="24"/>
          <w:szCs w:val="24"/>
          <w:highlight w:val="none"/>
        </w:rPr>
      </w:pPr>
      <w:r>
        <w:rPr>
          <w:rStyle w:val="10"/>
          <w:rFonts w:hint="default" w:ascii="Times New Roman" w:hAnsi="Times New Roman" w:eastAsia="宋体" w:cs="Times New Roman"/>
          <w:b w:val="0"/>
          <w:bCs/>
          <w:sz w:val="24"/>
          <w:szCs w:val="24"/>
          <w:highlight w:val="none"/>
        </w:rPr>
        <w:t xml:space="preserve">Candidate mediators were prespecified according to clinical relevance. These included </w:t>
      </w:r>
      <w:r>
        <w:rPr>
          <w:rStyle w:val="10"/>
          <w:rFonts w:hint="default" w:ascii="Times New Roman" w:hAnsi="Times New Roman" w:eastAsia="宋体" w:cs="Times New Roman"/>
          <w:b w:val="0"/>
          <w:bCs/>
          <w:sz w:val="24"/>
          <w:szCs w:val="24"/>
          <w:highlight w:val="none"/>
          <w:lang w:val="en-US" w:eastAsia="zh-CN"/>
        </w:rPr>
        <w:t>c</w:t>
      </w:r>
      <w:r>
        <w:rPr>
          <w:rStyle w:val="10"/>
          <w:rFonts w:hint="default" w:ascii="Times New Roman" w:hAnsi="Times New Roman" w:eastAsia="宋体" w:cs="Times New Roman"/>
          <w:b w:val="0"/>
          <w:bCs/>
          <w:sz w:val="24"/>
          <w:szCs w:val="24"/>
          <w:highlight w:val="none"/>
          <w:lang w:eastAsia="zh-CN"/>
        </w:rPr>
        <w:t>oronary artery disease</w:t>
      </w:r>
      <w:r>
        <w:rPr>
          <w:rStyle w:val="10"/>
          <w:rFonts w:hint="default" w:ascii="Times New Roman" w:hAnsi="Times New Roman" w:eastAsia="宋体" w:cs="Times New Roman"/>
          <w:b w:val="0"/>
          <w:bCs/>
          <w:sz w:val="24"/>
          <w:szCs w:val="24"/>
          <w:highlight w:val="none"/>
        </w:rPr>
        <w:t>, stroke, cardiomyopathy, heart failure, diabetes, fatty liver disease, hypertension, LAD, and left ventricular ejection fraction (</w:t>
      </w:r>
      <w:r>
        <w:rPr>
          <w:rStyle w:val="10"/>
          <w:rFonts w:hint="default" w:ascii="Times New Roman" w:hAnsi="Times New Roman" w:eastAsia="宋体" w:cs="Times New Roman"/>
          <w:b w:val="0"/>
          <w:bCs/>
          <w:sz w:val="24"/>
          <w:szCs w:val="24"/>
          <w:highlight w:val="none"/>
          <w:lang w:val="en-US" w:eastAsia="zh-CN"/>
        </w:rPr>
        <w:t>LV</w:t>
      </w:r>
      <w:r>
        <w:rPr>
          <w:rStyle w:val="10"/>
          <w:rFonts w:hint="default" w:ascii="Times New Roman" w:hAnsi="Times New Roman" w:eastAsia="宋体" w:cs="Times New Roman"/>
          <w:b w:val="0"/>
          <w:bCs/>
          <w:sz w:val="24"/>
          <w:szCs w:val="24"/>
          <w:highlight w:val="none"/>
        </w:rPr>
        <w:t>EF). Each mediator was examined separately in an individual mediation model.</w:t>
      </w:r>
    </w:p>
    <w:p w14:paraId="2AA7AF2D">
      <w:pPr>
        <w:pStyle w:val="7"/>
        <w:widowControl/>
        <w:spacing w:line="480" w:lineRule="auto"/>
        <w:rPr>
          <w:rStyle w:val="10"/>
          <w:rFonts w:hint="default" w:ascii="Times New Roman" w:hAnsi="Times New Roman" w:eastAsia="宋体" w:cs="Times New Roman"/>
          <w:b w:val="0"/>
          <w:bCs/>
          <w:sz w:val="24"/>
          <w:szCs w:val="24"/>
          <w:highlight w:val="none"/>
        </w:rPr>
      </w:pPr>
      <w:r>
        <w:rPr>
          <w:rStyle w:val="10"/>
          <w:rFonts w:hint="default" w:ascii="Times New Roman" w:hAnsi="Times New Roman" w:eastAsia="宋体" w:cs="Times New Roman"/>
          <w:b w:val="0"/>
          <w:bCs/>
          <w:sz w:val="24"/>
          <w:szCs w:val="24"/>
          <w:highlight w:val="none"/>
        </w:rPr>
        <w:t>For each candidate mediator, two regression models were fitted. First, a mediator model was constructed with the candidate mediator as the dependent variable and LDL-C as the independent variable, with adjustment for age and sex. For consistency across mediators, linear regression was used for the mediator model. Second, an outcome model was constructed with LVA presence as the dependent variable and both LDL-C and the candidate mediator entered simultaneously, again with adjustment for age and sex. Because LVA presence was a binary variable, the outcome model was fitted using logistic regression.</w:t>
      </w:r>
    </w:p>
    <w:p w14:paraId="551A46A8">
      <w:pPr>
        <w:pStyle w:val="7"/>
        <w:widowControl/>
        <w:spacing w:line="480" w:lineRule="auto"/>
        <w:rPr>
          <w:rStyle w:val="10"/>
          <w:rFonts w:hint="default" w:ascii="Times New Roman" w:hAnsi="Times New Roman" w:eastAsia="宋体" w:cs="Times New Roman"/>
          <w:b w:val="0"/>
          <w:bCs/>
          <w:sz w:val="24"/>
          <w:szCs w:val="24"/>
          <w:highlight w:val="none"/>
        </w:rPr>
      </w:pPr>
      <w:r>
        <w:rPr>
          <w:rStyle w:val="10"/>
          <w:rFonts w:hint="default" w:ascii="Times New Roman" w:hAnsi="Times New Roman" w:eastAsia="宋体" w:cs="Times New Roman"/>
          <w:b w:val="0"/>
          <w:bCs/>
          <w:sz w:val="24"/>
          <w:szCs w:val="24"/>
          <w:highlight w:val="none"/>
        </w:rPr>
        <w:t xml:space="preserve">Mediation effects were estimated using the counterfactual framework implemented in the </w:t>
      </w:r>
      <w:r>
        <w:rPr>
          <w:rStyle w:val="10"/>
          <w:rFonts w:hint="default" w:ascii="Times New Roman" w:hAnsi="Times New Roman" w:eastAsia="宋体" w:cs="Times New Roman"/>
          <w:b/>
          <w:bCs w:val="0"/>
          <w:i/>
          <w:iCs/>
          <w:sz w:val="24"/>
          <w:szCs w:val="24"/>
          <w:highlight w:val="none"/>
        </w:rPr>
        <w:t>mediate()</w:t>
      </w:r>
      <w:r>
        <w:rPr>
          <w:rStyle w:val="10"/>
          <w:rFonts w:hint="default" w:ascii="Times New Roman" w:hAnsi="Times New Roman" w:eastAsia="宋体" w:cs="Times New Roman"/>
          <w:b w:val="0"/>
          <w:bCs/>
          <w:sz w:val="24"/>
          <w:szCs w:val="24"/>
          <w:highlight w:val="none"/>
        </w:rPr>
        <w:t xml:space="preserve"> function. To improve interpretability for the continuous exposure, mediation effects were evaluated by comparing the 75th percentile of LDL-C (treatment value) with the 25th percentile of LDL-C (control value). For each model, 1,000 simulations were used to estimate the average causal mediation effect (ACME), average direct effect (ADE), total effect, and proportion mediated, together with their 95% confidence intervals and corresponding </w:t>
      </w:r>
      <w:r>
        <w:rPr>
          <w:rStyle w:val="10"/>
          <w:rFonts w:hint="default" w:ascii="Times New Roman" w:hAnsi="Times New Roman" w:eastAsia="宋体" w:cs="Times New Roman"/>
          <w:b w:val="0"/>
          <w:bCs/>
          <w:i/>
          <w:iCs/>
          <w:sz w:val="24"/>
          <w:szCs w:val="24"/>
          <w:highlight w:val="none"/>
        </w:rPr>
        <w:t>P</w:t>
      </w:r>
      <w:r>
        <w:rPr>
          <w:rStyle w:val="10"/>
          <w:rFonts w:hint="default" w:ascii="Times New Roman" w:hAnsi="Times New Roman" w:eastAsia="宋体" w:cs="Times New Roman"/>
          <w:b w:val="0"/>
          <w:bCs/>
          <w:sz w:val="24"/>
          <w:szCs w:val="24"/>
          <w:highlight w:val="none"/>
        </w:rPr>
        <w:t xml:space="preserve"> values.</w:t>
      </w:r>
    </w:p>
    <w:p w14:paraId="21FC46C2">
      <w:pPr>
        <w:pStyle w:val="7"/>
        <w:widowControl/>
        <w:spacing w:line="480" w:lineRule="auto"/>
        <w:rPr>
          <w:rStyle w:val="10"/>
          <w:rFonts w:hint="default" w:ascii="Times New Roman" w:hAnsi="Times New Roman" w:eastAsia="宋体" w:cs="Times New Roman"/>
          <w:b w:val="0"/>
          <w:bCs/>
          <w:sz w:val="24"/>
          <w:szCs w:val="24"/>
          <w:highlight w:val="none"/>
        </w:rPr>
      </w:pPr>
      <w:r>
        <w:rPr>
          <w:rStyle w:val="10"/>
          <w:rFonts w:hint="default" w:ascii="Times New Roman" w:hAnsi="Times New Roman" w:eastAsia="宋体" w:cs="Times New Roman"/>
          <w:b w:val="0"/>
          <w:bCs/>
          <w:sz w:val="24"/>
          <w:szCs w:val="24"/>
          <w:highlight w:val="none"/>
        </w:rPr>
        <w:t>Because these analyses were exploratory and based on observational data, mediation findings were interpreted cautiously. In the main analysis, LAD was the only candidate variable showing evidence consistent with a significant indirect pathway in the exploratory mediation analyses and was therefore retained as the principal mediator of interest in the Results section</w:t>
      </w:r>
      <w:r>
        <w:rPr>
          <w:rStyle w:val="10"/>
          <w:rFonts w:hint="default" w:ascii="Times New Roman" w:hAnsi="Times New Roman" w:eastAsia="宋体" w:cs="Times New Roman"/>
          <w:b w:val="0"/>
          <w:bCs/>
          <w:sz w:val="24"/>
          <w:szCs w:val="24"/>
          <w:highlight w:val="none"/>
          <w:lang w:val="en-US" w:eastAsia="zh-CN"/>
        </w:rPr>
        <w:t xml:space="preserve"> (Supplementary Table S4)</w:t>
      </w:r>
      <w:r>
        <w:rPr>
          <w:rStyle w:val="10"/>
          <w:rFonts w:hint="default" w:ascii="Times New Roman" w:hAnsi="Times New Roman" w:eastAsia="宋体" w:cs="Times New Roman"/>
          <w:b w:val="0"/>
          <w:bCs/>
          <w:sz w:val="24"/>
          <w:szCs w:val="24"/>
          <w:highlight w:val="none"/>
        </w:rPr>
        <w:t>.</w:t>
      </w:r>
    </w:p>
    <w:p w14:paraId="09B5A6D9">
      <w:pPr>
        <w:pStyle w:val="7"/>
        <w:widowControl/>
        <w:spacing w:line="480" w:lineRule="auto"/>
        <w:rPr>
          <w:rStyle w:val="10"/>
          <w:rFonts w:hint="default" w:ascii="Times New Roman" w:hAnsi="Times New Roman" w:eastAsia="宋体" w:cs="Times New Roman"/>
          <w:b w:val="0"/>
          <w:bCs/>
          <w:sz w:val="24"/>
          <w:szCs w:val="24"/>
          <w:highlight w:val="none"/>
        </w:rPr>
      </w:pPr>
      <w:r>
        <w:rPr>
          <w:rStyle w:val="10"/>
          <w:rFonts w:hint="default" w:ascii="Times New Roman" w:hAnsi="Times New Roman" w:eastAsia="宋体" w:cs="Times New Roman"/>
          <w:b w:val="0"/>
          <w:bCs/>
          <w:sz w:val="24"/>
          <w:szCs w:val="24"/>
          <w:highlight w:val="none"/>
        </w:rPr>
        <w:t>All causal mediation analyses were performed using R software (version 4.4.1; R Foundation for Statistical Computing, Vienna, Austria) with the mediation package.</w:t>
      </w:r>
    </w:p>
    <w:p w14:paraId="0ACDFD73">
      <w:pPr>
        <w:pStyle w:val="3"/>
        <w:keepNext w:val="0"/>
        <w:keepLines w:val="0"/>
        <w:widowControl/>
        <w:suppressLineNumbers w:val="0"/>
        <w:spacing w:line="480" w:lineRule="auto"/>
        <w:rPr>
          <w:rFonts w:hint="default" w:ascii="Times New Roman" w:hAnsi="Times New Roman" w:cs="Times New Roman" w:eastAsiaTheme="minorEastAsia"/>
          <w:b/>
          <w:bCs/>
          <w:kern w:val="0"/>
          <w:sz w:val="24"/>
          <w:szCs w:val="24"/>
          <w:highlight w:val="none"/>
          <w:lang w:val="en-US" w:eastAsia="zh-CN" w:bidi="ar"/>
        </w:rPr>
      </w:pPr>
      <w:r>
        <w:rPr>
          <w:rFonts w:hint="default" w:ascii="Times New Roman" w:hAnsi="Times New Roman" w:cs="Times New Roman" w:eastAsiaTheme="minorEastAsia"/>
          <w:b/>
          <w:bCs/>
          <w:kern w:val="0"/>
          <w:sz w:val="24"/>
          <w:szCs w:val="24"/>
          <w:highlight w:val="none"/>
          <w:lang w:val="en-US" w:eastAsia="zh-CN" w:bidi="ar"/>
        </w:rPr>
        <w:t>S6.6. Time-to-event and Cox regression analyses for postablation recurrence</w:t>
      </w:r>
    </w:p>
    <w:p w14:paraId="37167014">
      <w:pPr>
        <w:pStyle w:val="7"/>
        <w:widowControl/>
        <w:spacing w:line="480" w:lineRule="auto"/>
        <w:rPr>
          <w:rStyle w:val="10"/>
          <w:rFonts w:hint="default" w:ascii="Times New Roman" w:hAnsi="Times New Roman" w:eastAsia="宋体" w:cs="Times New Roman"/>
          <w:b w:val="0"/>
          <w:bCs/>
          <w:sz w:val="24"/>
          <w:szCs w:val="24"/>
          <w:highlight w:val="none"/>
        </w:rPr>
      </w:pPr>
      <w:r>
        <w:rPr>
          <w:rStyle w:val="10"/>
          <w:rFonts w:hint="default" w:ascii="Times New Roman" w:hAnsi="Times New Roman" w:eastAsia="宋体" w:cs="Times New Roman"/>
          <w:b w:val="0"/>
          <w:bCs/>
          <w:sz w:val="24"/>
          <w:szCs w:val="24"/>
          <w:highlight w:val="none"/>
        </w:rPr>
        <w:t>Time-to-event analyses were calculated from the date of the index ablation. For patients with recurrence after the blanking period, event time was defined as the interval from ablation to the first documented recurrence. For arrhythmias occurring during the blanking period that persisted or recurred beyond 90 days, event time was assigned as 90 days. Patients without recurrence were censored at the last follow-up.</w:t>
      </w:r>
    </w:p>
    <w:p w14:paraId="0F507BDA">
      <w:pPr>
        <w:pStyle w:val="7"/>
        <w:widowControl/>
        <w:spacing w:line="480" w:lineRule="auto"/>
        <w:rPr>
          <w:rStyle w:val="10"/>
          <w:rFonts w:hint="default" w:ascii="Times New Roman" w:hAnsi="Times New Roman" w:eastAsia="宋体" w:cs="Times New Roman"/>
          <w:b w:val="0"/>
          <w:bCs/>
          <w:sz w:val="24"/>
          <w:szCs w:val="24"/>
          <w:highlight w:val="none"/>
        </w:rPr>
      </w:pPr>
      <w:r>
        <w:rPr>
          <w:rStyle w:val="10"/>
          <w:rFonts w:hint="default" w:ascii="Times New Roman" w:hAnsi="Times New Roman" w:eastAsia="宋体" w:cs="Times New Roman"/>
          <w:b w:val="0"/>
          <w:bCs/>
          <w:sz w:val="24"/>
          <w:szCs w:val="24"/>
          <w:highlight w:val="none"/>
        </w:rPr>
        <w:t>Postablation recurrence-free survival was first evaluated using Kaplan–Meier analysis and compared across LDL-C quartiles with the log-rank test. LDL-C quartiles were defined according to the distribution of LDL-C in the study cohort. For the exploratory Cox analyses, Q3 was used as the model reference category for numerical comparison only and should not be interpreted as indicating a biologically or clinically preferred LDL-C range.</w:t>
      </w:r>
    </w:p>
    <w:p w14:paraId="700372DD">
      <w:pPr>
        <w:pStyle w:val="7"/>
        <w:widowControl/>
        <w:spacing w:line="480" w:lineRule="auto"/>
        <w:rPr>
          <w:rStyle w:val="10"/>
          <w:rFonts w:hint="default" w:ascii="Times New Roman" w:hAnsi="Times New Roman" w:eastAsia="宋体" w:cs="Times New Roman"/>
          <w:b w:val="0"/>
          <w:bCs/>
          <w:sz w:val="24"/>
          <w:szCs w:val="24"/>
          <w:highlight w:val="none"/>
        </w:rPr>
      </w:pPr>
      <w:r>
        <w:rPr>
          <w:rStyle w:val="10"/>
          <w:rFonts w:hint="default" w:ascii="Times New Roman" w:hAnsi="Times New Roman" w:eastAsia="宋体" w:cs="Times New Roman"/>
          <w:b w:val="0"/>
          <w:bCs/>
          <w:sz w:val="24"/>
          <w:szCs w:val="24"/>
          <w:highlight w:val="none"/>
        </w:rPr>
        <w:t>Cox proportional hazards regression was used to estimate hazard ratios (HRs) and 95% confidence intervals for recurrence across LDL-C quartiles. Six models with incremental adjustment were fitted, progressing from an unadjusted model to models additionally accounting for demographic characteristics, clinical comorbidities, lipid-related factors, procedural and substrate-related variables, and post-ablation antiarrhythmic drug use. The detailed covariate structure of each model is provided in the corresponding table footnotes</w:t>
      </w:r>
      <w:r>
        <w:rPr>
          <w:rStyle w:val="10"/>
          <w:rFonts w:hint="default" w:ascii="Times New Roman" w:hAnsi="Times New Roman" w:eastAsia="宋体" w:cs="Times New Roman"/>
          <w:b w:val="0"/>
          <w:bCs/>
          <w:sz w:val="24"/>
          <w:szCs w:val="24"/>
          <w:highlight w:val="none"/>
          <w:lang w:val="en-US" w:eastAsia="zh-CN"/>
        </w:rPr>
        <w:t xml:space="preserve"> </w:t>
      </w:r>
      <w:r>
        <w:rPr>
          <w:rStyle w:val="10"/>
          <w:rFonts w:hint="default" w:ascii="Times New Roman" w:hAnsi="Times New Roman" w:eastAsia="宋体" w:cs="Times New Roman"/>
          <w:b w:val="0"/>
          <w:bCs/>
          <w:sz w:val="24"/>
          <w:szCs w:val="24"/>
          <w:highlight w:val="none"/>
        </w:rPr>
        <w:t xml:space="preserve">(Supplementary Table </w:t>
      </w:r>
      <w:r>
        <w:rPr>
          <w:rStyle w:val="10"/>
          <w:rFonts w:hint="default" w:ascii="Times New Roman" w:hAnsi="Times New Roman" w:eastAsia="宋体" w:cs="Times New Roman"/>
          <w:b w:val="0"/>
          <w:bCs/>
          <w:sz w:val="24"/>
          <w:szCs w:val="24"/>
          <w:highlight w:val="none"/>
          <w:lang w:val="en-US" w:eastAsia="zh-CN"/>
        </w:rPr>
        <w:t>S7</w:t>
      </w:r>
      <w:r>
        <w:rPr>
          <w:rStyle w:val="10"/>
          <w:rFonts w:hint="default" w:ascii="Times New Roman" w:hAnsi="Times New Roman" w:eastAsia="宋体" w:cs="Times New Roman"/>
          <w:b w:val="0"/>
          <w:bCs/>
          <w:sz w:val="24"/>
          <w:szCs w:val="24"/>
          <w:highlight w:val="none"/>
        </w:rPr>
        <w:t>).</w:t>
      </w:r>
    </w:p>
    <w:p w14:paraId="27AFCDFA">
      <w:pPr>
        <w:pStyle w:val="7"/>
        <w:widowControl/>
        <w:spacing w:line="480" w:lineRule="auto"/>
        <w:rPr>
          <w:rStyle w:val="10"/>
          <w:rFonts w:hint="default" w:ascii="Times New Roman" w:hAnsi="Times New Roman" w:eastAsia="宋体" w:cs="Times New Roman"/>
          <w:b w:val="0"/>
          <w:bCs/>
          <w:sz w:val="24"/>
          <w:szCs w:val="24"/>
          <w:highlight w:val="none"/>
        </w:rPr>
      </w:pPr>
      <w:r>
        <w:rPr>
          <w:rStyle w:val="10"/>
          <w:rFonts w:hint="default" w:ascii="Times New Roman" w:hAnsi="Times New Roman" w:eastAsia="宋体" w:cs="Times New Roman"/>
          <w:b w:val="0"/>
          <w:bCs/>
          <w:sz w:val="24"/>
          <w:szCs w:val="24"/>
          <w:highlight w:val="none"/>
        </w:rPr>
        <w:t>For each Cox model, the overall association of LDL-C quartiles with recurrence was assessed by comparing the full model with the corresponding reduced model without the LDL-C quartile term. Proportional hazards assumptions were evaluated using Schoenfeld residual-based tests, and collinearity among predictors was assessed using variance inflation factors derived from the design matrix. These diagnostic results are provided in the Supplementary Tables</w:t>
      </w:r>
      <w:r>
        <w:rPr>
          <w:rStyle w:val="10"/>
          <w:rFonts w:hint="default" w:ascii="Times New Roman" w:hAnsi="Times New Roman" w:eastAsia="宋体" w:cs="Times New Roman"/>
          <w:b w:val="0"/>
          <w:bCs/>
          <w:sz w:val="24"/>
          <w:szCs w:val="24"/>
          <w:highlight w:val="none"/>
          <w:lang w:val="en-US" w:eastAsia="zh-CN"/>
        </w:rPr>
        <w:t xml:space="preserve"> (S8, S9)</w:t>
      </w:r>
      <w:r>
        <w:rPr>
          <w:rStyle w:val="10"/>
          <w:rFonts w:hint="default" w:ascii="Times New Roman" w:hAnsi="Times New Roman" w:eastAsia="宋体" w:cs="Times New Roman"/>
          <w:b w:val="0"/>
          <w:bCs/>
          <w:sz w:val="24"/>
          <w:szCs w:val="24"/>
          <w:highlight w:val="none"/>
        </w:rPr>
        <w:t>.</w:t>
      </w:r>
    </w:p>
    <w:p w14:paraId="711755FF">
      <w:pPr>
        <w:pStyle w:val="7"/>
        <w:widowControl/>
        <w:spacing w:line="480" w:lineRule="auto"/>
        <w:rPr>
          <w:rStyle w:val="10"/>
          <w:rFonts w:hint="default" w:ascii="Times New Roman" w:hAnsi="Times New Roman" w:eastAsia="宋体" w:cs="Times New Roman"/>
          <w:b w:val="0"/>
          <w:bCs/>
          <w:sz w:val="24"/>
          <w:szCs w:val="24"/>
          <w:highlight w:val="none"/>
        </w:rPr>
      </w:pPr>
      <w:r>
        <w:rPr>
          <w:rStyle w:val="10"/>
          <w:rFonts w:hint="default" w:ascii="Times New Roman" w:hAnsi="Times New Roman" w:eastAsia="宋体" w:cs="Times New Roman"/>
          <w:b w:val="0"/>
          <w:bCs/>
          <w:sz w:val="24"/>
          <w:szCs w:val="24"/>
          <w:highlight w:val="none"/>
        </w:rPr>
        <w:t>All Kaplan–Meier and Cox regression analyses were performed using R software (version 4.4.1; R Foundation for Statistical Computing, Vienna, Austria) with the survival and survminer packages.</w:t>
      </w:r>
    </w:p>
    <w:p w14:paraId="6E50A127">
      <w:pPr>
        <w:pStyle w:val="3"/>
        <w:keepNext w:val="0"/>
        <w:keepLines w:val="0"/>
        <w:widowControl/>
        <w:suppressLineNumbers w:val="0"/>
        <w:spacing w:line="480" w:lineRule="auto"/>
        <w:rPr>
          <w:rFonts w:hint="default" w:ascii="Times New Roman" w:hAnsi="Times New Roman" w:cs="Times New Roman" w:eastAsiaTheme="minorEastAsia"/>
          <w:b/>
          <w:bCs/>
          <w:kern w:val="0"/>
          <w:sz w:val="24"/>
          <w:szCs w:val="24"/>
          <w:highlight w:val="none"/>
          <w:lang w:val="en-US" w:eastAsia="zh-CN" w:bidi="ar"/>
        </w:rPr>
      </w:pPr>
      <w:r>
        <w:rPr>
          <w:rFonts w:hint="default" w:ascii="Times New Roman" w:hAnsi="Times New Roman" w:cs="Times New Roman" w:eastAsiaTheme="minorEastAsia"/>
          <w:b/>
          <w:bCs/>
          <w:kern w:val="0"/>
          <w:sz w:val="24"/>
          <w:szCs w:val="24"/>
          <w:highlight w:val="none"/>
          <w:lang w:val="en-US" w:eastAsia="zh-CN" w:bidi="ar"/>
        </w:rPr>
        <w:t>S6.7. Sensitivity analyses according to mapping rhythm</w:t>
      </w:r>
    </w:p>
    <w:p w14:paraId="1850B82F">
      <w:pPr>
        <w:pStyle w:val="7"/>
        <w:widowControl/>
        <w:spacing w:line="480" w:lineRule="auto"/>
        <w:rPr>
          <w:rStyle w:val="10"/>
          <w:rFonts w:hint="default" w:ascii="Times New Roman" w:hAnsi="Times New Roman" w:eastAsia="宋体" w:cs="Times New Roman"/>
          <w:b w:val="0"/>
          <w:bCs/>
          <w:sz w:val="24"/>
          <w:szCs w:val="24"/>
          <w:highlight w:val="none"/>
          <w:lang w:val="en-US" w:eastAsia="zh-CN"/>
        </w:rPr>
      </w:pPr>
      <w:r>
        <w:rPr>
          <w:rStyle w:val="10"/>
          <w:rFonts w:hint="default" w:ascii="Times New Roman" w:hAnsi="Times New Roman" w:eastAsia="宋体" w:cs="Times New Roman"/>
          <w:b w:val="0"/>
          <w:bCs/>
          <w:sz w:val="24"/>
          <w:szCs w:val="24"/>
          <w:highlight w:val="none"/>
        </w:rPr>
        <w:t xml:space="preserve">Because bipolar voltage amplitudes may differ according to mapping rhythm, mapping rhythm was treated as a potential source of measurement heterogeneity. To assess robustness, two prespecified sensitivity analyses were performed. First, mapping rhythm was additionally adjusted for in the multivariable logistic regression models in the overall cohort. Second, the main analyses were </w:t>
      </w:r>
      <w:r>
        <w:rPr>
          <w:rStyle w:val="10"/>
          <w:rFonts w:hint="default" w:ascii="Times New Roman" w:hAnsi="Times New Roman" w:eastAsia="宋体" w:cs="Times New Roman"/>
          <w:b w:val="0"/>
          <w:bCs/>
          <w:sz w:val="24"/>
          <w:szCs w:val="24"/>
          <w:highlight w:val="none"/>
          <w:lang w:eastAsia="zh-CN"/>
        </w:rPr>
        <w:t>repeated in patients who underwent sinus-rhythm mapping only.</w:t>
      </w:r>
      <w:r>
        <w:rPr>
          <w:rStyle w:val="10"/>
          <w:rFonts w:hint="default" w:ascii="Times New Roman" w:hAnsi="Times New Roman" w:eastAsia="宋体" w:cs="Times New Roman"/>
          <w:b w:val="0"/>
          <w:bCs/>
          <w:sz w:val="24"/>
          <w:szCs w:val="24"/>
          <w:highlight w:val="none"/>
        </w:rPr>
        <w:t xml:space="preserve"> These repeated analyses included logistic regression for LVA presence, mediation analysis, restricted cubic spline analysis, and recurrence analyses using Kaplan–Meier and Cox regression methods. The same LDL-C quartile cutoffs were applied in the sinus-rhythm subgroup.</w:t>
      </w:r>
      <w:r>
        <w:rPr>
          <w:rStyle w:val="10"/>
          <w:rFonts w:hint="default" w:ascii="Times New Roman" w:hAnsi="Times New Roman" w:eastAsia="宋体" w:cs="Times New Roman"/>
          <w:b w:val="0"/>
          <w:bCs/>
          <w:sz w:val="24"/>
          <w:szCs w:val="24"/>
          <w:highlight w:val="none"/>
          <w:lang w:val="en-US" w:eastAsia="zh-CN"/>
        </w:rPr>
        <w:t xml:space="preserve"> Results were interpreted as supportive analyses for robustness.</w:t>
      </w:r>
    </w:p>
    <w:p w14:paraId="1FC40FC1">
      <w:pPr>
        <w:pStyle w:val="3"/>
        <w:keepNext w:val="0"/>
        <w:keepLines w:val="0"/>
        <w:widowControl/>
        <w:suppressLineNumbers w:val="0"/>
        <w:spacing w:line="480" w:lineRule="auto"/>
        <w:rPr>
          <w:rFonts w:hint="default" w:ascii="Times New Roman" w:hAnsi="Times New Roman" w:cs="Times New Roman" w:eastAsiaTheme="minorEastAsia"/>
          <w:sz w:val="24"/>
          <w:szCs w:val="24"/>
          <w:highlight w:val="none"/>
        </w:rPr>
      </w:pPr>
      <w:r>
        <w:rPr>
          <w:rFonts w:hint="default" w:ascii="Times New Roman" w:hAnsi="Times New Roman" w:cs="Times New Roman" w:eastAsiaTheme="minorEastAsia"/>
          <w:sz w:val="24"/>
          <w:szCs w:val="24"/>
          <w:highlight w:val="none"/>
        </w:rPr>
        <w:t>S6.8. Supplementary statistical analyses of mapping characteristics and quantitative LVA burden</w:t>
      </w:r>
    </w:p>
    <w:p w14:paraId="2A621410">
      <w:pPr>
        <w:pStyle w:val="7"/>
        <w:keepNext w:val="0"/>
        <w:keepLines w:val="0"/>
        <w:widowControl/>
        <w:suppressLineNumbers w:val="0"/>
        <w:spacing w:line="480" w:lineRule="auto"/>
        <w:rPr>
          <w:rStyle w:val="10"/>
          <w:rFonts w:hint="default" w:ascii="Times New Roman" w:hAnsi="Times New Roman" w:eastAsia="宋体" w:cs="Times New Roman"/>
          <w:b w:val="0"/>
          <w:bCs w:val="0"/>
          <w:sz w:val="24"/>
          <w:szCs w:val="24"/>
          <w:highlight w:val="none"/>
        </w:rPr>
      </w:pPr>
      <w:r>
        <w:rPr>
          <w:rStyle w:val="10"/>
          <w:rFonts w:hint="default" w:ascii="Times New Roman" w:hAnsi="Times New Roman" w:eastAsia="宋体" w:cs="Times New Roman"/>
          <w:b w:val="0"/>
          <w:bCs w:val="0"/>
          <w:sz w:val="24"/>
          <w:szCs w:val="24"/>
          <w:highlight w:val="none"/>
        </w:rPr>
        <w:t>Supplementary quantitative analyses were performed in patients with complete sinus-rhythm maps suitable for standardized measurement, as described in Supplementary Method S3. These analyses were exploratory and were intended to provide additional information on mapping characteristics, regional distribution, and quantitative LVA burden beyond the primary binary LVA analysis. Patients with incomplete quantitative mapping data were excluded from these analyses, and no imputation was performed.</w:t>
      </w:r>
      <w:r>
        <w:rPr>
          <w:rStyle w:val="10"/>
          <w:rFonts w:hint="default" w:ascii="Times New Roman" w:hAnsi="Times New Roman" w:eastAsia="宋体" w:cs="Times New Roman"/>
          <w:b w:val="0"/>
          <w:bCs w:val="0"/>
          <w:sz w:val="24"/>
          <w:szCs w:val="24"/>
          <w:highlight w:val="none"/>
          <w:lang w:val="en-US" w:eastAsia="zh-CN"/>
        </w:rPr>
        <w:t xml:space="preserve"> </w:t>
      </w:r>
      <w:r>
        <w:rPr>
          <w:rStyle w:val="10"/>
          <w:rFonts w:hint="default" w:ascii="Times New Roman" w:hAnsi="Times New Roman" w:eastAsia="宋体" w:cs="Times New Roman"/>
          <w:b w:val="0"/>
          <w:bCs w:val="0"/>
          <w:sz w:val="24"/>
          <w:szCs w:val="24"/>
          <w:highlight w:val="none"/>
        </w:rPr>
        <w:t xml:space="preserve">Three quantitative variables were analyzed: the number of accepted mapping points per patient, total LVA burden, and regional LVA burden. </w:t>
      </w:r>
    </w:p>
    <w:p w14:paraId="3A521AB2">
      <w:pPr>
        <w:pStyle w:val="7"/>
        <w:keepNext w:val="0"/>
        <w:keepLines w:val="0"/>
        <w:widowControl/>
        <w:suppressLineNumbers w:val="0"/>
        <w:spacing w:line="480" w:lineRule="auto"/>
        <w:rPr>
          <w:rStyle w:val="10"/>
          <w:rFonts w:hint="default" w:ascii="Times New Roman" w:hAnsi="Times New Roman" w:eastAsia="宋体" w:cs="Times New Roman"/>
          <w:b w:val="0"/>
          <w:bCs w:val="0"/>
          <w:sz w:val="24"/>
          <w:szCs w:val="24"/>
          <w:highlight w:val="none"/>
        </w:rPr>
      </w:pPr>
      <w:r>
        <w:rPr>
          <w:rStyle w:val="10"/>
          <w:rFonts w:hint="default" w:ascii="Times New Roman" w:hAnsi="Times New Roman" w:eastAsia="宋体" w:cs="Times New Roman"/>
          <w:b w:val="0"/>
          <w:bCs w:val="0"/>
          <w:sz w:val="24"/>
          <w:szCs w:val="24"/>
          <w:highlight w:val="none"/>
        </w:rPr>
        <w:t>First, mapping characteristics were compared descriptively according to mapping rhythm in the overall cohort, including the number of accepted mapping points per patient and the availability of complete quantitative mapping data. In addition, within the subgroup of patients with complete sinus-rhythm maps, the number of accepted mapping points per patient</w:t>
      </w:r>
      <w:r>
        <w:rPr>
          <w:rStyle w:val="10"/>
          <w:rFonts w:hint="default" w:ascii="Times New Roman" w:hAnsi="Times New Roman" w:eastAsia="宋体" w:cs="Times New Roman"/>
          <w:b w:val="0"/>
          <w:bCs w:val="0"/>
          <w:sz w:val="24"/>
          <w:szCs w:val="24"/>
          <w:highlight w:val="none"/>
          <w:lang w:val="en-US" w:eastAsia="zh-CN"/>
        </w:rPr>
        <w:t xml:space="preserve"> </w:t>
      </w:r>
      <w:r>
        <w:rPr>
          <w:rStyle w:val="10"/>
          <w:rFonts w:hint="default" w:ascii="Times New Roman" w:hAnsi="Times New Roman" w:eastAsia="宋体" w:cs="Times New Roman"/>
          <w:b w:val="0"/>
          <w:bCs w:val="0"/>
          <w:sz w:val="24"/>
          <w:szCs w:val="24"/>
          <w:highlight w:val="none"/>
        </w:rPr>
        <w:t>w</w:t>
      </w:r>
      <w:r>
        <w:rPr>
          <w:rStyle w:val="10"/>
          <w:rFonts w:hint="default" w:ascii="Times New Roman" w:hAnsi="Times New Roman" w:eastAsia="宋体" w:cs="Times New Roman"/>
          <w:b w:val="0"/>
          <w:bCs w:val="0"/>
          <w:sz w:val="24"/>
          <w:szCs w:val="24"/>
          <w:highlight w:val="none"/>
          <w:lang w:val="en-US" w:eastAsia="zh-CN"/>
        </w:rPr>
        <w:t>as</w:t>
      </w:r>
      <w:r>
        <w:rPr>
          <w:rStyle w:val="10"/>
          <w:rFonts w:hint="default" w:ascii="Times New Roman" w:hAnsi="Times New Roman" w:eastAsia="宋体" w:cs="Times New Roman"/>
          <w:b w:val="0"/>
          <w:bCs w:val="0"/>
          <w:sz w:val="24"/>
          <w:szCs w:val="24"/>
          <w:highlight w:val="none"/>
        </w:rPr>
        <w:t xml:space="preserve"> compared between patients with and without LVAs.</w:t>
      </w:r>
    </w:p>
    <w:p w14:paraId="41C7EEE2">
      <w:pPr>
        <w:pStyle w:val="7"/>
        <w:keepNext w:val="0"/>
        <w:keepLines w:val="0"/>
        <w:widowControl/>
        <w:suppressLineNumbers w:val="0"/>
        <w:spacing w:line="480" w:lineRule="auto"/>
        <w:rPr>
          <w:rStyle w:val="10"/>
          <w:rFonts w:hint="default" w:ascii="Times New Roman" w:hAnsi="Times New Roman" w:eastAsia="宋体" w:cs="Times New Roman"/>
          <w:b w:val="0"/>
          <w:bCs w:val="0"/>
          <w:sz w:val="24"/>
          <w:szCs w:val="24"/>
          <w:highlight w:val="none"/>
        </w:rPr>
      </w:pPr>
      <w:r>
        <w:rPr>
          <w:rStyle w:val="10"/>
          <w:rFonts w:hint="default" w:ascii="Times New Roman" w:hAnsi="Times New Roman" w:cs="Times New Roman"/>
          <w:b w:val="0"/>
          <w:bCs/>
          <w:sz w:val="24"/>
          <w:szCs w:val="24"/>
          <w:highlight w:val="none"/>
        </w:rPr>
        <w:t>Second, the regional distribution of LVAs in the sinus-rhythm subgroup with complete quantitative data was described in two ways: by the proportion of patients with involvement in each predefined analyzable region in the overall quantitative subgroup, and by the distribution of regional LVA burden in each region among patients with measurable LVAs.</w:t>
      </w:r>
      <w:r>
        <w:rPr>
          <w:rStyle w:val="10"/>
          <w:rFonts w:hint="default" w:ascii="Times New Roman" w:hAnsi="Times New Roman" w:eastAsia="宋体" w:cs="Times New Roman"/>
          <w:b w:val="0"/>
          <w:bCs/>
          <w:sz w:val="24"/>
          <w:szCs w:val="24"/>
          <w:highlight w:val="none"/>
        </w:rPr>
        <w:t xml:space="preserve"> </w:t>
      </w:r>
      <w:r>
        <w:rPr>
          <w:rStyle w:val="10"/>
          <w:rFonts w:hint="default" w:ascii="Times New Roman" w:hAnsi="Times New Roman" w:eastAsia="宋体" w:cs="Times New Roman"/>
          <w:b w:val="0"/>
          <w:bCs w:val="0"/>
          <w:sz w:val="24"/>
          <w:szCs w:val="24"/>
          <w:highlight w:val="none"/>
        </w:rPr>
        <w:t>The predefined analyzable regions included the anterior wall, posterior wall, roof, inferior wall, and right pulmonary vein antrum.</w:t>
      </w:r>
    </w:p>
    <w:p w14:paraId="657CDD01">
      <w:pPr>
        <w:pStyle w:val="7"/>
        <w:keepNext w:val="0"/>
        <w:keepLines w:val="0"/>
        <w:widowControl/>
        <w:suppressLineNumbers w:val="0"/>
        <w:spacing w:line="480" w:lineRule="auto"/>
        <w:rPr>
          <w:rStyle w:val="10"/>
          <w:rFonts w:hint="default" w:ascii="Times New Roman" w:hAnsi="Times New Roman" w:eastAsia="宋体" w:cs="Times New Roman"/>
          <w:b w:val="0"/>
          <w:bCs w:val="0"/>
          <w:sz w:val="24"/>
          <w:szCs w:val="24"/>
          <w:highlight w:val="none"/>
        </w:rPr>
      </w:pPr>
      <w:r>
        <w:rPr>
          <w:rStyle w:val="10"/>
          <w:rFonts w:hint="default" w:ascii="Times New Roman" w:hAnsi="Times New Roman" w:eastAsia="宋体" w:cs="Times New Roman"/>
          <w:b w:val="0"/>
          <w:bCs w:val="0"/>
          <w:sz w:val="24"/>
          <w:szCs w:val="24"/>
          <w:highlight w:val="none"/>
        </w:rPr>
        <w:t xml:space="preserve">Third, associations between LDL-C and quantitative LVA burden were explored in the sinus-rhythm subgroup with complete quantitative data. Because total and regional LVA burden showed skewed distributions, log-transformed variables were used for regression analyses after adding a small constant [log(burden + 0.01)]. Linear regression models were fitted for total LVA burden in an unadjusted model and </w:t>
      </w:r>
      <w:r>
        <w:rPr>
          <w:rFonts w:hint="default" w:ascii="Times New Roman" w:hAnsi="Times New Roman" w:eastAsia="宋体" w:cs="Times New Roman"/>
          <w:sz w:val="24"/>
          <w:szCs w:val="24"/>
          <w:highlight w:val="none"/>
        </w:rPr>
        <w:t xml:space="preserve">in </w:t>
      </w:r>
      <w:r>
        <w:rPr>
          <w:rStyle w:val="10"/>
          <w:rFonts w:hint="default" w:ascii="Times New Roman" w:hAnsi="Times New Roman" w:cs="Times New Roman"/>
          <w:b w:val="0"/>
          <w:bCs/>
          <w:sz w:val="24"/>
          <w:szCs w:val="24"/>
          <w:highlight w:val="none"/>
        </w:rPr>
        <w:t>progressively adjusted models designated as Models 1</w:t>
      </w:r>
      <w:r>
        <w:rPr>
          <w:rStyle w:val="10"/>
          <w:rFonts w:hint="default" w:ascii="Times New Roman" w:hAnsi="Times New Roman" w:cs="Times New Roman"/>
          <w:b w:val="0"/>
          <w:bCs/>
          <w:sz w:val="24"/>
          <w:szCs w:val="24"/>
          <w:highlight w:val="none"/>
          <w:lang w:val="en-US" w:eastAsia="zh-CN"/>
        </w:rPr>
        <w:t>f</w:t>
      </w:r>
      <w:r>
        <w:rPr>
          <w:rStyle w:val="10"/>
          <w:rFonts w:hint="default" w:ascii="Times New Roman" w:hAnsi="Times New Roman" w:cs="Times New Roman"/>
          <w:b w:val="0"/>
          <w:bCs/>
          <w:sz w:val="24"/>
          <w:szCs w:val="24"/>
          <w:highlight w:val="none"/>
        </w:rPr>
        <w:t>–4</w:t>
      </w:r>
      <w:r>
        <w:rPr>
          <w:rStyle w:val="10"/>
          <w:rFonts w:hint="default" w:ascii="Times New Roman" w:hAnsi="Times New Roman" w:cs="Times New Roman"/>
          <w:b w:val="0"/>
          <w:bCs/>
          <w:sz w:val="24"/>
          <w:szCs w:val="24"/>
          <w:highlight w:val="none"/>
          <w:lang w:val="en-US" w:eastAsia="zh-CN"/>
        </w:rPr>
        <w:t>f</w:t>
      </w:r>
      <w:r>
        <w:rPr>
          <w:rStyle w:val="10"/>
          <w:rFonts w:hint="default" w:ascii="Times New Roman" w:hAnsi="Times New Roman" w:cs="Times New Roman"/>
          <w:b w:val="0"/>
          <w:bCs/>
          <w:sz w:val="24"/>
          <w:szCs w:val="24"/>
          <w:highlight w:val="none"/>
        </w:rPr>
        <w:t>, corresponding to the covariate structures of Models 1a–4a in the primary analysis</w:t>
      </w:r>
      <w:r>
        <w:rPr>
          <w:rStyle w:val="10"/>
          <w:rFonts w:hint="default" w:ascii="Times New Roman" w:hAnsi="Times New Roman" w:eastAsia="宋体" w:cs="Times New Roman"/>
          <w:b w:val="0"/>
          <w:bCs/>
          <w:sz w:val="24"/>
          <w:szCs w:val="24"/>
          <w:highlight w:val="none"/>
        </w:rPr>
        <w:t>. F</w:t>
      </w:r>
      <w:r>
        <w:rPr>
          <w:rStyle w:val="10"/>
          <w:rFonts w:hint="default" w:ascii="Times New Roman" w:hAnsi="Times New Roman" w:eastAsia="宋体" w:cs="Times New Roman"/>
          <w:b w:val="0"/>
          <w:bCs w:val="0"/>
          <w:sz w:val="24"/>
          <w:szCs w:val="24"/>
          <w:highlight w:val="none"/>
        </w:rPr>
        <w:t>or regional LVA burden, exploratory linear regression analyses were performed using the fully adjusted covariate structure of Model 4</w:t>
      </w:r>
      <w:r>
        <w:rPr>
          <w:rStyle w:val="10"/>
          <w:rFonts w:hint="default" w:ascii="Times New Roman" w:hAnsi="Times New Roman" w:eastAsia="宋体" w:cs="Times New Roman"/>
          <w:b w:val="0"/>
          <w:bCs w:val="0"/>
          <w:sz w:val="24"/>
          <w:szCs w:val="24"/>
          <w:highlight w:val="none"/>
          <w:lang w:val="en-US" w:eastAsia="zh-CN"/>
        </w:rPr>
        <w:t>f</w:t>
      </w:r>
      <w:r>
        <w:rPr>
          <w:rStyle w:val="10"/>
          <w:rFonts w:hint="default" w:ascii="Times New Roman" w:hAnsi="Times New Roman" w:eastAsia="宋体" w:cs="Times New Roman"/>
          <w:b w:val="0"/>
          <w:bCs w:val="0"/>
          <w:sz w:val="24"/>
          <w:szCs w:val="24"/>
          <w:highlight w:val="none"/>
        </w:rPr>
        <w:t>. Scatter plots with fitted linear regression lines were used for graphical presentation.</w:t>
      </w:r>
    </w:p>
    <w:p w14:paraId="24862577">
      <w:pPr>
        <w:pStyle w:val="7"/>
        <w:keepNext w:val="0"/>
        <w:keepLines w:val="0"/>
        <w:widowControl/>
        <w:suppressLineNumbers w:val="0"/>
        <w:spacing w:line="480" w:lineRule="auto"/>
        <w:rPr>
          <w:rStyle w:val="10"/>
          <w:rFonts w:hint="default" w:ascii="Times New Roman" w:hAnsi="Times New Roman" w:eastAsia="宋体" w:cs="Times New Roman"/>
          <w:b w:val="0"/>
          <w:bCs w:val="0"/>
          <w:sz w:val="24"/>
          <w:szCs w:val="24"/>
          <w:highlight w:val="none"/>
        </w:rPr>
      </w:pPr>
      <w:r>
        <w:rPr>
          <w:rStyle w:val="10"/>
          <w:rFonts w:hint="default" w:ascii="Times New Roman" w:hAnsi="Times New Roman" w:eastAsia="宋体" w:cs="Times New Roman"/>
          <w:b w:val="0"/>
          <w:bCs w:val="0"/>
          <w:sz w:val="24"/>
          <w:szCs w:val="24"/>
          <w:highlight w:val="none"/>
        </w:rPr>
        <w:t>Finally, as an additional exploratory analysis, total LVA burden was categorized into five groups in the sinus-rhythm subgroup with complete quantitative data: 0%, &gt;0–5%, &gt;5–10%, &gt;10–15%, and &gt;15%. LDL-C and selected clinical characteristics were compared across these burden categories. Overall differences in LDL-C across groups were assessed using the Kruskal–Wallis test, followed by pairwise Wilcoxon rank-sum tests with Benjamini–Hochberg adjustment when appropriate. These grouped analyses were considered descriptive and hypothesis-generating.</w:t>
      </w:r>
    </w:p>
    <w:p w14:paraId="15ED63AA">
      <w:pPr>
        <w:pStyle w:val="7"/>
        <w:keepNext w:val="0"/>
        <w:keepLines w:val="0"/>
        <w:widowControl/>
        <w:suppressLineNumbers w:val="0"/>
        <w:spacing w:line="480" w:lineRule="auto"/>
        <w:rPr>
          <w:rStyle w:val="10"/>
          <w:rFonts w:hint="default" w:ascii="Times New Roman" w:hAnsi="Times New Roman" w:eastAsia="宋体" w:cs="Times New Roman"/>
          <w:b w:val="0"/>
          <w:bCs w:val="0"/>
          <w:sz w:val="24"/>
          <w:szCs w:val="24"/>
          <w:highlight w:val="none"/>
        </w:rPr>
      </w:pPr>
      <w:r>
        <w:rPr>
          <w:rStyle w:val="10"/>
          <w:rFonts w:hint="default" w:ascii="Times New Roman" w:hAnsi="Times New Roman" w:eastAsia="宋体" w:cs="Times New Roman"/>
          <w:b w:val="0"/>
          <w:bCs w:val="0"/>
          <w:sz w:val="24"/>
          <w:szCs w:val="24"/>
          <w:highlight w:val="none"/>
        </w:rPr>
        <w:t>All supplementary quantitative analyses were performed using R software (version 4.4.1; R Foundation for Statistical Computing, Vienna, Austria).</w:t>
      </w:r>
    </w:p>
    <w:p w14:paraId="48B4CE1A">
      <w:pPr>
        <w:spacing w:line="480" w:lineRule="auto"/>
        <w:rPr>
          <w:rFonts w:hint="default" w:ascii="Times New Roman" w:hAnsi="Times New Roman" w:cs="Times New Roman" w:eastAsiaTheme="minorEastAsia"/>
          <w:b/>
          <w:bCs/>
          <w:kern w:val="0"/>
          <w:sz w:val="24"/>
          <w:szCs w:val="24"/>
          <w:highlight w:val="none"/>
          <w:lang w:val="en-US" w:eastAsia="zh-CN" w:bidi="ar"/>
        </w:rPr>
      </w:pPr>
      <w:r>
        <w:rPr>
          <w:rFonts w:hint="default" w:ascii="Times New Roman" w:hAnsi="Times New Roman" w:cs="Times New Roman" w:eastAsiaTheme="minorEastAsia"/>
          <w:b/>
          <w:bCs/>
          <w:kern w:val="0"/>
          <w:sz w:val="24"/>
          <w:szCs w:val="24"/>
          <w:highlight w:val="none"/>
          <w:lang w:val="en-US" w:eastAsia="zh-CN" w:bidi="ar"/>
        </w:rPr>
        <w:t>References</w:t>
      </w:r>
    </w:p>
    <w:p w14:paraId="17BBBF1B">
      <w:pPr>
        <w:pStyle w:val="13"/>
        <w:bidi w:val="0"/>
        <w:spacing w:line="480" w:lineRule="auto"/>
        <w:rPr>
          <w:rFonts w:hint="default" w:ascii="Times New Roman" w:hAnsi="Times New Roman" w:cs="Times New Roman"/>
          <w:sz w:val="24"/>
          <w:szCs w:val="24"/>
          <w:highlight w:val="none"/>
        </w:rPr>
      </w:pPr>
      <w:r>
        <w:rPr>
          <w:rStyle w:val="10"/>
          <w:rFonts w:hint="default" w:ascii="Times New Roman" w:hAnsi="Times New Roman" w:eastAsia="宋体" w:cs="Times New Roman"/>
          <w:b w:val="0"/>
          <w:bCs/>
          <w:kern w:val="0"/>
          <w:sz w:val="24"/>
          <w:szCs w:val="24"/>
          <w:highlight w:val="none"/>
          <w:lang w:val="en-US" w:eastAsia="zh-CN" w:bidi="ar"/>
        </w:rPr>
        <w:fldChar w:fldCharType="begin"/>
      </w:r>
      <w:r>
        <w:rPr>
          <w:rStyle w:val="10"/>
          <w:rFonts w:hint="eastAsia" w:ascii="Times New Roman" w:hAnsi="Times New Roman" w:eastAsia="宋体" w:cs="Times New Roman"/>
          <w:b w:val="0"/>
          <w:bCs/>
          <w:kern w:val="0"/>
          <w:sz w:val="24"/>
          <w:szCs w:val="24"/>
          <w:highlight w:val="none"/>
          <w:lang w:val="en-US" w:eastAsia="zh-CN" w:bidi="ar"/>
        </w:rPr>
        <w:instrText xml:space="preserve"> ADDIN ZOTERO_BIBL {"uncited":[],"omitted":[],"custom":[]} CSL_BIBLIOGRAPHY </w:instrText>
      </w:r>
      <w:r>
        <w:rPr>
          <w:rStyle w:val="10"/>
          <w:rFonts w:hint="default" w:ascii="Times New Roman" w:hAnsi="Times New Roman" w:eastAsia="宋体" w:cs="Times New Roman"/>
          <w:b w:val="0"/>
          <w:bCs/>
          <w:kern w:val="0"/>
          <w:sz w:val="24"/>
          <w:szCs w:val="24"/>
          <w:highlight w:val="none"/>
          <w:lang w:val="en-US" w:eastAsia="zh-CN" w:bidi="ar"/>
        </w:rPr>
        <w:fldChar w:fldCharType="separate"/>
      </w:r>
      <w:r>
        <w:rPr>
          <w:rFonts w:hint="default" w:ascii="Times New Roman" w:hAnsi="Times New Roman" w:cs="Times New Roman"/>
          <w:sz w:val="24"/>
          <w:szCs w:val="24"/>
          <w:highlight w:val="none"/>
        </w:rPr>
        <w:t>1. Chen H, Li C, Han B, Xiao F, Yi F, Wei Y, et al. Circumferential pulmonary vein isolation with vs without additional low-voltage-area ablation in older patients with paroxysmal atrial fibrillation: A randomized clinical trial. JAMA Cardiol. 2023;8:765–72. https://doi.org/10.1001/jamacardio.2023.1749</w:t>
      </w:r>
    </w:p>
    <w:p w14:paraId="078B858E">
      <w:pPr>
        <w:pStyle w:val="13"/>
        <w:bidi w:val="0"/>
        <w:spacing w:line="48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2. Peter RH, Morris JJ, McIntosh HD. Relationship of fibrillatory waves and P waves in the electrocardiogram. Circulation. 1966;33:599–606. https://doi.org/10.1161/01.cir.33.4.599</w:t>
      </w:r>
    </w:p>
    <w:p w14:paraId="0159E213">
      <w:pPr>
        <w:spacing w:line="480" w:lineRule="auto"/>
        <w:rPr>
          <w:rFonts w:hint="default" w:ascii="Times New Roman" w:hAnsi="Times New Roman" w:cs="Times New Roman"/>
          <w:b/>
          <w:bCs/>
          <w:kern w:val="0"/>
          <w:sz w:val="24"/>
          <w:szCs w:val="24"/>
          <w:highlight w:val="none"/>
          <w:lang w:val="en-US" w:eastAsia="zh-CN" w:bidi="ar"/>
        </w:rPr>
      </w:pPr>
      <w:r>
        <w:rPr>
          <w:rStyle w:val="10"/>
          <w:rFonts w:hint="default" w:ascii="Times New Roman" w:hAnsi="Times New Roman" w:eastAsia="宋体" w:cs="Times New Roman"/>
          <w:b w:val="0"/>
          <w:bCs/>
          <w:kern w:val="0"/>
          <w:sz w:val="24"/>
          <w:szCs w:val="24"/>
          <w:highlight w:val="none"/>
          <w:lang w:val="en-US" w:eastAsia="zh-CN" w:bidi="ar"/>
        </w:rPr>
        <w:fldChar w:fldCharType="end"/>
      </w:r>
      <w:r>
        <w:rPr>
          <w:rFonts w:hint="default" w:ascii="Times New Roman" w:hAnsi="Times New Roman" w:cs="Times New Roman" w:eastAsiaTheme="minorEastAsia"/>
          <w:b/>
          <w:bCs/>
          <w:kern w:val="0"/>
          <w:sz w:val="24"/>
          <w:szCs w:val="24"/>
          <w:highlight w:val="none"/>
          <w:lang w:val="en-US" w:eastAsia="zh-CN" w:bidi="ar"/>
        </w:rPr>
        <w:t>Supplementary Table</w:t>
      </w:r>
      <w:r>
        <w:rPr>
          <w:rFonts w:hint="default" w:ascii="Times New Roman" w:hAnsi="Times New Roman" w:cs="Times New Roman"/>
          <w:b/>
          <w:bCs/>
          <w:kern w:val="0"/>
          <w:sz w:val="24"/>
          <w:szCs w:val="24"/>
          <w:highlight w:val="none"/>
          <w:lang w:val="en-US" w:eastAsia="zh-CN" w:bidi="ar"/>
        </w:rPr>
        <w:t>s</w:t>
      </w:r>
    </w:p>
    <w:p w14:paraId="4E5164FE">
      <w:pPr>
        <w:spacing w:line="480" w:lineRule="auto"/>
        <w:rPr>
          <w:rFonts w:hint="default" w:ascii="Times New Roman" w:hAnsi="Times New Roman" w:cs="Times New Roman"/>
          <w:b w:val="0"/>
          <w:bCs w:val="0"/>
          <w:kern w:val="0"/>
          <w:sz w:val="24"/>
          <w:szCs w:val="24"/>
          <w:highlight w:val="none"/>
          <w:lang w:val="en-US" w:eastAsia="zh-CN" w:bidi="ar"/>
        </w:rPr>
      </w:pPr>
      <w:r>
        <w:rPr>
          <w:rFonts w:hint="default" w:ascii="Times New Roman" w:hAnsi="Times New Roman" w:cs="Times New Roman" w:eastAsiaTheme="minorEastAsia"/>
          <w:b/>
          <w:bCs/>
          <w:kern w:val="0"/>
          <w:sz w:val="24"/>
          <w:szCs w:val="24"/>
          <w:highlight w:val="none"/>
          <w:lang w:val="en-US" w:eastAsia="zh-CN" w:bidi="ar"/>
        </w:rPr>
        <w:t>Supplementary Table S1.</w:t>
      </w:r>
      <w:r>
        <w:rPr>
          <w:rFonts w:hint="default" w:ascii="Times New Roman" w:hAnsi="Times New Roman" w:cs="Times New Roman" w:eastAsiaTheme="minorEastAsia"/>
          <w:b w:val="0"/>
          <w:bCs w:val="0"/>
          <w:kern w:val="0"/>
          <w:sz w:val="24"/>
          <w:szCs w:val="24"/>
          <w:highlight w:val="none"/>
          <w:lang w:val="en-US" w:eastAsia="zh-CN" w:bidi="ar"/>
        </w:rPr>
        <w:t xml:space="preserve"> Firth penalized logistic regression analyses of the association between fibrillatory wave amplitude and the presence of left atrial low-voltage areas</w:t>
      </w:r>
      <w:r>
        <w:rPr>
          <w:rFonts w:hint="default" w:ascii="Times New Roman" w:hAnsi="Times New Roman" w:cs="Times New Roman"/>
          <w:b w:val="0"/>
          <w:bCs w:val="0"/>
          <w:kern w:val="0"/>
          <w:sz w:val="24"/>
          <w:szCs w:val="24"/>
          <w:highlight w:val="none"/>
          <w:lang w:val="en-US" w:eastAsia="zh-CN" w:bidi="ar"/>
        </w:rPr>
        <w:t>.</w:t>
      </w:r>
    </w:p>
    <w:tbl>
      <w:tblPr>
        <w:tblStyle w:val="8"/>
        <w:tblW w:w="8504" w:type="dxa"/>
        <w:jc w:val="center"/>
        <w:tblBorders>
          <w:top w:val="single" w:color="000000" w:sz="10" w:space="0"/>
          <w:left w:val="none" w:color="auto" w:sz="0" w:space="0"/>
          <w:bottom w:val="single" w:color="000000" w:sz="1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83"/>
        <w:gridCol w:w="1246"/>
        <w:gridCol w:w="854"/>
        <w:gridCol w:w="1391"/>
        <w:gridCol w:w="2482"/>
        <w:gridCol w:w="1048"/>
      </w:tblGrid>
      <w:tr w14:paraId="3781E793">
        <w:tblPrEx>
          <w:tblBorders>
            <w:top w:val="single" w:color="000000" w:sz="10" w:space="0"/>
            <w:left w:val="none" w:color="auto" w:sz="0" w:space="0"/>
            <w:bottom w:val="single" w:color="000000" w:sz="10" w:space="0"/>
            <w:right w:val="none" w:color="auto" w:sz="0" w:space="0"/>
            <w:insideH w:val="none" w:color="auto" w:sz="0" w:space="0"/>
            <w:insideV w:val="none" w:color="auto" w:sz="0" w:space="0"/>
          </w:tblBorders>
        </w:tblPrEx>
        <w:trPr>
          <w:jc w:val="center"/>
        </w:trPr>
        <w:tc>
          <w:tcPr>
            <w:tcW w:w="1483" w:type="dxa"/>
            <w:tcBorders>
              <w:top w:val="single" w:color="000000" w:sz="12" w:space="0"/>
              <w:bottom w:val="single" w:color="000000" w:sz="4" w:space="0"/>
              <w:tl2br w:val="nil"/>
            </w:tcBorders>
            <w:shd w:val="clear" w:color="auto" w:fill="FFFFFF"/>
            <w:tcMar>
              <w:top w:w="80" w:type="dxa"/>
              <w:left w:w="90" w:type="dxa"/>
              <w:bottom w:w="80" w:type="dxa"/>
              <w:right w:w="90" w:type="dxa"/>
            </w:tcMar>
            <w:vAlign w:val="center"/>
          </w:tcPr>
          <w:p w14:paraId="5DEE5009">
            <w:pPr>
              <w:spacing w:before="20" w:after="20"/>
              <w:jc w:val="center"/>
              <w:rPr>
                <w:rFonts w:hint="default" w:ascii="Times New Roman" w:hAnsi="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Model</w:t>
            </w:r>
          </w:p>
        </w:tc>
        <w:tc>
          <w:tcPr>
            <w:tcW w:w="1246" w:type="dxa"/>
            <w:tcBorders>
              <w:top w:val="single" w:color="000000" w:sz="12" w:space="0"/>
              <w:bottom w:val="single" w:color="000000" w:sz="4" w:space="0"/>
            </w:tcBorders>
            <w:shd w:val="clear" w:color="auto" w:fill="FFFFFF"/>
            <w:tcMar>
              <w:top w:w="80" w:type="dxa"/>
              <w:left w:w="90" w:type="dxa"/>
              <w:bottom w:w="80" w:type="dxa"/>
              <w:right w:w="90" w:type="dxa"/>
            </w:tcMar>
            <w:vAlign w:val="center"/>
          </w:tcPr>
          <w:p w14:paraId="39D06F73">
            <w:pPr>
              <w:spacing w:before="20" w:after="20"/>
              <w:jc w:val="center"/>
              <w:rPr>
                <w:rFonts w:hint="default" w:ascii="Times New Roman" w:hAnsi="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Beta</w:t>
            </w:r>
          </w:p>
        </w:tc>
        <w:tc>
          <w:tcPr>
            <w:tcW w:w="854" w:type="dxa"/>
            <w:tcBorders>
              <w:top w:val="single" w:color="000000" w:sz="12" w:space="0"/>
              <w:bottom w:val="single" w:color="000000" w:sz="4" w:space="0"/>
            </w:tcBorders>
            <w:shd w:val="clear" w:color="auto" w:fill="FFFFFF"/>
            <w:tcMar>
              <w:top w:w="80" w:type="dxa"/>
              <w:left w:w="90" w:type="dxa"/>
              <w:bottom w:w="80" w:type="dxa"/>
              <w:right w:w="90" w:type="dxa"/>
            </w:tcMar>
            <w:vAlign w:val="center"/>
          </w:tcPr>
          <w:p w14:paraId="558A3CC8">
            <w:pPr>
              <w:spacing w:before="20" w:after="20"/>
              <w:jc w:val="center"/>
              <w:rPr>
                <w:rFonts w:hint="default" w:ascii="Times New Roman" w:hAnsi="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SE</w:t>
            </w:r>
          </w:p>
        </w:tc>
        <w:tc>
          <w:tcPr>
            <w:tcW w:w="1391" w:type="dxa"/>
            <w:tcBorders>
              <w:top w:val="single" w:color="000000" w:sz="12" w:space="0"/>
              <w:bottom w:val="single" w:color="000000" w:sz="4" w:space="0"/>
            </w:tcBorders>
            <w:shd w:val="clear" w:color="auto" w:fill="FFFFFF"/>
            <w:tcMar>
              <w:top w:w="80" w:type="dxa"/>
              <w:left w:w="90" w:type="dxa"/>
              <w:bottom w:w="80" w:type="dxa"/>
              <w:right w:w="90" w:type="dxa"/>
            </w:tcMar>
            <w:vAlign w:val="center"/>
          </w:tcPr>
          <w:p w14:paraId="73F367A6">
            <w:pPr>
              <w:spacing w:before="20" w:after="20"/>
              <w:jc w:val="center"/>
              <w:rPr>
                <w:rFonts w:hint="default" w:ascii="Times New Roman" w:hAnsi="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OR</w:t>
            </w:r>
          </w:p>
        </w:tc>
        <w:tc>
          <w:tcPr>
            <w:tcW w:w="2482" w:type="dxa"/>
            <w:tcBorders>
              <w:top w:val="single" w:color="000000" w:sz="12" w:space="0"/>
              <w:bottom w:val="single" w:color="000000" w:sz="4" w:space="0"/>
            </w:tcBorders>
            <w:shd w:val="clear" w:color="auto" w:fill="FFFFFF"/>
            <w:tcMar>
              <w:top w:w="80" w:type="dxa"/>
              <w:left w:w="90" w:type="dxa"/>
              <w:bottom w:w="80" w:type="dxa"/>
              <w:right w:w="90" w:type="dxa"/>
            </w:tcMar>
            <w:vAlign w:val="center"/>
          </w:tcPr>
          <w:p w14:paraId="21CBFEB0">
            <w:pPr>
              <w:spacing w:before="20" w:after="20"/>
              <w:jc w:val="center"/>
              <w:rPr>
                <w:rFonts w:hint="default" w:ascii="Times New Roman" w:hAnsi="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95% CI</w:t>
            </w:r>
          </w:p>
        </w:tc>
        <w:tc>
          <w:tcPr>
            <w:tcW w:w="1048" w:type="dxa"/>
            <w:tcBorders>
              <w:top w:val="single" w:color="000000" w:sz="12" w:space="0"/>
              <w:bottom w:val="single" w:color="000000" w:sz="4" w:space="0"/>
            </w:tcBorders>
            <w:shd w:val="clear" w:color="auto" w:fill="FFFFFF"/>
            <w:tcMar>
              <w:top w:w="80" w:type="dxa"/>
              <w:left w:w="90" w:type="dxa"/>
              <w:bottom w:w="80" w:type="dxa"/>
              <w:right w:w="90" w:type="dxa"/>
            </w:tcMar>
            <w:vAlign w:val="center"/>
          </w:tcPr>
          <w:p w14:paraId="0D2DAC7E">
            <w:pPr>
              <w:spacing w:before="20" w:after="20"/>
              <w:jc w:val="center"/>
              <w:rPr>
                <w:rFonts w:hint="default" w:ascii="Times New Roman" w:hAnsi="Times New Roman" w:eastAsia="Times New Roman" w:cs="Times New Roman"/>
                <w:b/>
                <w:bCs/>
                <w:color w:val="000000"/>
                <w:sz w:val="24"/>
                <w:szCs w:val="24"/>
                <w:highlight w:val="none"/>
              </w:rPr>
            </w:pPr>
            <w:r>
              <w:rPr>
                <w:rFonts w:hint="default" w:ascii="Times New Roman" w:hAnsi="Times New Roman" w:eastAsia="Times New Roman" w:cs="Times New Roman"/>
                <w:b/>
                <w:bCs/>
                <w:i/>
                <w:iCs/>
                <w:color w:val="000000"/>
                <w:sz w:val="24"/>
                <w:szCs w:val="24"/>
                <w:highlight w:val="none"/>
              </w:rPr>
              <w:t>P</w:t>
            </w:r>
            <w:r>
              <w:rPr>
                <w:rFonts w:hint="default" w:ascii="Times New Roman" w:hAnsi="Times New Roman" w:eastAsia="宋体" w:cs="Times New Roman"/>
                <w:b/>
                <w:bCs/>
                <w:color w:val="000000"/>
                <w:sz w:val="24"/>
                <w:szCs w:val="24"/>
                <w:highlight w:val="none"/>
                <w:lang w:val="en-US" w:eastAsia="zh-CN"/>
              </w:rPr>
              <w:t xml:space="preserve"> v</w:t>
            </w:r>
            <w:r>
              <w:rPr>
                <w:rFonts w:hint="default" w:ascii="Times New Roman" w:hAnsi="Times New Roman" w:eastAsia="Times New Roman" w:cs="Times New Roman"/>
                <w:b/>
                <w:bCs/>
                <w:color w:val="000000"/>
                <w:sz w:val="24"/>
                <w:szCs w:val="24"/>
                <w:highlight w:val="none"/>
              </w:rPr>
              <w:t>alue</w:t>
            </w:r>
          </w:p>
        </w:tc>
      </w:tr>
      <w:tr w14:paraId="52315F4F">
        <w:tblPrEx>
          <w:tblBorders>
            <w:top w:val="single" w:color="000000" w:sz="10" w:space="0"/>
            <w:left w:val="none" w:color="auto" w:sz="0" w:space="0"/>
            <w:bottom w:val="single" w:color="000000" w:sz="1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83" w:type="dxa"/>
            <w:tcBorders>
              <w:top w:val="single" w:color="000000" w:sz="4" w:space="0"/>
            </w:tcBorders>
            <w:shd w:val="clear" w:color="auto" w:fill="FFFFFF"/>
            <w:tcMar>
              <w:top w:w="90" w:type="dxa"/>
              <w:left w:w="90" w:type="dxa"/>
              <w:bottom w:w="90" w:type="dxa"/>
              <w:right w:w="90" w:type="dxa"/>
            </w:tcMar>
            <w:vAlign w:val="center"/>
          </w:tcPr>
          <w:p w14:paraId="2CBA7C16">
            <w:pPr>
              <w:spacing w:before="20" w:after="20"/>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Univariable</w:t>
            </w:r>
          </w:p>
        </w:tc>
        <w:tc>
          <w:tcPr>
            <w:tcW w:w="1246" w:type="dxa"/>
            <w:tcBorders>
              <w:top w:val="single" w:color="000000" w:sz="4" w:space="0"/>
            </w:tcBorders>
            <w:shd w:val="clear" w:color="auto" w:fill="FFFFFF"/>
            <w:tcMar>
              <w:top w:w="90" w:type="dxa"/>
              <w:left w:w="90" w:type="dxa"/>
              <w:bottom w:w="90" w:type="dxa"/>
              <w:right w:w="90" w:type="dxa"/>
            </w:tcMar>
            <w:vAlign w:val="center"/>
          </w:tcPr>
          <w:p w14:paraId="2BACD45F">
            <w:pPr>
              <w:spacing w:before="20" w:after="20"/>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-8.869</w:t>
            </w:r>
          </w:p>
        </w:tc>
        <w:tc>
          <w:tcPr>
            <w:tcW w:w="854" w:type="dxa"/>
            <w:tcBorders>
              <w:top w:val="single" w:color="000000" w:sz="4" w:space="0"/>
            </w:tcBorders>
            <w:shd w:val="clear" w:color="auto" w:fill="FFFFFF"/>
            <w:tcMar>
              <w:top w:w="90" w:type="dxa"/>
              <w:left w:w="90" w:type="dxa"/>
              <w:bottom w:w="90" w:type="dxa"/>
              <w:right w:w="90" w:type="dxa"/>
            </w:tcMar>
            <w:vAlign w:val="center"/>
          </w:tcPr>
          <w:p w14:paraId="1B5E8B94">
            <w:pPr>
              <w:spacing w:before="20" w:after="20"/>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1.816</w:t>
            </w:r>
          </w:p>
        </w:tc>
        <w:tc>
          <w:tcPr>
            <w:tcW w:w="1391" w:type="dxa"/>
            <w:tcBorders>
              <w:top w:val="single" w:color="000000" w:sz="4" w:space="0"/>
            </w:tcBorders>
            <w:shd w:val="clear" w:color="auto" w:fill="FFFFFF"/>
            <w:tcMar>
              <w:top w:w="90" w:type="dxa"/>
              <w:left w:w="90" w:type="dxa"/>
              <w:bottom w:w="90" w:type="dxa"/>
              <w:right w:w="90" w:type="dxa"/>
            </w:tcMar>
            <w:vAlign w:val="center"/>
          </w:tcPr>
          <w:p w14:paraId="2AD22660">
            <w:pPr>
              <w:spacing w:before="20" w:after="2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Times New Roman" w:cs="Times New Roman"/>
                <w:b w:val="0"/>
                <w:color w:val="000000"/>
                <w:sz w:val="24"/>
                <w:szCs w:val="24"/>
                <w:highlight w:val="none"/>
              </w:rPr>
              <w:t>1.41 × 10</w:t>
            </w:r>
            <w:r>
              <w:rPr>
                <w:rFonts w:hint="default" w:ascii="Times New Roman" w:hAnsi="Times New Roman" w:eastAsia="Times New Roman" w:cs="Times New Roman"/>
                <w:b w:val="0"/>
                <w:color w:val="000000"/>
                <w:sz w:val="24"/>
                <w:szCs w:val="24"/>
                <w:highlight w:val="none"/>
                <w:vertAlign w:val="superscript"/>
              </w:rPr>
              <w:t>–</w:t>
            </w:r>
            <w:r>
              <w:rPr>
                <w:rFonts w:hint="default" w:ascii="Times New Roman" w:hAnsi="Times New Roman" w:eastAsia="宋体" w:cs="Times New Roman"/>
                <w:b w:val="0"/>
                <w:color w:val="000000"/>
                <w:sz w:val="24"/>
                <w:szCs w:val="24"/>
                <w:highlight w:val="none"/>
                <w:vertAlign w:val="superscript"/>
                <w:lang w:val="en-US" w:eastAsia="zh-CN"/>
              </w:rPr>
              <w:t>4</w:t>
            </w:r>
          </w:p>
        </w:tc>
        <w:tc>
          <w:tcPr>
            <w:tcW w:w="2482" w:type="dxa"/>
            <w:tcBorders>
              <w:top w:val="single" w:color="000000" w:sz="4" w:space="0"/>
            </w:tcBorders>
            <w:shd w:val="clear" w:color="auto" w:fill="FFFFFF"/>
            <w:tcMar>
              <w:top w:w="90" w:type="dxa"/>
              <w:left w:w="90" w:type="dxa"/>
              <w:bottom w:w="90" w:type="dxa"/>
              <w:right w:w="90" w:type="dxa"/>
            </w:tcMar>
            <w:vAlign w:val="center"/>
          </w:tcPr>
          <w:p w14:paraId="0442680F">
            <w:pPr>
              <w:spacing w:before="20" w:after="20"/>
              <w:jc w:val="left"/>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Times New Roman" w:cs="Times New Roman"/>
                <w:b w:val="0"/>
                <w:color w:val="000000"/>
                <w:sz w:val="24"/>
                <w:szCs w:val="24"/>
                <w:highlight w:val="none"/>
              </w:rPr>
              <w:t>3.66 × 10</w:t>
            </w:r>
            <w:r>
              <w:rPr>
                <w:rFonts w:hint="default" w:ascii="Times New Roman" w:hAnsi="Times New Roman" w:eastAsia="Times New Roman" w:cs="Times New Roman"/>
                <w:b w:val="0"/>
                <w:color w:val="000000"/>
                <w:sz w:val="24"/>
                <w:szCs w:val="24"/>
                <w:highlight w:val="none"/>
                <w:vertAlign w:val="superscript"/>
              </w:rPr>
              <w:t>–</w:t>
            </w:r>
            <w:r>
              <w:rPr>
                <w:rFonts w:hint="default" w:ascii="Times New Roman" w:hAnsi="Times New Roman" w:eastAsia="Times New Roman" w:cs="Times New Roman"/>
                <w:b w:val="0"/>
                <w:color w:val="000000"/>
                <w:sz w:val="24"/>
                <w:szCs w:val="24"/>
                <w:highlight w:val="none"/>
              </w:rPr>
              <w:t>⁶ to 4.62 × 10</w:t>
            </w:r>
            <w:r>
              <w:rPr>
                <w:rFonts w:hint="default" w:ascii="Times New Roman" w:hAnsi="Times New Roman" w:eastAsia="Times New Roman" w:cs="Times New Roman"/>
                <w:b w:val="0"/>
                <w:color w:val="000000"/>
                <w:sz w:val="24"/>
                <w:szCs w:val="24"/>
                <w:highlight w:val="none"/>
                <w:vertAlign w:val="superscript"/>
              </w:rPr>
              <w:t>–</w:t>
            </w:r>
            <w:r>
              <w:rPr>
                <w:rFonts w:hint="default" w:ascii="Times New Roman" w:hAnsi="Times New Roman" w:eastAsia="宋体" w:cs="Times New Roman"/>
                <w:b w:val="0"/>
                <w:color w:val="000000"/>
                <w:sz w:val="24"/>
                <w:szCs w:val="24"/>
                <w:highlight w:val="none"/>
                <w:vertAlign w:val="superscript"/>
                <w:lang w:val="en-US" w:eastAsia="zh-CN"/>
              </w:rPr>
              <w:t>3</w:t>
            </w:r>
          </w:p>
        </w:tc>
        <w:tc>
          <w:tcPr>
            <w:tcW w:w="1048" w:type="dxa"/>
            <w:tcBorders>
              <w:top w:val="single" w:color="000000" w:sz="4" w:space="0"/>
            </w:tcBorders>
            <w:shd w:val="clear" w:color="auto" w:fill="FFFFFF"/>
            <w:tcMar>
              <w:top w:w="90" w:type="dxa"/>
              <w:left w:w="90" w:type="dxa"/>
              <w:bottom w:w="90" w:type="dxa"/>
              <w:right w:w="90" w:type="dxa"/>
            </w:tcMar>
            <w:vAlign w:val="center"/>
          </w:tcPr>
          <w:p w14:paraId="29F6FC42">
            <w:pPr>
              <w:spacing w:before="20" w:after="20"/>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&lt;0.001</w:t>
            </w:r>
          </w:p>
        </w:tc>
      </w:tr>
      <w:tr w14:paraId="2A7DB15E">
        <w:tblPrEx>
          <w:tblBorders>
            <w:top w:val="single" w:color="000000" w:sz="10" w:space="0"/>
            <w:left w:val="none" w:color="auto" w:sz="0" w:space="0"/>
            <w:bottom w:val="single" w:color="000000" w:sz="1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83" w:type="dxa"/>
            <w:tcBorders>
              <w:bottom w:val="single" w:color="000000" w:sz="12" w:space="0"/>
            </w:tcBorders>
            <w:shd w:val="clear" w:color="auto" w:fill="FFFFFF"/>
            <w:tcMar>
              <w:top w:w="90" w:type="dxa"/>
              <w:left w:w="90" w:type="dxa"/>
              <w:bottom w:w="90" w:type="dxa"/>
              <w:right w:w="90" w:type="dxa"/>
            </w:tcMar>
            <w:vAlign w:val="center"/>
          </w:tcPr>
          <w:p w14:paraId="7D1662AB">
            <w:pPr>
              <w:spacing w:before="20" w:after="20"/>
              <w:jc w:val="left"/>
              <w:rPr>
                <w:rFonts w:hint="default" w:ascii="Times New Roman" w:hAnsi="Times New Roman" w:cs="Times New Roman"/>
                <w:b w:val="0"/>
                <w:color w:val="000000"/>
                <w:sz w:val="24"/>
                <w:szCs w:val="24"/>
                <w:highlight w:val="none"/>
              </w:rPr>
            </w:pPr>
            <w:r>
              <w:rPr>
                <w:rFonts w:hint="default" w:ascii="Times New Roman" w:hAnsi="Times New Roman" w:eastAsia="宋体" w:cs="Times New Roman"/>
                <w:b w:val="0"/>
                <w:color w:val="000000"/>
                <w:sz w:val="24"/>
                <w:szCs w:val="24"/>
                <w:highlight w:val="none"/>
                <w:lang w:val="en-US" w:eastAsia="zh-CN"/>
              </w:rPr>
              <w:t>*</w:t>
            </w:r>
            <w:r>
              <w:rPr>
                <w:rFonts w:hint="default" w:ascii="Times New Roman" w:hAnsi="Times New Roman" w:eastAsia="Times New Roman" w:cs="Times New Roman"/>
                <w:b w:val="0"/>
                <w:color w:val="000000"/>
                <w:sz w:val="24"/>
                <w:szCs w:val="24"/>
                <w:highlight w:val="none"/>
              </w:rPr>
              <w:t>Multivariable</w:t>
            </w:r>
          </w:p>
        </w:tc>
        <w:tc>
          <w:tcPr>
            <w:tcW w:w="1246" w:type="dxa"/>
            <w:tcBorders>
              <w:bottom w:val="single" w:color="000000" w:sz="12" w:space="0"/>
            </w:tcBorders>
            <w:shd w:val="clear" w:color="auto" w:fill="FFFFFF"/>
            <w:tcMar>
              <w:top w:w="90" w:type="dxa"/>
              <w:left w:w="90" w:type="dxa"/>
              <w:bottom w:w="90" w:type="dxa"/>
              <w:right w:w="90" w:type="dxa"/>
            </w:tcMar>
            <w:vAlign w:val="center"/>
          </w:tcPr>
          <w:p w14:paraId="5A93D2D9">
            <w:pPr>
              <w:spacing w:before="20" w:after="20"/>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-7.393</w:t>
            </w:r>
          </w:p>
        </w:tc>
        <w:tc>
          <w:tcPr>
            <w:tcW w:w="854" w:type="dxa"/>
            <w:tcBorders>
              <w:bottom w:val="single" w:color="000000" w:sz="12" w:space="0"/>
            </w:tcBorders>
            <w:shd w:val="clear" w:color="auto" w:fill="FFFFFF"/>
            <w:tcMar>
              <w:top w:w="90" w:type="dxa"/>
              <w:left w:w="90" w:type="dxa"/>
              <w:bottom w:w="90" w:type="dxa"/>
              <w:right w:w="90" w:type="dxa"/>
            </w:tcMar>
            <w:vAlign w:val="center"/>
          </w:tcPr>
          <w:p w14:paraId="52920FF1">
            <w:pPr>
              <w:spacing w:before="20" w:after="20"/>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1.933</w:t>
            </w:r>
          </w:p>
        </w:tc>
        <w:tc>
          <w:tcPr>
            <w:tcW w:w="1391" w:type="dxa"/>
            <w:tcBorders>
              <w:bottom w:val="single" w:color="000000" w:sz="12" w:space="0"/>
            </w:tcBorders>
            <w:shd w:val="clear" w:color="auto" w:fill="FFFFFF"/>
            <w:tcMar>
              <w:top w:w="90" w:type="dxa"/>
              <w:left w:w="90" w:type="dxa"/>
              <w:bottom w:w="90" w:type="dxa"/>
              <w:right w:w="90" w:type="dxa"/>
            </w:tcMar>
            <w:vAlign w:val="center"/>
          </w:tcPr>
          <w:p w14:paraId="5A8132A1">
            <w:pPr>
              <w:spacing w:before="20" w:after="2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Times New Roman" w:cs="Times New Roman"/>
                <w:b w:val="0"/>
                <w:color w:val="000000"/>
                <w:sz w:val="24"/>
                <w:szCs w:val="24"/>
                <w:highlight w:val="none"/>
              </w:rPr>
              <w:t>6.15 × 10</w:t>
            </w:r>
            <w:r>
              <w:rPr>
                <w:rFonts w:hint="default" w:ascii="Times New Roman" w:hAnsi="Times New Roman" w:eastAsia="Times New Roman" w:cs="Times New Roman"/>
                <w:b w:val="0"/>
                <w:color w:val="000000"/>
                <w:sz w:val="24"/>
                <w:szCs w:val="24"/>
                <w:highlight w:val="none"/>
                <w:vertAlign w:val="superscript"/>
              </w:rPr>
              <w:t>–</w:t>
            </w:r>
            <w:r>
              <w:rPr>
                <w:rFonts w:hint="default" w:ascii="Times New Roman" w:hAnsi="Times New Roman" w:eastAsia="宋体" w:cs="Times New Roman"/>
                <w:b w:val="0"/>
                <w:color w:val="000000"/>
                <w:sz w:val="24"/>
                <w:szCs w:val="24"/>
                <w:highlight w:val="none"/>
                <w:vertAlign w:val="superscript"/>
                <w:lang w:val="en-US" w:eastAsia="zh-CN"/>
              </w:rPr>
              <w:t>4</w:t>
            </w:r>
          </w:p>
        </w:tc>
        <w:tc>
          <w:tcPr>
            <w:tcW w:w="2482" w:type="dxa"/>
            <w:tcBorders>
              <w:bottom w:val="single" w:color="000000" w:sz="12" w:space="0"/>
            </w:tcBorders>
            <w:shd w:val="clear" w:color="auto" w:fill="FFFFFF"/>
            <w:tcMar>
              <w:top w:w="90" w:type="dxa"/>
              <w:left w:w="90" w:type="dxa"/>
              <w:bottom w:w="90" w:type="dxa"/>
              <w:right w:w="90" w:type="dxa"/>
            </w:tcMar>
            <w:vAlign w:val="center"/>
          </w:tcPr>
          <w:p w14:paraId="43290A13">
            <w:pPr>
              <w:spacing w:before="20" w:after="20"/>
              <w:jc w:val="left"/>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Times New Roman" w:cs="Times New Roman"/>
                <w:b w:val="0"/>
                <w:color w:val="000000"/>
                <w:sz w:val="24"/>
                <w:szCs w:val="24"/>
                <w:highlight w:val="none"/>
              </w:rPr>
              <w:t>1.27 × 10</w:t>
            </w:r>
            <w:r>
              <w:rPr>
                <w:rFonts w:hint="default" w:ascii="Times New Roman" w:hAnsi="Times New Roman" w:eastAsia="Times New Roman" w:cs="Times New Roman"/>
                <w:b w:val="0"/>
                <w:color w:val="000000"/>
                <w:sz w:val="24"/>
                <w:szCs w:val="24"/>
                <w:highlight w:val="none"/>
                <w:vertAlign w:val="superscript"/>
              </w:rPr>
              <w:t>–</w:t>
            </w:r>
            <w:r>
              <w:rPr>
                <w:rFonts w:hint="default" w:ascii="Times New Roman" w:hAnsi="Times New Roman" w:eastAsia="宋体" w:cs="Times New Roman"/>
                <w:b w:val="0"/>
                <w:color w:val="000000"/>
                <w:sz w:val="24"/>
                <w:szCs w:val="24"/>
                <w:highlight w:val="none"/>
                <w:vertAlign w:val="superscript"/>
                <w:lang w:val="en-US" w:eastAsia="zh-CN"/>
              </w:rPr>
              <w:t>5</w:t>
            </w:r>
            <w:r>
              <w:rPr>
                <w:rFonts w:hint="default" w:ascii="Times New Roman" w:hAnsi="Times New Roman" w:eastAsia="Times New Roman" w:cs="Times New Roman"/>
                <w:b w:val="0"/>
                <w:color w:val="000000"/>
                <w:sz w:val="24"/>
                <w:szCs w:val="24"/>
                <w:highlight w:val="none"/>
              </w:rPr>
              <w:t xml:space="preserve"> to 2.61 × 10</w:t>
            </w:r>
            <w:r>
              <w:rPr>
                <w:rFonts w:hint="default" w:ascii="Times New Roman" w:hAnsi="Times New Roman" w:eastAsia="Times New Roman" w:cs="Times New Roman"/>
                <w:b w:val="0"/>
                <w:color w:val="000000"/>
                <w:sz w:val="24"/>
                <w:szCs w:val="24"/>
                <w:highlight w:val="none"/>
                <w:vertAlign w:val="superscript"/>
              </w:rPr>
              <w:t>–</w:t>
            </w:r>
            <w:r>
              <w:rPr>
                <w:rFonts w:hint="default" w:ascii="Times New Roman" w:hAnsi="Times New Roman" w:eastAsia="宋体" w:cs="Times New Roman"/>
                <w:b w:val="0"/>
                <w:color w:val="000000"/>
                <w:sz w:val="24"/>
                <w:szCs w:val="24"/>
                <w:highlight w:val="none"/>
                <w:vertAlign w:val="superscript"/>
                <w:lang w:val="en-US" w:eastAsia="zh-CN"/>
              </w:rPr>
              <w:t>2</w:t>
            </w:r>
          </w:p>
        </w:tc>
        <w:tc>
          <w:tcPr>
            <w:tcW w:w="1048" w:type="dxa"/>
            <w:tcBorders>
              <w:bottom w:val="single" w:color="000000" w:sz="12" w:space="0"/>
            </w:tcBorders>
            <w:shd w:val="clear" w:color="auto" w:fill="FFFFFF"/>
            <w:tcMar>
              <w:top w:w="90" w:type="dxa"/>
              <w:left w:w="90" w:type="dxa"/>
              <w:bottom w:w="90" w:type="dxa"/>
              <w:right w:w="90" w:type="dxa"/>
            </w:tcMar>
            <w:vAlign w:val="center"/>
          </w:tcPr>
          <w:p w14:paraId="5CB5C5FD">
            <w:pPr>
              <w:spacing w:before="20" w:after="20"/>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&lt;0.001</w:t>
            </w:r>
          </w:p>
        </w:tc>
      </w:tr>
    </w:tbl>
    <w:p w14:paraId="02623368">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 xml:space="preserve">Odds ratios with 95% confidence intervals were estimated using Firth penalized logistic regression because conventional logistic regression showed quasi-complete or complete separation for f-wave amplitude. </w:t>
      </w:r>
    </w:p>
    <w:p w14:paraId="5FC3E36B">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*The multivariable model was adjusted for age, sex, drinking history, CHA₂DS₂-VASc score, low-density lipoprotein cholesterol, triiodothyronine, and left atrial diameter.</w:t>
      </w:r>
    </w:p>
    <w:p w14:paraId="7B2D107E">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b/>
          <w:bCs/>
          <w:kern w:val="2"/>
          <w:sz w:val="24"/>
          <w:szCs w:val="24"/>
          <w:highlight w:val="none"/>
          <w:lang w:val="en-US" w:eastAsia="zh-CN" w:bidi="ar"/>
        </w:rPr>
        <w:t xml:space="preserve">Abbreviations: </w:t>
      </w:r>
      <w:r>
        <w:rPr>
          <w:rFonts w:hint="default" w:ascii="Times New Roman" w:hAnsi="Times New Roman" w:eastAsia="宋体" w:cs="Times New Roman"/>
          <w:kern w:val="2"/>
          <w:sz w:val="24"/>
          <w:szCs w:val="24"/>
          <w:highlight w:val="none"/>
          <w:lang w:val="en-US" w:eastAsia="zh-CN" w:bidi="ar"/>
        </w:rPr>
        <w:t>SE, standard error; OR, odds ratio; CI, confidence interval.</w:t>
      </w:r>
    </w:p>
    <w:p w14:paraId="797DD1AC">
      <w:pPr>
        <w:spacing w:before="80" w:after="0" w:line="240" w:lineRule="auto"/>
        <w:rPr>
          <w:rFonts w:hint="default" w:ascii="Times New Roman" w:hAnsi="Times New Roman" w:eastAsia="Times New Roman" w:cs="Times New Roman"/>
          <w:sz w:val="24"/>
          <w:szCs w:val="24"/>
          <w:highlight w:val="none"/>
        </w:rPr>
      </w:pPr>
    </w:p>
    <w:p w14:paraId="7E7F66D1">
      <w:pPr>
        <w:spacing w:line="480" w:lineRule="auto"/>
        <w:rPr>
          <w:rFonts w:hint="default" w:ascii="Times New Roman" w:hAnsi="Times New Roman" w:cs="Times New Roman"/>
          <w:b w:val="0"/>
          <w:bCs w:val="0"/>
          <w:kern w:val="0"/>
          <w:sz w:val="24"/>
          <w:szCs w:val="24"/>
          <w:highlight w:val="none"/>
          <w:lang w:val="en-US" w:eastAsia="zh-CN" w:bidi="ar"/>
        </w:rPr>
      </w:pPr>
      <w:r>
        <w:rPr>
          <w:rFonts w:hint="default" w:ascii="Times New Roman" w:hAnsi="Times New Roman" w:cs="Times New Roman" w:eastAsiaTheme="minorEastAsia"/>
          <w:b/>
          <w:bCs/>
          <w:kern w:val="0"/>
          <w:sz w:val="24"/>
          <w:szCs w:val="24"/>
          <w:highlight w:val="none"/>
          <w:lang w:val="en-US" w:eastAsia="zh-CN" w:bidi="ar"/>
        </w:rPr>
        <w:t>Supplementary Table S2.</w:t>
      </w:r>
      <w:r>
        <w:rPr>
          <w:rFonts w:hint="default" w:ascii="Times New Roman" w:hAnsi="Times New Roman" w:cs="Times New Roman" w:eastAsiaTheme="minorEastAsia"/>
          <w:b w:val="0"/>
          <w:bCs w:val="0"/>
          <w:kern w:val="0"/>
          <w:sz w:val="24"/>
          <w:szCs w:val="24"/>
          <w:highlight w:val="none"/>
          <w:lang w:val="en-US" w:eastAsia="zh-CN" w:bidi="ar"/>
        </w:rPr>
        <w:t xml:space="preserve"> Variance inflation factor summary for the incrementally adjusted logistic regression models evaluating the association between continuous LDL-C levels and left atrial low-voltage areas</w:t>
      </w:r>
      <w:r>
        <w:rPr>
          <w:rFonts w:hint="default" w:ascii="Times New Roman" w:hAnsi="Times New Roman" w:cs="Times New Roman"/>
          <w:b w:val="0"/>
          <w:bCs w:val="0"/>
          <w:kern w:val="0"/>
          <w:sz w:val="24"/>
          <w:szCs w:val="24"/>
          <w:highlight w:val="none"/>
          <w:lang w:val="en-US" w:eastAsia="zh-CN" w:bidi="ar"/>
        </w:rPr>
        <w:t>.</w:t>
      </w:r>
    </w:p>
    <w:tbl>
      <w:tblPr>
        <w:tblStyle w:val="8"/>
        <w:tblW w:w="8503" w:type="dxa"/>
        <w:jc w:val="center"/>
        <w:tblBorders>
          <w:top w:val="single" w:color="000000" w:sz="8" w:space="0"/>
          <w:left w:val="none" w:color="000000" w:sz="8" w:space="0"/>
          <w:bottom w:val="single" w:color="000000" w:sz="8" w:space="0"/>
          <w:right w:val="none" w:color="000000" w:sz="8" w:space="0"/>
          <w:insideH w:val="single" w:color="000000" w:sz="8" w:space="0"/>
          <w:insideV w:val="none" w:color="000000" w:sz="8" w:space="0"/>
        </w:tblBorders>
        <w:tblLayout w:type="autofit"/>
        <w:tblCellMar>
          <w:top w:w="0" w:type="dxa"/>
          <w:left w:w="108" w:type="dxa"/>
          <w:bottom w:w="0" w:type="dxa"/>
          <w:right w:w="108" w:type="dxa"/>
        </w:tblCellMar>
      </w:tblPr>
      <w:tblGrid>
        <w:gridCol w:w="1352"/>
        <w:gridCol w:w="1240"/>
        <w:gridCol w:w="1395"/>
        <w:gridCol w:w="1655"/>
        <w:gridCol w:w="2861"/>
      </w:tblGrid>
      <w:tr w14:paraId="46D0F30C">
        <w:tblPrEx>
          <w:tblBorders>
            <w:top w:val="single" w:color="000000" w:sz="8" w:space="0"/>
            <w:left w:val="none" w:color="000000" w:sz="8" w:space="0"/>
            <w:bottom w:val="single" w:color="000000" w:sz="8" w:space="0"/>
            <w:right w:val="none" w:color="000000" w:sz="8" w:space="0"/>
            <w:insideH w:val="single" w:color="000000" w:sz="8" w:space="0"/>
            <w:insideV w:val="none" w:color="000000" w:sz="8" w:space="0"/>
          </w:tblBorders>
          <w:tblCellMar>
            <w:top w:w="0" w:type="dxa"/>
            <w:left w:w="108" w:type="dxa"/>
            <w:bottom w:w="0" w:type="dxa"/>
            <w:right w:w="108" w:type="dxa"/>
          </w:tblCellMar>
        </w:tblPrEx>
        <w:trPr>
          <w:trHeight w:val="0" w:hRule="atLeast"/>
          <w:tblHeader/>
          <w:jc w:val="center"/>
        </w:trPr>
        <w:tc>
          <w:tcPr>
            <w:tcW w:w="0" w:type="auto"/>
            <w:tcBorders>
              <w:top w:val="single" w:color="000000" w:sz="12" w:space="0"/>
              <w:bottom w:val="single" w:color="000000" w:sz="4" w:space="0"/>
              <w:tl2br w:val="nil"/>
            </w:tcBorders>
            <w:shd w:val="clear" w:color="auto" w:fill="FFFFFF"/>
            <w:tcMar>
              <w:top w:w="80" w:type="dxa"/>
              <w:left w:w="100" w:type="dxa"/>
              <w:bottom w:w="80" w:type="dxa"/>
              <w:right w:w="100" w:type="dxa"/>
            </w:tcMar>
            <w:vAlign w:val="center"/>
          </w:tcPr>
          <w:p w14:paraId="4A27FFB0">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Model</w:t>
            </w:r>
          </w:p>
        </w:tc>
        <w:tc>
          <w:tcPr>
            <w:tcW w:w="0" w:type="auto"/>
            <w:tcBorders>
              <w:top w:val="single" w:color="000000" w:sz="12" w:space="0"/>
              <w:bottom w:val="single" w:color="000000" w:sz="4" w:space="0"/>
            </w:tcBorders>
            <w:shd w:val="clear" w:color="auto" w:fill="FFFFFF"/>
            <w:tcMar>
              <w:top w:w="80" w:type="dxa"/>
              <w:left w:w="100" w:type="dxa"/>
              <w:bottom w:w="80" w:type="dxa"/>
              <w:right w:w="100" w:type="dxa"/>
            </w:tcMar>
            <w:vAlign w:val="center"/>
          </w:tcPr>
          <w:p w14:paraId="219EE3B4">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Max VIF</w:t>
            </w:r>
          </w:p>
        </w:tc>
        <w:tc>
          <w:tcPr>
            <w:tcW w:w="0" w:type="auto"/>
            <w:tcBorders>
              <w:top w:val="single" w:color="000000" w:sz="12" w:space="0"/>
              <w:bottom w:val="single" w:color="000000" w:sz="4" w:space="0"/>
            </w:tcBorders>
            <w:shd w:val="clear" w:color="auto" w:fill="FFFFFF"/>
            <w:tcMar>
              <w:top w:w="80" w:type="dxa"/>
              <w:left w:w="100" w:type="dxa"/>
              <w:bottom w:w="80" w:type="dxa"/>
              <w:right w:w="100" w:type="dxa"/>
            </w:tcMar>
            <w:vAlign w:val="center"/>
          </w:tcPr>
          <w:p w14:paraId="44999678">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Mean VIF</w:t>
            </w:r>
          </w:p>
        </w:tc>
        <w:tc>
          <w:tcPr>
            <w:tcW w:w="0" w:type="auto"/>
            <w:tcBorders>
              <w:top w:val="single" w:color="000000" w:sz="12" w:space="0"/>
              <w:bottom w:val="single" w:color="000000" w:sz="4" w:space="0"/>
            </w:tcBorders>
            <w:shd w:val="clear" w:color="auto" w:fill="FFFFFF"/>
            <w:tcMar>
              <w:top w:w="80" w:type="dxa"/>
              <w:left w:w="100" w:type="dxa"/>
              <w:bottom w:w="80" w:type="dxa"/>
              <w:right w:w="100" w:type="dxa"/>
            </w:tcMar>
            <w:vAlign w:val="center"/>
          </w:tcPr>
          <w:p w14:paraId="5AB90CFD">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Any VIF &gt; 5</w:t>
            </w:r>
          </w:p>
        </w:tc>
        <w:tc>
          <w:tcPr>
            <w:tcW w:w="2861" w:type="dxa"/>
            <w:tcBorders>
              <w:top w:val="single" w:color="000000" w:sz="12" w:space="0"/>
              <w:bottom w:val="single" w:color="000000" w:sz="4" w:space="0"/>
            </w:tcBorders>
            <w:shd w:val="clear" w:color="auto" w:fill="FFFFFF"/>
            <w:tcMar>
              <w:top w:w="80" w:type="dxa"/>
              <w:left w:w="100" w:type="dxa"/>
              <w:bottom w:w="80" w:type="dxa"/>
              <w:right w:w="100" w:type="dxa"/>
            </w:tcMar>
            <w:vAlign w:val="center"/>
          </w:tcPr>
          <w:p w14:paraId="6760310E">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Number of predictors</w:t>
            </w:r>
          </w:p>
        </w:tc>
      </w:tr>
      <w:tr w14:paraId="61B87B7F">
        <w:tblPrEx>
          <w:tblBorders>
            <w:top w:val="single" w:color="000000" w:sz="8" w:space="0"/>
            <w:left w:val="none" w:color="000000" w:sz="8" w:space="0"/>
            <w:bottom w:val="single" w:color="000000" w:sz="8" w:space="0"/>
            <w:right w:val="none" w:color="000000" w:sz="8" w:space="0"/>
            <w:insideH w:val="single" w:color="000000" w:sz="8" w:space="0"/>
            <w:insideV w:val="none" w:color="000000" w:sz="8" w:space="0"/>
          </w:tblBorders>
          <w:tblCellMar>
            <w:top w:w="0" w:type="dxa"/>
            <w:left w:w="108" w:type="dxa"/>
            <w:bottom w:w="0" w:type="dxa"/>
            <w:right w:w="108" w:type="dxa"/>
          </w:tblCellMar>
        </w:tblPrEx>
        <w:trPr>
          <w:trHeight w:val="0" w:hRule="atLeast"/>
          <w:jc w:val="center"/>
        </w:trPr>
        <w:tc>
          <w:tcPr>
            <w:tcW w:w="0" w:type="auto"/>
            <w:tcBorders>
              <w:top w:val="single" w:color="000000" w:sz="4" w:space="0"/>
              <w:bottom w:val="nil"/>
            </w:tcBorders>
            <w:shd w:val="clear" w:color="auto" w:fill="FFFFFF"/>
            <w:tcMar>
              <w:top w:w="90" w:type="dxa"/>
              <w:left w:w="110" w:type="dxa"/>
              <w:bottom w:w="90" w:type="dxa"/>
              <w:right w:w="110" w:type="dxa"/>
            </w:tcMar>
            <w:vAlign w:val="center"/>
          </w:tcPr>
          <w:p w14:paraId="4A7D76EE">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Model 1a</w:t>
            </w:r>
          </w:p>
        </w:tc>
        <w:tc>
          <w:tcPr>
            <w:tcW w:w="0" w:type="auto"/>
            <w:tcBorders>
              <w:top w:val="single" w:color="000000" w:sz="4" w:space="0"/>
              <w:bottom w:val="nil"/>
            </w:tcBorders>
            <w:shd w:val="clear" w:color="auto" w:fill="FFFFFF"/>
            <w:tcMar>
              <w:top w:w="90" w:type="dxa"/>
              <w:left w:w="110" w:type="dxa"/>
              <w:bottom w:w="90" w:type="dxa"/>
              <w:right w:w="110" w:type="dxa"/>
            </w:tcMar>
            <w:vAlign w:val="center"/>
          </w:tcPr>
          <w:p w14:paraId="630E8056">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1.056</w:t>
            </w:r>
          </w:p>
        </w:tc>
        <w:tc>
          <w:tcPr>
            <w:tcW w:w="0" w:type="auto"/>
            <w:tcBorders>
              <w:top w:val="single" w:color="000000" w:sz="4" w:space="0"/>
              <w:bottom w:val="nil"/>
            </w:tcBorders>
            <w:shd w:val="clear" w:color="auto" w:fill="FFFFFF"/>
            <w:tcMar>
              <w:top w:w="90" w:type="dxa"/>
              <w:left w:w="110" w:type="dxa"/>
              <w:bottom w:w="90" w:type="dxa"/>
              <w:right w:w="110" w:type="dxa"/>
            </w:tcMar>
            <w:vAlign w:val="center"/>
          </w:tcPr>
          <w:p w14:paraId="5594039A">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1.044</w:t>
            </w:r>
          </w:p>
        </w:tc>
        <w:tc>
          <w:tcPr>
            <w:tcW w:w="0" w:type="auto"/>
            <w:tcBorders>
              <w:top w:val="single" w:color="000000" w:sz="4" w:space="0"/>
              <w:bottom w:val="nil"/>
            </w:tcBorders>
            <w:shd w:val="clear" w:color="auto" w:fill="FFFFFF"/>
            <w:tcMar>
              <w:top w:w="90" w:type="dxa"/>
              <w:left w:w="110" w:type="dxa"/>
              <w:bottom w:w="90" w:type="dxa"/>
              <w:right w:w="110" w:type="dxa"/>
            </w:tcMar>
            <w:vAlign w:val="center"/>
          </w:tcPr>
          <w:p w14:paraId="620B77E2">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No</w:t>
            </w:r>
          </w:p>
        </w:tc>
        <w:tc>
          <w:tcPr>
            <w:tcW w:w="2861" w:type="dxa"/>
            <w:tcBorders>
              <w:top w:val="single" w:color="000000" w:sz="4" w:space="0"/>
              <w:bottom w:val="nil"/>
            </w:tcBorders>
            <w:shd w:val="clear" w:color="auto" w:fill="FFFFFF"/>
            <w:tcMar>
              <w:top w:w="90" w:type="dxa"/>
              <w:left w:w="110" w:type="dxa"/>
              <w:bottom w:w="90" w:type="dxa"/>
              <w:right w:w="110" w:type="dxa"/>
            </w:tcMar>
            <w:vAlign w:val="center"/>
          </w:tcPr>
          <w:p w14:paraId="63AF61EC">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w:t>
            </w:r>
          </w:p>
        </w:tc>
      </w:tr>
      <w:tr w14:paraId="7B5553DA">
        <w:tblPrEx>
          <w:tblBorders>
            <w:top w:val="single" w:color="000000" w:sz="8" w:space="0"/>
            <w:left w:val="none" w:color="000000" w:sz="8" w:space="0"/>
            <w:bottom w:val="single" w:color="000000" w:sz="8" w:space="0"/>
            <w:right w:val="none" w:color="000000" w:sz="8" w:space="0"/>
            <w:insideH w:val="single" w:color="000000" w:sz="8" w:space="0"/>
            <w:insideV w:val="none" w:color="000000" w:sz="8" w:space="0"/>
          </w:tblBorders>
          <w:tblCellMar>
            <w:top w:w="0" w:type="dxa"/>
            <w:left w:w="108" w:type="dxa"/>
            <w:bottom w:w="0" w:type="dxa"/>
            <w:right w:w="108" w:type="dxa"/>
          </w:tblCellMar>
        </w:tblPrEx>
        <w:trPr>
          <w:trHeight w:val="0" w:hRule="atLeast"/>
          <w:jc w:val="center"/>
        </w:trPr>
        <w:tc>
          <w:tcPr>
            <w:tcW w:w="0" w:type="auto"/>
            <w:tcBorders>
              <w:top w:val="nil"/>
              <w:bottom w:val="nil"/>
            </w:tcBorders>
            <w:shd w:val="clear" w:color="auto" w:fill="FFFFFF"/>
            <w:tcMar>
              <w:top w:w="90" w:type="dxa"/>
              <w:left w:w="110" w:type="dxa"/>
              <w:bottom w:w="90" w:type="dxa"/>
              <w:right w:w="110" w:type="dxa"/>
            </w:tcMar>
            <w:vAlign w:val="center"/>
          </w:tcPr>
          <w:p w14:paraId="31355617">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Model 2a</w:t>
            </w:r>
          </w:p>
        </w:tc>
        <w:tc>
          <w:tcPr>
            <w:tcW w:w="0" w:type="auto"/>
            <w:tcBorders>
              <w:top w:val="nil"/>
              <w:bottom w:val="nil"/>
            </w:tcBorders>
            <w:shd w:val="clear" w:color="auto" w:fill="FFFFFF"/>
            <w:tcMar>
              <w:top w:w="90" w:type="dxa"/>
              <w:left w:w="110" w:type="dxa"/>
              <w:bottom w:w="90" w:type="dxa"/>
              <w:right w:w="110" w:type="dxa"/>
            </w:tcMar>
            <w:vAlign w:val="center"/>
          </w:tcPr>
          <w:p w14:paraId="3DD0FD81">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1.210</w:t>
            </w:r>
          </w:p>
        </w:tc>
        <w:tc>
          <w:tcPr>
            <w:tcW w:w="0" w:type="auto"/>
            <w:tcBorders>
              <w:top w:val="nil"/>
              <w:bottom w:val="nil"/>
            </w:tcBorders>
            <w:shd w:val="clear" w:color="auto" w:fill="FFFFFF"/>
            <w:tcMar>
              <w:top w:w="90" w:type="dxa"/>
              <w:left w:w="110" w:type="dxa"/>
              <w:bottom w:w="90" w:type="dxa"/>
              <w:right w:w="110" w:type="dxa"/>
            </w:tcMar>
            <w:vAlign w:val="center"/>
          </w:tcPr>
          <w:p w14:paraId="628E822A">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1.078</w:t>
            </w:r>
          </w:p>
        </w:tc>
        <w:tc>
          <w:tcPr>
            <w:tcW w:w="0" w:type="auto"/>
            <w:tcBorders>
              <w:top w:val="nil"/>
              <w:bottom w:val="nil"/>
            </w:tcBorders>
            <w:shd w:val="clear" w:color="auto" w:fill="FFFFFF"/>
            <w:tcMar>
              <w:top w:w="90" w:type="dxa"/>
              <w:left w:w="110" w:type="dxa"/>
              <w:bottom w:w="90" w:type="dxa"/>
              <w:right w:w="110" w:type="dxa"/>
            </w:tcMar>
            <w:vAlign w:val="center"/>
          </w:tcPr>
          <w:p w14:paraId="6FD97036">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No</w:t>
            </w:r>
          </w:p>
        </w:tc>
        <w:tc>
          <w:tcPr>
            <w:tcW w:w="2861" w:type="dxa"/>
            <w:tcBorders>
              <w:top w:val="nil"/>
              <w:bottom w:val="nil"/>
            </w:tcBorders>
            <w:shd w:val="clear" w:color="auto" w:fill="FFFFFF"/>
            <w:tcMar>
              <w:top w:w="90" w:type="dxa"/>
              <w:left w:w="110" w:type="dxa"/>
              <w:bottom w:w="90" w:type="dxa"/>
              <w:right w:w="110" w:type="dxa"/>
            </w:tcMar>
            <w:vAlign w:val="center"/>
          </w:tcPr>
          <w:p w14:paraId="3DAC03DA">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11</w:t>
            </w:r>
          </w:p>
        </w:tc>
      </w:tr>
      <w:tr w14:paraId="4BD2C99E">
        <w:tblPrEx>
          <w:tblBorders>
            <w:top w:val="single" w:color="000000" w:sz="8" w:space="0"/>
            <w:left w:val="none" w:color="000000" w:sz="8" w:space="0"/>
            <w:bottom w:val="single" w:color="000000" w:sz="8" w:space="0"/>
            <w:right w:val="none" w:color="000000" w:sz="8" w:space="0"/>
            <w:insideH w:val="single" w:color="000000" w:sz="8" w:space="0"/>
            <w:insideV w:val="none" w:color="000000" w:sz="8" w:space="0"/>
          </w:tblBorders>
          <w:tblCellMar>
            <w:top w:w="0" w:type="dxa"/>
            <w:left w:w="108" w:type="dxa"/>
            <w:bottom w:w="0" w:type="dxa"/>
            <w:right w:w="108" w:type="dxa"/>
          </w:tblCellMar>
        </w:tblPrEx>
        <w:trPr>
          <w:trHeight w:val="0" w:hRule="atLeast"/>
          <w:jc w:val="center"/>
        </w:trPr>
        <w:tc>
          <w:tcPr>
            <w:tcW w:w="0" w:type="auto"/>
            <w:tcBorders>
              <w:top w:val="nil"/>
              <w:bottom w:val="nil"/>
            </w:tcBorders>
            <w:shd w:val="clear" w:color="auto" w:fill="FFFFFF"/>
            <w:tcMar>
              <w:top w:w="90" w:type="dxa"/>
              <w:left w:w="110" w:type="dxa"/>
              <w:bottom w:w="90" w:type="dxa"/>
              <w:right w:w="110" w:type="dxa"/>
            </w:tcMar>
            <w:vAlign w:val="center"/>
          </w:tcPr>
          <w:p w14:paraId="20D35499">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Model 3a</w:t>
            </w:r>
          </w:p>
        </w:tc>
        <w:tc>
          <w:tcPr>
            <w:tcW w:w="0" w:type="auto"/>
            <w:tcBorders>
              <w:top w:val="nil"/>
              <w:bottom w:val="nil"/>
            </w:tcBorders>
            <w:shd w:val="clear" w:color="auto" w:fill="FFFFFF"/>
            <w:tcMar>
              <w:top w:w="90" w:type="dxa"/>
              <w:left w:w="110" w:type="dxa"/>
              <w:bottom w:w="90" w:type="dxa"/>
              <w:right w:w="110" w:type="dxa"/>
            </w:tcMar>
            <w:vAlign w:val="center"/>
          </w:tcPr>
          <w:p w14:paraId="00D4795A">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1.412</w:t>
            </w:r>
          </w:p>
        </w:tc>
        <w:tc>
          <w:tcPr>
            <w:tcW w:w="0" w:type="auto"/>
            <w:tcBorders>
              <w:top w:val="nil"/>
              <w:bottom w:val="nil"/>
            </w:tcBorders>
            <w:shd w:val="clear" w:color="auto" w:fill="FFFFFF"/>
            <w:tcMar>
              <w:top w:w="90" w:type="dxa"/>
              <w:left w:w="110" w:type="dxa"/>
              <w:bottom w:w="90" w:type="dxa"/>
              <w:right w:w="110" w:type="dxa"/>
            </w:tcMar>
            <w:vAlign w:val="center"/>
          </w:tcPr>
          <w:p w14:paraId="54229D1E">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1.190</w:t>
            </w:r>
          </w:p>
        </w:tc>
        <w:tc>
          <w:tcPr>
            <w:tcW w:w="0" w:type="auto"/>
            <w:tcBorders>
              <w:top w:val="nil"/>
              <w:bottom w:val="nil"/>
            </w:tcBorders>
            <w:shd w:val="clear" w:color="auto" w:fill="FFFFFF"/>
            <w:tcMar>
              <w:top w:w="90" w:type="dxa"/>
              <w:left w:w="110" w:type="dxa"/>
              <w:bottom w:w="90" w:type="dxa"/>
              <w:right w:w="110" w:type="dxa"/>
            </w:tcMar>
            <w:vAlign w:val="center"/>
          </w:tcPr>
          <w:p w14:paraId="280B1F01">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No</w:t>
            </w:r>
          </w:p>
        </w:tc>
        <w:tc>
          <w:tcPr>
            <w:tcW w:w="2861" w:type="dxa"/>
            <w:tcBorders>
              <w:top w:val="nil"/>
              <w:bottom w:val="nil"/>
            </w:tcBorders>
            <w:shd w:val="clear" w:color="auto" w:fill="FFFFFF"/>
            <w:tcMar>
              <w:top w:w="90" w:type="dxa"/>
              <w:left w:w="110" w:type="dxa"/>
              <w:bottom w:w="90" w:type="dxa"/>
              <w:right w:w="110" w:type="dxa"/>
            </w:tcMar>
            <w:vAlign w:val="center"/>
          </w:tcPr>
          <w:p w14:paraId="54C4868B">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15</w:t>
            </w:r>
          </w:p>
        </w:tc>
      </w:tr>
      <w:tr w14:paraId="05635537">
        <w:tblPrEx>
          <w:tblBorders>
            <w:top w:val="single" w:color="000000" w:sz="8" w:space="0"/>
            <w:left w:val="none" w:color="000000" w:sz="8" w:space="0"/>
            <w:bottom w:val="single" w:color="000000" w:sz="8" w:space="0"/>
            <w:right w:val="none" w:color="000000" w:sz="8" w:space="0"/>
            <w:insideH w:val="single" w:color="000000" w:sz="8" w:space="0"/>
            <w:insideV w:val="none" w:color="000000" w:sz="8" w:space="0"/>
          </w:tblBorders>
          <w:tblCellMar>
            <w:top w:w="0" w:type="dxa"/>
            <w:left w:w="108" w:type="dxa"/>
            <w:bottom w:w="0" w:type="dxa"/>
            <w:right w:w="108" w:type="dxa"/>
          </w:tblCellMar>
        </w:tblPrEx>
        <w:trPr>
          <w:trHeight w:val="0" w:hRule="atLeast"/>
          <w:jc w:val="center"/>
        </w:trPr>
        <w:tc>
          <w:tcPr>
            <w:tcW w:w="1352" w:type="dxa"/>
            <w:tcBorders>
              <w:top w:val="nil"/>
              <w:bottom w:val="nil"/>
            </w:tcBorders>
            <w:shd w:val="clear" w:color="auto" w:fill="FFFFFF"/>
            <w:tcMar>
              <w:top w:w="90" w:type="dxa"/>
              <w:left w:w="110" w:type="dxa"/>
              <w:bottom w:w="90" w:type="dxa"/>
              <w:right w:w="110" w:type="dxa"/>
            </w:tcMar>
            <w:vAlign w:val="center"/>
          </w:tcPr>
          <w:p w14:paraId="2C9A1407">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Model 4a</w:t>
            </w:r>
          </w:p>
        </w:tc>
        <w:tc>
          <w:tcPr>
            <w:tcW w:w="1240" w:type="dxa"/>
            <w:tcBorders>
              <w:top w:val="nil"/>
              <w:bottom w:val="nil"/>
            </w:tcBorders>
            <w:shd w:val="clear" w:color="auto" w:fill="FFFFFF"/>
            <w:tcMar>
              <w:top w:w="90" w:type="dxa"/>
              <w:left w:w="110" w:type="dxa"/>
              <w:bottom w:w="90" w:type="dxa"/>
              <w:right w:w="110" w:type="dxa"/>
            </w:tcMar>
            <w:vAlign w:val="center"/>
          </w:tcPr>
          <w:p w14:paraId="32E2D43D">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1.415</w:t>
            </w:r>
          </w:p>
        </w:tc>
        <w:tc>
          <w:tcPr>
            <w:tcW w:w="1395" w:type="dxa"/>
            <w:tcBorders>
              <w:top w:val="nil"/>
              <w:bottom w:val="nil"/>
            </w:tcBorders>
            <w:shd w:val="clear" w:color="auto" w:fill="FFFFFF"/>
            <w:tcMar>
              <w:top w:w="90" w:type="dxa"/>
              <w:left w:w="110" w:type="dxa"/>
              <w:bottom w:w="90" w:type="dxa"/>
              <w:right w:w="110" w:type="dxa"/>
            </w:tcMar>
            <w:vAlign w:val="center"/>
          </w:tcPr>
          <w:p w14:paraId="0AC77B6D">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1.214</w:t>
            </w:r>
          </w:p>
        </w:tc>
        <w:tc>
          <w:tcPr>
            <w:tcW w:w="1655" w:type="dxa"/>
            <w:tcBorders>
              <w:top w:val="nil"/>
              <w:bottom w:val="nil"/>
            </w:tcBorders>
            <w:shd w:val="clear" w:color="auto" w:fill="FFFFFF"/>
            <w:tcMar>
              <w:top w:w="90" w:type="dxa"/>
              <w:left w:w="110" w:type="dxa"/>
              <w:bottom w:w="90" w:type="dxa"/>
              <w:right w:w="110" w:type="dxa"/>
            </w:tcMar>
            <w:vAlign w:val="center"/>
          </w:tcPr>
          <w:p w14:paraId="3A51BDD3">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No</w:t>
            </w:r>
          </w:p>
        </w:tc>
        <w:tc>
          <w:tcPr>
            <w:tcW w:w="2861" w:type="dxa"/>
            <w:tcBorders>
              <w:top w:val="nil"/>
              <w:bottom w:val="nil"/>
            </w:tcBorders>
            <w:shd w:val="clear" w:color="auto" w:fill="FFFFFF"/>
            <w:tcMar>
              <w:top w:w="90" w:type="dxa"/>
              <w:left w:w="110" w:type="dxa"/>
              <w:bottom w:w="90" w:type="dxa"/>
              <w:right w:w="110" w:type="dxa"/>
            </w:tcMar>
            <w:vAlign w:val="center"/>
          </w:tcPr>
          <w:p w14:paraId="76480792">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16</w:t>
            </w:r>
          </w:p>
        </w:tc>
      </w:tr>
      <w:tr w14:paraId="4A8BDCAE">
        <w:tblPrEx>
          <w:tblBorders>
            <w:top w:val="single" w:color="000000" w:sz="8" w:space="0"/>
            <w:left w:val="none" w:color="000000" w:sz="8" w:space="0"/>
            <w:bottom w:val="single" w:color="000000" w:sz="8" w:space="0"/>
            <w:right w:val="none" w:color="000000" w:sz="8" w:space="0"/>
            <w:insideH w:val="single" w:color="000000" w:sz="8" w:space="0"/>
            <w:insideV w:val="none" w:color="000000" w:sz="8" w:space="0"/>
          </w:tblBorders>
          <w:tblCellMar>
            <w:top w:w="0" w:type="dxa"/>
            <w:left w:w="108" w:type="dxa"/>
            <w:bottom w:w="0" w:type="dxa"/>
            <w:right w:w="108" w:type="dxa"/>
          </w:tblCellMar>
        </w:tblPrEx>
        <w:trPr>
          <w:trHeight w:val="0" w:hRule="atLeast"/>
          <w:jc w:val="center"/>
        </w:trPr>
        <w:tc>
          <w:tcPr>
            <w:tcW w:w="1352" w:type="dxa"/>
            <w:tcBorders>
              <w:top w:val="nil"/>
              <w:bottom w:val="nil"/>
            </w:tcBorders>
            <w:shd w:val="clear" w:color="auto" w:fill="FFFFFF"/>
            <w:tcMar>
              <w:top w:w="90" w:type="dxa"/>
              <w:left w:w="110" w:type="dxa"/>
              <w:bottom w:w="90" w:type="dxa"/>
              <w:right w:w="110" w:type="dxa"/>
            </w:tcMar>
            <w:vAlign w:val="center"/>
          </w:tcPr>
          <w:p w14:paraId="04140FC7">
            <w:pPr>
              <w:snapToGrid w:val="0"/>
              <w:spacing w:before="0" w:after="0"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Times New Roman" w:cs="Times New Roman"/>
                <w:b w:val="0"/>
                <w:color w:val="000000"/>
                <w:sz w:val="24"/>
                <w:szCs w:val="24"/>
                <w:highlight w:val="none"/>
              </w:rPr>
              <w:t xml:space="preserve">Model </w:t>
            </w:r>
            <w:r>
              <w:rPr>
                <w:rFonts w:hint="default" w:ascii="Times New Roman" w:hAnsi="Times New Roman" w:eastAsia="宋体" w:cs="Times New Roman"/>
                <w:b w:val="0"/>
                <w:color w:val="000000"/>
                <w:sz w:val="24"/>
                <w:szCs w:val="24"/>
                <w:highlight w:val="none"/>
                <w:lang w:val="en-US" w:eastAsia="zh-CN"/>
              </w:rPr>
              <w:t>5a</w:t>
            </w:r>
          </w:p>
        </w:tc>
        <w:tc>
          <w:tcPr>
            <w:tcW w:w="1240" w:type="dxa"/>
            <w:tcBorders>
              <w:top w:val="nil"/>
              <w:bottom w:val="nil"/>
            </w:tcBorders>
            <w:shd w:val="clear" w:color="auto" w:fill="FFFFFF"/>
            <w:tcMar>
              <w:top w:w="90" w:type="dxa"/>
              <w:left w:w="110" w:type="dxa"/>
              <w:bottom w:w="90" w:type="dxa"/>
              <w:right w:w="110" w:type="dxa"/>
            </w:tcMar>
            <w:vAlign w:val="center"/>
          </w:tcPr>
          <w:p w14:paraId="1F195623">
            <w:pPr>
              <w:snapToGrid w:val="0"/>
              <w:spacing w:before="0" w:after="0"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宋体" w:cs="Times New Roman"/>
                <w:b w:val="0"/>
                <w:color w:val="000000"/>
                <w:sz w:val="24"/>
                <w:szCs w:val="24"/>
                <w:highlight w:val="none"/>
                <w:lang w:val="en-US" w:eastAsia="zh-CN"/>
              </w:rPr>
              <w:t>1.215</w:t>
            </w:r>
          </w:p>
        </w:tc>
        <w:tc>
          <w:tcPr>
            <w:tcW w:w="1395" w:type="dxa"/>
            <w:tcBorders>
              <w:top w:val="nil"/>
              <w:bottom w:val="nil"/>
            </w:tcBorders>
            <w:shd w:val="clear" w:color="auto" w:fill="FFFFFF"/>
            <w:tcMar>
              <w:top w:w="90" w:type="dxa"/>
              <w:left w:w="110" w:type="dxa"/>
              <w:bottom w:w="90" w:type="dxa"/>
              <w:right w:w="110" w:type="dxa"/>
            </w:tcMar>
            <w:vAlign w:val="center"/>
          </w:tcPr>
          <w:p w14:paraId="379A3B73">
            <w:pPr>
              <w:snapToGrid w:val="0"/>
              <w:spacing w:before="0" w:after="0"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宋体" w:cs="Times New Roman"/>
                <w:b w:val="0"/>
                <w:color w:val="000000"/>
                <w:sz w:val="24"/>
                <w:szCs w:val="24"/>
                <w:highlight w:val="none"/>
                <w:lang w:val="en-US" w:eastAsia="zh-CN"/>
              </w:rPr>
              <w:t>1.131</w:t>
            </w:r>
          </w:p>
        </w:tc>
        <w:tc>
          <w:tcPr>
            <w:tcW w:w="1655" w:type="dxa"/>
            <w:tcBorders>
              <w:top w:val="nil"/>
              <w:bottom w:val="nil"/>
            </w:tcBorders>
            <w:shd w:val="clear" w:color="auto" w:fill="FFFFFF"/>
            <w:tcMar>
              <w:top w:w="90" w:type="dxa"/>
              <w:left w:w="110" w:type="dxa"/>
              <w:bottom w:w="90" w:type="dxa"/>
              <w:right w:w="110" w:type="dxa"/>
            </w:tcMar>
            <w:vAlign w:val="center"/>
          </w:tcPr>
          <w:p w14:paraId="1811292E">
            <w:pPr>
              <w:snapToGrid w:val="0"/>
              <w:spacing w:before="0" w:after="0"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宋体" w:cs="Times New Roman"/>
                <w:b w:val="0"/>
                <w:color w:val="000000"/>
                <w:sz w:val="24"/>
                <w:szCs w:val="24"/>
                <w:highlight w:val="none"/>
                <w:lang w:val="en-US" w:eastAsia="zh-CN"/>
              </w:rPr>
              <w:t>No</w:t>
            </w:r>
          </w:p>
        </w:tc>
        <w:tc>
          <w:tcPr>
            <w:tcW w:w="2861" w:type="dxa"/>
            <w:tcBorders>
              <w:top w:val="nil"/>
              <w:bottom w:val="nil"/>
            </w:tcBorders>
            <w:shd w:val="clear" w:color="auto" w:fill="FFFFFF"/>
            <w:tcMar>
              <w:top w:w="90" w:type="dxa"/>
              <w:left w:w="110" w:type="dxa"/>
              <w:bottom w:w="90" w:type="dxa"/>
              <w:right w:w="110" w:type="dxa"/>
            </w:tcMar>
            <w:vAlign w:val="center"/>
          </w:tcPr>
          <w:p w14:paraId="7CCCE2A6">
            <w:pPr>
              <w:snapToGrid w:val="0"/>
              <w:spacing w:before="0" w:after="0"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宋体" w:cs="Times New Roman"/>
                <w:b w:val="0"/>
                <w:color w:val="000000"/>
                <w:sz w:val="24"/>
                <w:szCs w:val="24"/>
                <w:highlight w:val="none"/>
                <w:lang w:val="en-US" w:eastAsia="zh-CN"/>
              </w:rPr>
              <w:t>8</w:t>
            </w:r>
          </w:p>
        </w:tc>
      </w:tr>
      <w:tr w14:paraId="4B2342AC">
        <w:tblPrEx>
          <w:tblBorders>
            <w:top w:val="single" w:color="000000" w:sz="8" w:space="0"/>
            <w:left w:val="none" w:color="000000" w:sz="8" w:space="0"/>
            <w:bottom w:val="single" w:color="000000" w:sz="8" w:space="0"/>
            <w:right w:val="none" w:color="000000" w:sz="8" w:space="0"/>
            <w:insideH w:val="single" w:color="000000" w:sz="8" w:space="0"/>
            <w:insideV w:val="none" w:color="000000" w:sz="8" w:space="0"/>
          </w:tblBorders>
          <w:tblCellMar>
            <w:top w:w="0" w:type="dxa"/>
            <w:left w:w="108" w:type="dxa"/>
            <w:bottom w:w="0" w:type="dxa"/>
            <w:right w:w="108" w:type="dxa"/>
          </w:tblCellMar>
        </w:tblPrEx>
        <w:trPr>
          <w:trHeight w:val="0" w:hRule="atLeast"/>
          <w:jc w:val="center"/>
        </w:trPr>
        <w:tc>
          <w:tcPr>
            <w:tcW w:w="1352" w:type="dxa"/>
            <w:tcBorders>
              <w:top w:val="nil"/>
              <w:bottom w:val="single" w:color="000000" w:sz="12" w:space="0"/>
            </w:tcBorders>
            <w:shd w:val="clear" w:color="auto" w:fill="FFFFFF"/>
            <w:tcMar>
              <w:top w:w="90" w:type="dxa"/>
              <w:left w:w="110" w:type="dxa"/>
              <w:bottom w:w="90" w:type="dxa"/>
              <w:right w:w="110" w:type="dxa"/>
            </w:tcMar>
            <w:vAlign w:val="center"/>
          </w:tcPr>
          <w:p w14:paraId="5024B7B2">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 xml:space="preserve">Model </w:t>
            </w:r>
            <w:r>
              <w:rPr>
                <w:rFonts w:hint="default" w:ascii="Times New Roman" w:hAnsi="Times New Roman" w:eastAsia="宋体" w:cs="Times New Roman"/>
                <w:b w:val="0"/>
                <w:color w:val="000000"/>
                <w:sz w:val="24"/>
                <w:szCs w:val="24"/>
                <w:highlight w:val="none"/>
                <w:lang w:val="en-US" w:eastAsia="zh-CN"/>
              </w:rPr>
              <w:t>6a</w:t>
            </w:r>
          </w:p>
        </w:tc>
        <w:tc>
          <w:tcPr>
            <w:tcW w:w="1240" w:type="dxa"/>
            <w:tcBorders>
              <w:top w:val="nil"/>
              <w:bottom w:val="single" w:color="000000" w:sz="12" w:space="0"/>
            </w:tcBorders>
            <w:shd w:val="clear" w:color="auto" w:fill="FFFFFF"/>
            <w:tcMar>
              <w:top w:w="90" w:type="dxa"/>
              <w:left w:w="110" w:type="dxa"/>
              <w:bottom w:w="90" w:type="dxa"/>
              <w:right w:w="110" w:type="dxa"/>
            </w:tcMar>
            <w:vAlign w:val="center"/>
          </w:tcPr>
          <w:p w14:paraId="7079AF3B">
            <w:pPr>
              <w:snapToGrid w:val="0"/>
              <w:spacing w:before="0" w:after="0"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宋体" w:cs="Times New Roman"/>
                <w:b w:val="0"/>
                <w:color w:val="000000"/>
                <w:sz w:val="24"/>
                <w:szCs w:val="24"/>
                <w:highlight w:val="none"/>
                <w:lang w:val="en-US" w:eastAsia="zh-CN"/>
              </w:rPr>
              <w:t>1.236</w:t>
            </w:r>
          </w:p>
        </w:tc>
        <w:tc>
          <w:tcPr>
            <w:tcW w:w="1395" w:type="dxa"/>
            <w:tcBorders>
              <w:top w:val="nil"/>
              <w:bottom w:val="single" w:color="000000" w:sz="12" w:space="0"/>
            </w:tcBorders>
            <w:shd w:val="clear" w:color="auto" w:fill="FFFFFF"/>
            <w:tcMar>
              <w:top w:w="90" w:type="dxa"/>
              <w:left w:w="110" w:type="dxa"/>
              <w:bottom w:w="90" w:type="dxa"/>
              <w:right w:w="110" w:type="dxa"/>
            </w:tcMar>
            <w:vAlign w:val="center"/>
          </w:tcPr>
          <w:p w14:paraId="4F07A7BD">
            <w:pPr>
              <w:snapToGrid w:val="0"/>
              <w:spacing w:before="0" w:after="0"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宋体" w:cs="Times New Roman"/>
                <w:b w:val="0"/>
                <w:color w:val="000000"/>
                <w:sz w:val="24"/>
                <w:szCs w:val="24"/>
                <w:highlight w:val="none"/>
                <w:lang w:val="en-US" w:eastAsia="zh-CN"/>
              </w:rPr>
              <w:t>1.145</w:t>
            </w:r>
          </w:p>
        </w:tc>
        <w:tc>
          <w:tcPr>
            <w:tcW w:w="1655" w:type="dxa"/>
            <w:tcBorders>
              <w:top w:val="nil"/>
              <w:bottom w:val="single" w:color="000000" w:sz="12" w:space="0"/>
            </w:tcBorders>
            <w:shd w:val="clear" w:color="auto" w:fill="FFFFFF"/>
            <w:tcMar>
              <w:top w:w="90" w:type="dxa"/>
              <w:left w:w="110" w:type="dxa"/>
              <w:bottom w:w="90" w:type="dxa"/>
              <w:right w:w="110" w:type="dxa"/>
            </w:tcMar>
            <w:vAlign w:val="center"/>
          </w:tcPr>
          <w:p w14:paraId="484D6D91">
            <w:pPr>
              <w:snapToGrid w:val="0"/>
              <w:spacing w:before="0" w:after="0"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宋体" w:cs="Times New Roman"/>
                <w:b w:val="0"/>
                <w:color w:val="000000"/>
                <w:sz w:val="24"/>
                <w:szCs w:val="24"/>
                <w:highlight w:val="none"/>
                <w:lang w:val="en-US" w:eastAsia="zh-CN"/>
              </w:rPr>
              <w:t>No</w:t>
            </w:r>
          </w:p>
        </w:tc>
        <w:tc>
          <w:tcPr>
            <w:tcW w:w="2861" w:type="dxa"/>
            <w:tcBorders>
              <w:top w:val="nil"/>
              <w:bottom w:val="single" w:color="000000" w:sz="12" w:space="0"/>
            </w:tcBorders>
            <w:shd w:val="clear" w:color="auto" w:fill="FFFFFF"/>
            <w:tcMar>
              <w:top w:w="90" w:type="dxa"/>
              <w:left w:w="110" w:type="dxa"/>
              <w:bottom w:w="90" w:type="dxa"/>
              <w:right w:w="110" w:type="dxa"/>
            </w:tcMar>
            <w:vAlign w:val="center"/>
          </w:tcPr>
          <w:p w14:paraId="5C00D5D6">
            <w:pPr>
              <w:snapToGrid w:val="0"/>
              <w:spacing w:before="0" w:after="0"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宋体" w:cs="Times New Roman"/>
                <w:b w:val="0"/>
                <w:color w:val="000000"/>
                <w:sz w:val="24"/>
                <w:szCs w:val="24"/>
                <w:highlight w:val="none"/>
                <w:lang w:val="en-US" w:eastAsia="zh-CN"/>
              </w:rPr>
              <w:t>9</w:t>
            </w:r>
          </w:p>
        </w:tc>
      </w:tr>
    </w:tbl>
    <w:p w14:paraId="70984BF7">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VIF analysis was performed to assess multicollinearity among covariates included in the incrementally adjusted logistic regression models for the presence of LVAs. Max VIF indicates the largest VIF value observed within each model, and Mean VIF indicates the average VIF across all predictors included in that model. No model showed evidence of problematic multicollinearity, as all VIF values were below 5.</w:t>
      </w:r>
    </w:p>
    <w:p w14:paraId="2E6FA57C">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b/>
          <w:bCs/>
          <w:kern w:val="2"/>
          <w:sz w:val="24"/>
          <w:szCs w:val="24"/>
          <w:highlight w:val="none"/>
          <w:lang w:val="en-US" w:eastAsia="zh-CN" w:bidi="ar"/>
        </w:rPr>
        <w:t>Model 1a:</w:t>
      </w:r>
      <w:r>
        <w:rPr>
          <w:rFonts w:hint="default" w:ascii="Times New Roman" w:hAnsi="Times New Roman" w:eastAsia="宋体" w:cs="Times New Roman"/>
          <w:kern w:val="2"/>
          <w:sz w:val="24"/>
          <w:szCs w:val="24"/>
          <w:highlight w:val="none"/>
          <w:lang w:val="en-US" w:eastAsia="zh-CN" w:bidi="ar"/>
        </w:rPr>
        <w:t xml:space="preserve"> Adjusted for age and sex;</w:t>
      </w:r>
    </w:p>
    <w:p w14:paraId="6C63A7DD">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b/>
          <w:bCs/>
          <w:kern w:val="2"/>
          <w:sz w:val="24"/>
          <w:szCs w:val="24"/>
          <w:highlight w:val="none"/>
          <w:lang w:val="en-US" w:eastAsia="zh-CN" w:bidi="ar"/>
        </w:rPr>
        <w:t xml:space="preserve">Model 2a: </w:t>
      </w:r>
      <w:r>
        <w:rPr>
          <w:rFonts w:hint="default" w:ascii="Times New Roman" w:hAnsi="Times New Roman" w:eastAsia="宋体" w:cs="Times New Roman"/>
          <w:kern w:val="2"/>
          <w:sz w:val="24"/>
          <w:szCs w:val="24"/>
          <w:highlight w:val="none"/>
          <w:lang w:val="en-US" w:eastAsia="zh-CN" w:bidi="ar"/>
        </w:rPr>
        <w:t>Adjusted for age, sex, BMI, T3, hypertension, coronary artery disease, heart failure, diabetes, stroke, and COPD;</w:t>
      </w:r>
    </w:p>
    <w:p w14:paraId="41E421F2">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b/>
          <w:bCs/>
          <w:kern w:val="2"/>
          <w:sz w:val="24"/>
          <w:szCs w:val="24"/>
          <w:highlight w:val="none"/>
          <w:lang w:val="en-US" w:eastAsia="zh-CN" w:bidi="ar"/>
        </w:rPr>
        <w:t xml:space="preserve">Model 3a: </w:t>
      </w:r>
      <w:r>
        <w:rPr>
          <w:rFonts w:hint="default" w:ascii="Times New Roman" w:hAnsi="Times New Roman" w:eastAsia="宋体" w:cs="Times New Roman"/>
          <w:kern w:val="2"/>
          <w:sz w:val="24"/>
          <w:szCs w:val="24"/>
          <w:highlight w:val="none"/>
          <w:lang w:val="en-US" w:eastAsia="zh-CN" w:bidi="ar"/>
        </w:rPr>
        <w:t>Adjusted for age, sex, BMI, T3, hypertension, coronary artery disease, heart failure, diabetes, stroke, COPD, hyperlipidemia, triglycerides, HDL-C, and statin use;</w:t>
      </w:r>
    </w:p>
    <w:p w14:paraId="5F11CDA3">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b/>
          <w:bCs/>
          <w:kern w:val="2"/>
          <w:sz w:val="24"/>
          <w:szCs w:val="24"/>
          <w:highlight w:val="none"/>
          <w:lang w:val="en-US" w:eastAsia="zh-CN" w:bidi="ar"/>
        </w:rPr>
        <w:t xml:space="preserve">Model 4a: </w:t>
      </w:r>
      <w:r>
        <w:rPr>
          <w:rFonts w:hint="default" w:ascii="Times New Roman" w:hAnsi="Times New Roman" w:eastAsia="宋体" w:cs="Times New Roman"/>
          <w:kern w:val="2"/>
          <w:sz w:val="24"/>
          <w:szCs w:val="24"/>
          <w:highlight w:val="none"/>
          <w:lang w:val="en-US" w:eastAsia="zh-CN" w:bidi="ar"/>
        </w:rPr>
        <w:t>Adjusted for age, sex, BMI, T3, hypertension, coronary artery disease, heart failure, diabetes, stroke, COPD, hyperlipidemia, triglycerides, HDL-C, statin use, and LAD.</w:t>
      </w:r>
    </w:p>
    <w:p w14:paraId="20C47EAD">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Model 5a: Adjusted for age, sex, BMI, fatty liver disease, blood glucose, serum albumin, and uric acid.</w:t>
      </w:r>
    </w:p>
    <w:p w14:paraId="1A11E87E">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Model 6a: Adjusted for age, sex, BMI, fatty liver disease, blood glucose, serum albumin, uric acid, and hs-CRP.</w:t>
      </w:r>
    </w:p>
    <w:p w14:paraId="42017C29">
      <w:pPr>
        <w:widowControl/>
        <w:spacing w:line="480" w:lineRule="auto"/>
        <w:jc w:val="left"/>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b/>
          <w:bCs/>
          <w:kern w:val="2"/>
          <w:sz w:val="24"/>
          <w:szCs w:val="24"/>
          <w:highlight w:val="none"/>
          <w:lang w:val="en-US" w:eastAsia="zh-CN" w:bidi="ar"/>
        </w:rPr>
        <w:t>Abbreviations:</w:t>
      </w:r>
      <w:r>
        <w:rPr>
          <w:rFonts w:hint="default" w:ascii="Times New Roman" w:hAnsi="Times New Roman" w:eastAsia="宋体" w:cs="Times New Roman"/>
          <w:b w:val="0"/>
          <w:bCs w:val="0"/>
          <w:kern w:val="2"/>
          <w:sz w:val="24"/>
          <w:szCs w:val="24"/>
          <w:highlight w:val="none"/>
          <w:lang w:val="en-US" w:eastAsia="zh-CN" w:bidi="ar"/>
        </w:rPr>
        <w:t xml:space="preserve"> </w:t>
      </w:r>
      <w:r>
        <w:rPr>
          <w:rFonts w:hint="default" w:ascii="Times New Roman" w:hAnsi="Times New Roman" w:eastAsia="宋体" w:cs="Times New Roman"/>
          <w:kern w:val="2"/>
          <w:sz w:val="24"/>
          <w:szCs w:val="24"/>
          <w:highlight w:val="none"/>
          <w:lang w:val="en-US" w:eastAsia="zh-CN" w:bidi="ar"/>
        </w:rPr>
        <w:t>VIF, variance inflation factor; LDL-C, low-density lipoprotein cholesterol; LVAs, left atrial low-voltage areas; BMI, body mass index; T3, triiodothyronine; COPD, chronic obstructive pulmonary disease; HDL-C, high-density lipoprotein cholesterol; LAD, left atrial diameter</w:t>
      </w:r>
      <w:r>
        <w:rPr>
          <w:rFonts w:hint="default" w:ascii="Times New Roman" w:hAnsi="Times New Roman" w:eastAsia="宋体" w:cs="Times New Roman"/>
          <w:sz w:val="24"/>
          <w:szCs w:val="24"/>
          <w:highlight w:val="none"/>
          <w:lang w:val="en-US" w:eastAsia="zh-CN" w:bidi="ar"/>
        </w:rPr>
        <w:t>; hs-CRP, high-sensitivity C-reactive protein</w:t>
      </w:r>
      <w:r>
        <w:rPr>
          <w:rFonts w:hint="default" w:ascii="Times New Roman" w:hAnsi="Times New Roman" w:eastAsia="宋体" w:cs="Times New Roman"/>
          <w:sz w:val="24"/>
          <w:szCs w:val="24"/>
          <w:highlight w:val="none"/>
          <w:lang w:bidi="ar"/>
        </w:rPr>
        <w:t>.</w:t>
      </w:r>
    </w:p>
    <w:p w14:paraId="1EBC6064">
      <w:pPr>
        <w:keepNext w:val="0"/>
        <w:keepLines w:val="0"/>
        <w:widowControl/>
        <w:suppressLineNumbers w:val="0"/>
        <w:jc w:val="left"/>
        <w:rPr>
          <w:rFonts w:hint="default" w:ascii="Times New Roman" w:hAnsi="Times New Roman" w:eastAsia="宋体" w:cs="Times New Roman"/>
          <w:kern w:val="2"/>
          <w:sz w:val="24"/>
          <w:szCs w:val="24"/>
          <w:highlight w:val="none"/>
          <w:lang w:val="en-US" w:eastAsia="zh-CN" w:bidi="ar"/>
        </w:rPr>
      </w:pPr>
    </w:p>
    <w:p w14:paraId="6B369FBD">
      <w:pPr>
        <w:spacing w:line="480" w:lineRule="auto"/>
        <w:rPr>
          <w:rFonts w:hint="default" w:ascii="Times New Roman" w:hAnsi="Times New Roman" w:cs="Times New Roman"/>
          <w:b w:val="0"/>
          <w:bCs w:val="0"/>
          <w:kern w:val="0"/>
          <w:sz w:val="24"/>
          <w:szCs w:val="24"/>
          <w:highlight w:val="none"/>
          <w:lang w:val="en-US" w:eastAsia="zh-CN" w:bidi="ar"/>
        </w:rPr>
      </w:pPr>
      <w:r>
        <w:rPr>
          <w:rFonts w:hint="default" w:ascii="Times New Roman" w:hAnsi="Times New Roman" w:cs="Times New Roman" w:eastAsiaTheme="minorEastAsia"/>
          <w:b/>
          <w:bCs/>
          <w:kern w:val="0"/>
          <w:sz w:val="24"/>
          <w:szCs w:val="24"/>
          <w:highlight w:val="none"/>
          <w:lang w:val="en-US" w:eastAsia="zh-CN" w:bidi="ar"/>
        </w:rPr>
        <w:t>Supplementary Table S3.</w:t>
      </w:r>
      <w:r>
        <w:rPr>
          <w:rFonts w:hint="default" w:ascii="Times New Roman" w:hAnsi="Times New Roman" w:cs="Times New Roman" w:eastAsiaTheme="minorEastAsia"/>
          <w:b w:val="0"/>
          <w:bCs w:val="0"/>
          <w:kern w:val="0"/>
          <w:sz w:val="24"/>
          <w:szCs w:val="24"/>
          <w:highlight w:val="none"/>
          <w:lang w:val="en-US" w:eastAsia="zh-CN" w:bidi="ar"/>
        </w:rPr>
        <w:t xml:space="preserve"> Interaction </w:t>
      </w:r>
      <w:r>
        <w:rPr>
          <w:rFonts w:hint="default" w:ascii="Times New Roman" w:hAnsi="Times New Roman" w:cs="Times New Roman" w:eastAsiaTheme="minorEastAsia"/>
          <w:b w:val="0"/>
          <w:bCs w:val="0"/>
          <w:i/>
          <w:iCs/>
          <w:kern w:val="0"/>
          <w:sz w:val="24"/>
          <w:szCs w:val="24"/>
          <w:highlight w:val="none"/>
          <w:lang w:val="en-US" w:eastAsia="zh-CN" w:bidi="ar"/>
        </w:rPr>
        <w:t>P</w:t>
      </w:r>
      <w:r>
        <w:rPr>
          <w:rFonts w:hint="default" w:ascii="Times New Roman" w:hAnsi="Times New Roman" w:cs="Times New Roman" w:eastAsiaTheme="minorEastAsia"/>
          <w:b w:val="0"/>
          <w:bCs w:val="0"/>
          <w:kern w:val="0"/>
          <w:sz w:val="24"/>
          <w:szCs w:val="24"/>
          <w:highlight w:val="none"/>
          <w:lang w:val="en-US" w:eastAsia="zh-CN" w:bidi="ar"/>
        </w:rPr>
        <w:t xml:space="preserve"> values before and after false discovery rate correction in subgroup analyses of the association between LDL-C levels and left atrial low-voltage areas</w:t>
      </w:r>
      <w:r>
        <w:rPr>
          <w:rFonts w:hint="default" w:ascii="Times New Roman" w:hAnsi="Times New Roman" w:cs="Times New Roman"/>
          <w:b w:val="0"/>
          <w:bCs w:val="0"/>
          <w:kern w:val="0"/>
          <w:sz w:val="24"/>
          <w:szCs w:val="24"/>
          <w:highlight w:val="none"/>
          <w:lang w:val="en-US" w:eastAsia="zh-CN" w:bidi="ar"/>
        </w:rPr>
        <w:t>.</w:t>
      </w:r>
    </w:p>
    <w:tbl>
      <w:tblPr>
        <w:tblStyle w:val="8"/>
        <w:tblW w:w="8504" w:type="dxa"/>
        <w:jc w:val="center"/>
        <w:tblBorders>
          <w:top w:val="single" w:color="000000" w:sz="8" w:space="0"/>
          <w:left w:val="none" w:color="000000" w:sz="0" w:space="0"/>
          <w:bottom w:val="single" w:color="000000" w:sz="8"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2477"/>
        <w:gridCol w:w="2188"/>
        <w:gridCol w:w="3839"/>
      </w:tblGrid>
      <w:tr w14:paraId="206D6821">
        <w:tblPrEx>
          <w:tblBorders>
            <w:top w:val="single" w:color="000000" w:sz="8" w:space="0"/>
            <w:left w:val="none" w:color="000000" w:sz="0" w:space="0"/>
            <w:bottom w:val="single" w:color="000000" w:sz="8"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0" w:hRule="atLeast"/>
          <w:tblHeader/>
          <w:jc w:val="center"/>
        </w:trPr>
        <w:tc>
          <w:tcPr>
            <w:tcW w:w="2477" w:type="dxa"/>
            <w:tcBorders>
              <w:top w:val="single" w:color="000000" w:sz="12" w:space="0"/>
              <w:bottom w:val="single" w:color="000000" w:sz="4" w:space="0"/>
              <w:tl2br w:val="nil"/>
            </w:tcBorders>
            <w:shd w:val="clear" w:color="auto" w:fill="FFFFFF"/>
            <w:tcMar>
              <w:top w:w="90" w:type="dxa"/>
              <w:left w:w="120" w:type="dxa"/>
              <w:bottom w:w="90" w:type="dxa"/>
              <w:right w:w="120" w:type="dxa"/>
            </w:tcMar>
            <w:vAlign w:val="center"/>
          </w:tcPr>
          <w:p w14:paraId="21BDDCAB">
            <w:pPr>
              <w:snapToGrid w:val="0"/>
              <w:ind w:left="0" w:leftChars="0" w:right="0" w:rightChars="0" w:firstLine="0" w:firstLineChars="0"/>
              <w:jc w:val="center"/>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Subgroup Variable</w:t>
            </w:r>
          </w:p>
        </w:tc>
        <w:tc>
          <w:tcPr>
            <w:tcW w:w="2188" w:type="dxa"/>
            <w:tcBorders>
              <w:top w:val="single" w:color="000000" w:sz="12" w:space="0"/>
              <w:bottom w:val="single" w:color="000000" w:sz="4" w:space="0"/>
            </w:tcBorders>
            <w:shd w:val="clear" w:color="auto" w:fill="FFFFFF"/>
            <w:tcMar>
              <w:top w:w="90" w:type="dxa"/>
              <w:left w:w="120" w:type="dxa"/>
              <w:bottom w:w="90" w:type="dxa"/>
              <w:right w:w="120" w:type="dxa"/>
            </w:tcMar>
            <w:vAlign w:val="center"/>
          </w:tcPr>
          <w:p w14:paraId="57997A91">
            <w:pPr>
              <w:snapToGrid w:val="0"/>
              <w:ind w:left="0" w:leftChars="0" w:right="0" w:rightChars="0" w:firstLine="0" w:firstLineChars="0"/>
              <w:jc w:val="center"/>
              <w:rPr>
                <w:rFonts w:hint="default" w:ascii="Times New Roman" w:hAnsi="Times New Roman" w:cs="Times New Roman"/>
                <w:b/>
                <w:bCs/>
                <w:color w:val="000000"/>
                <w:sz w:val="24"/>
                <w:szCs w:val="24"/>
                <w:highlight w:val="none"/>
              </w:rPr>
            </w:pPr>
            <w:r>
              <w:rPr>
                <w:rFonts w:hint="default" w:ascii="Times New Roman" w:hAnsi="Times New Roman" w:cs="Times New Roman"/>
                <w:b/>
                <w:bCs/>
                <w:i/>
                <w:iCs/>
                <w:color w:val="000000"/>
                <w:sz w:val="24"/>
                <w:szCs w:val="24"/>
                <w:highlight w:val="none"/>
              </w:rPr>
              <w:t>P</w:t>
            </w:r>
            <w:r>
              <w:rPr>
                <w:rFonts w:hint="default" w:ascii="Times New Roman" w:hAnsi="Times New Roman" w:cs="Times New Roman"/>
                <w:b/>
                <w:bCs/>
                <w:color w:val="000000"/>
                <w:sz w:val="24"/>
                <w:szCs w:val="24"/>
                <w:highlight w:val="none"/>
              </w:rPr>
              <w:t xml:space="preserve"> for interaction</w:t>
            </w:r>
          </w:p>
        </w:tc>
        <w:tc>
          <w:tcPr>
            <w:tcW w:w="3839" w:type="dxa"/>
            <w:tcBorders>
              <w:top w:val="single" w:color="000000" w:sz="12" w:space="0"/>
              <w:bottom w:val="single" w:color="000000" w:sz="4" w:space="0"/>
            </w:tcBorders>
            <w:shd w:val="clear" w:color="auto" w:fill="FFFFFF"/>
            <w:tcMar>
              <w:top w:w="90" w:type="dxa"/>
              <w:left w:w="120" w:type="dxa"/>
              <w:bottom w:w="90" w:type="dxa"/>
              <w:right w:w="120" w:type="dxa"/>
            </w:tcMar>
            <w:vAlign w:val="center"/>
          </w:tcPr>
          <w:p w14:paraId="22372B3A">
            <w:pPr>
              <w:snapToGrid w:val="0"/>
              <w:ind w:left="0" w:leftChars="0" w:right="0" w:rightChars="0" w:firstLine="0" w:firstLineChars="0"/>
              <w:jc w:val="center"/>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FDR-adjusted </w:t>
            </w:r>
            <w:r>
              <w:rPr>
                <w:rFonts w:hint="default" w:ascii="Times New Roman" w:hAnsi="Times New Roman" w:cs="Times New Roman"/>
                <w:b/>
                <w:bCs/>
                <w:i/>
                <w:iCs/>
                <w:color w:val="000000"/>
                <w:sz w:val="24"/>
                <w:szCs w:val="24"/>
                <w:highlight w:val="none"/>
              </w:rPr>
              <w:t>P</w:t>
            </w:r>
            <w:r>
              <w:rPr>
                <w:rFonts w:hint="default" w:ascii="Times New Roman" w:hAnsi="Times New Roman" w:cs="Times New Roman"/>
                <w:b/>
                <w:bCs/>
                <w:color w:val="000000"/>
                <w:sz w:val="24"/>
                <w:szCs w:val="24"/>
                <w:highlight w:val="none"/>
              </w:rPr>
              <w:t xml:space="preserve"> for interaction</w:t>
            </w:r>
          </w:p>
        </w:tc>
      </w:tr>
      <w:tr w14:paraId="227EEB52">
        <w:tblPrEx>
          <w:tblBorders>
            <w:top w:val="single" w:color="000000" w:sz="8" w:space="0"/>
            <w:left w:val="none" w:color="000000" w:sz="0" w:space="0"/>
            <w:bottom w:val="single" w:color="000000" w:sz="8"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0" w:hRule="atLeast"/>
          <w:jc w:val="center"/>
        </w:trPr>
        <w:tc>
          <w:tcPr>
            <w:tcW w:w="2477" w:type="dxa"/>
            <w:tcBorders>
              <w:top w:val="single" w:color="000000" w:sz="4" w:space="0"/>
            </w:tcBorders>
            <w:shd w:val="clear" w:color="auto" w:fill="FFFFFF"/>
            <w:tcMar>
              <w:top w:w="80" w:type="dxa"/>
              <w:left w:w="120" w:type="dxa"/>
              <w:bottom w:w="80" w:type="dxa"/>
              <w:right w:w="120" w:type="dxa"/>
            </w:tcMar>
            <w:vAlign w:val="center"/>
          </w:tcPr>
          <w:p w14:paraId="46F9CE13">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Age</w:t>
            </w:r>
          </w:p>
        </w:tc>
        <w:tc>
          <w:tcPr>
            <w:tcW w:w="2188" w:type="dxa"/>
            <w:tcBorders>
              <w:top w:val="single" w:color="000000" w:sz="4" w:space="0"/>
            </w:tcBorders>
            <w:shd w:val="clear" w:color="auto" w:fill="FFFFFF"/>
            <w:tcMar>
              <w:top w:w="80" w:type="dxa"/>
              <w:left w:w="120" w:type="dxa"/>
              <w:bottom w:w="80" w:type="dxa"/>
              <w:right w:w="120" w:type="dxa"/>
            </w:tcMar>
            <w:vAlign w:val="center"/>
          </w:tcPr>
          <w:p w14:paraId="391B3F53">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0.338</w:t>
            </w:r>
          </w:p>
        </w:tc>
        <w:tc>
          <w:tcPr>
            <w:tcW w:w="3839" w:type="dxa"/>
            <w:tcBorders>
              <w:top w:val="single" w:color="000000" w:sz="4" w:space="0"/>
            </w:tcBorders>
            <w:shd w:val="clear" w:color="auto" w:fill="FFFFFF"/>
            <w:tcMar>
              <w:top w:w="80" w:type="dxa"/>
              <w:left w:w="120" w:type="dxa"/>
              <w:bottom w:w="80" w:type="dxa"/>
              <w:right w:w="120" w:type="dxa"/>
            </w:tcMar>
            <w:vAlign w:val="center"/>
          </w:tcPr>
          <w:p w14:paraId="37235FD8">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0.709</w:t>
            </w:r>
          </w:p>
        </w:tc>
      </w:tr>
      <w:tr w14:paraId="2077B047">
        <w:tblPrEx>
          <w:tblBorders>
            <w:top w:val="single" w:color="000000" w:sz="8" w:space="0"/>
            <w:left w:val="none" w:color="000000" w:sz="0" w:space="0"/>
            <w:bottom w:val="single" w:color="000000" w:sz="8"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0" w:hRule="atLeast"/>
          <w:jc w:val="center"/>
        </w:trPr>
        <w:tc>
          <w:tcPr>
            <w:tcW w:w="2477" w:type="dxa"/>
            <w:shd w:val="clear" w:color="auto" w:fill="FFFFFF"/>
            <w:tcMar>
              <w:top w:w="80" w:type="dxa"/>
              <w:left w:w="120" w:type="dxa"/>
              <w:bottom w:w="80" w:type="dxa"/>
              <w:right w:w="120" w:type="dxa"/>
            </w:tcMar>
            <w:vAlign w:val="center"/>
          </w:tcPr>
          <w:p w14:paraId="5DD9BEAF">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Sex</w:t>
            </w:r>
          </w:p>
        </w:tc>
        <w:tc>
          <w:tcPr>
            <w:tcW w:w="2188" w:type="dxa"/>
            <w:shd w:val="clear" w:color="auto" w:fill="FFFFFF"/>
            <w:tcMar>
              <w:top w:w="80" w:type="dxa"/>
              <w:left w:w="120" w:type="dxa"/>
              <w:bottom w:w="80" w:type="dxa"/>
              <w:right w:w="120" w:type="dxa"/>
            </w:tcMar>
            <w:vAlign w:val="center"/>
          </w:tcPr>
          <w:p w14:paraId="4D25E500">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0.160</w:t>
            </w:r>
          </w:p>
        </w:tc>
        <w:tc>
          <w:tcPr>
            <w:tcW w:w="3839" w:type="dxa"/>
            <w:shd w:val="clear" w:color="auto" w:fill="FFFFFF"/>
            <w:tcMar>
              <w:top w:w="80" w:type="dxa"/>
              <w:left w:w="120" w:type="dxa"/>
              <w:bottom w:w="80" w:type="dxa"/>
              <w:right w:w="120" w:type="dxa"/>
            </w:tcMar>
            <w:vAlign w:val="center"/>
          </w:tcPr>
          <w:p w14:paraId="4A24CFB5">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0.709</w:t>
            </w:r>
          </w:p>
        </w:tc>
      </w:tr>
      <w:tr w14:paraId="4522BEA2">
        <w:tblPrEx>
          <w:tblBorders>
            <w:top w:val="single" w:color="000000" w:sz="8" w:space="0"/>
            <w:left w:val="none" w:color="000000" w:sz="0" w:space="0"/>
            <w:bottom w:val="single" w:color="000000" w:sz="8"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0" w:hRule="atLeast"/>
          <w:jc w:val="center"/>
        </w:trPr>
        <w:tc>
          <w:tcPr>
            <w:tcW w:w="2477" w:type="dxa"/>
            <w:shd w:val="clear" w:color="auto" w:fill="FFFFFF"/>
            <w:tcMar>
              <w:top w:w="80" w:type="dxa"/>
              <w:left w:w="120" w:type="dxa"/>
              <w:bottom w:w="80" w:type="dxa"/>
              <w:right w:w="120" w:type="dxa"/>
            </w:tcMar>
            <w:vAlign w:val="center"/>
          </w:tcPr>
          <w:p w14:paraId="307ECFCB">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LAD</w:t>
            </w:r>
          </w:p>
        </w:tc>
        <w:tc>
          <w:tcPr>
            <w:tcW w:w="2188" w:type="dxa"/>
            <w:shd w:val="clear" w:color="auto" w:fill="FFFFFF"/>
            <w:tcMar>
              <w:top w:w="80" w:type="dxa"/>
              <w:left w:w="120" w:type="dxa"/>
              <w:bottom w:w="80" w:type="dxa"/>
              <w:right w:w="120" w:type="dxa"/>
            </w:tcMar>
            <w:vAlign w:val="center"/>
          </w:tcPr>
          <w:p w14:paraId="11EF4A61">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0.011</w:t>
            </w:r>
          </w:p>
        </w:tc>
        <w:tc>
          <w:tcPr>
            <w:tcW w:w="3839" w:type="dxa"/>
            <w:shd w:val="clear" w:color="auto" w:fill="FFFFFF"/>
            <w:tcMar>
              <w:top w:w="80" w:type="dxa"/>
              <w:left w:w="120" w:type="dxa"/>
              <w:bottom w:w="80" w:type="dxa"/>
              <w:right w:w="120" w:type="dxa"/>
            </w:tcMar>
            <w:vAlign w:val="center"/>
          </w:tcPr>
          <w:p w14:paraId="467DA7DA">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0.121</w:t>
            </w:r>
          </w:p>
        </w:tc>
      </w:tr>
      <w:tr w14:paraId="474C380B">
        <w:tblPrEx>
          <w:tblBorders>
            <w:top w:val="single" w:color="000000" w:sz="8" w:space="0"/>
            <w:left w:val="none" w:color="000000" w:sz="0" w:space="0"/>
            <w:bottom w:val="single" w:color="000000" w:sz="8"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0" w:hRule="atLeast"/>
          <w:jc w:val="center"/>
        </w:trPr>
        <w:tc>
          <w:tcPr>
            <w:tcW w:w="2477" w:type="dxa"/>
            <w:shd w:val="clear" w:color="auto" w:fill="FFFFFF"/>
            <w:tcMar>
              <w:top w:w="80" w:type="dxa"/>
              <w:left w:w="120" w:type="dxa"/>
              <w:bottom w:w="80" w:type="dxa"/>
              <w:right w:w="120" w:type="dxa"/>
            </w:tcMar>
            <w:vAlign w:val="center"/>
          </w:tcPr>
          <w:p w14:paraId="0B84CDCC">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BMI</w:t>
            </w:r>
          </w:p>
        </w:tc>
        <w:tc>
          <w:tcPr>
            <w:tcW w:w="2188" w:type="dxa"/>
            <w:shd w:val="clear" w:color="auto" w:fill="FFFFFF"/>
            <w:tcMar>
              <w:top w:w="80" w:type="dxa"/>
              <w:left w:w="120" w:type="dxa"/>
              <w:bottom w:w="80" w:type="dxa"/>
              <w:right w:w="120" w:type="dxa"/>
            </w:tcMar>
            <w:vAlign w:val="center"/>
          </w:tcPr>
          <w:p w14:paraId="5AA840D0">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0.893</w:t>
            </w:r>
          </w:p>
        </w:tc>
        <w:tc>
          <w:tcPr>
            <w:tcW w:w="3839" w:type="dxa"/>
            <w:shd w:val="clear" w:color="auto" w:fill="FFFFFF"/>
            <w:tcMar>
              <w:top w:w="80" w:type="dxa"/>
              <w:left w:w="120" w:type="dxa"/>
              <w:bottom w:w="80" w:type="dxa"/>
              <w:right w:w="120" w:type="dxa"/>
            </w:tcMar>
            <w:vAlign w:val="center"/>
          </w:tcPr>
          <w:p w14:paraId="5F261E03">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0.958</w:t>
            </w:r>
          </w:p>
        </w:tc>
      </w:tr>
      <w:tr w14:paraId="7C24C86C">
        <w:tblPrEx>
          <w:tblBorders>
            <w:top w:val="single" w:color="000000" w:sz="8" w:space="0"/>
            <w:left w:val="none" w:color="000000" w:sz="0" w:space="0"/>
            <w:bottom w:val="single" w:color="000000" w:sz="8"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0" w:hRule="atLeast"/>
          <w:jc w:val="center"/>
        </w:trPr>
        <w:tc>
          <w:tcPr>
            <w:tcW w:w="2477" w:type="dxa"/>
            <w:shd w:val="clear" w:color="auto" w:fill="FFFFFF"/>
            <w:tcMar>
              <w:top w:w="80" w:type="dxa"/>
              <w:left w:w="120" w:type="dxa"/>
              <w:bottom w:w="80" w:type="dxa"/>
              <w:right w:w="120" w:type="dxa"/>
            </w:tcMar>
            <w:vAlign w:val="center"/>
          </w:tcPr>
          <w:p w14:paraId="66F2C4C4">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eGFR</w:t>
            </w:r>
          </w:p>
        </w:tc>
        <w:tc>
          <w:tcPr>
            <w:tcW w:w="2188" w:type="dxa"/>
            <w:shd w:val="clear" w:color="auto" w:fill="FFFFFF"/>
            <w:tcMar>
              <w:top w:w="80" w:type="dxa"/>
              <w:left w:w="120" w:type="dxa"/>
              <w:bottom w:w="80" w:type="dxa"/>
              <w:right w:w="120" w:type="dxa"/>
            </w:tcMar>
            <w:vAlign w:val="center"/>
          </w:tcPr>
          <w:p w14:paraId="7B0043FB">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0.630</w:t>
            </w:r>
          </w:p>
        </w:tc>
        <w:tc>
          <w:tcPr>
            <w:tcW w:w="3839" w:type="dxa"/>
            <w:shd w:val="clear" w:color="auto" w:fill="FFFFFF"/>
            <w:tcMar>
              <w:top w:w="80" w:type="dxa"/>
              <w:left w:w="120" w:type="dxa"/>
              <w:bottom w:w="80" w:type="dxa"/>
              <w:right w:w="120" w:type="dxa"/>
            </w:tcMar>
            <w:vAlign w:val="center"/>
          </w:tcPr>
          <w:p w14:paraId="6E14415B">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0.854</w:t>
            </w:r>
          </w:p>
        </w:tc>
      </w:tr>
      <w:tr w14:paraId="3E8E039B">
        <w:tblPrEx>
          <w:tblBorders>
            <w:top w:val="single" w:color="000000" w:sz="8" w:space="0"/>
            <w:left w:val="none" w:color="000000" w:sz="0" w:space="0"/>
            <w:bottom w:val="single" w:color="000000" w:sz="8"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0" w:hRule="atLeast"/>
          <w:jc w:val="center"/>
        </w:trPr>
        <w:tc>
          <w:tcPr>
            <w:tcW w:w="2477" w:type="dxa"/>
            <w:shd w:val="clear" w:color="auto" w:fill="FFFFFF"/>
            <w:tcMar>
              <w:top w:w="80" w:type="dxa"/>
              <w:left w:w="120" w:type="dxa"/>
              <w:bottom w:w="80" w:type="dxa"/>
              <w:right w:w="120" w:type="dxa"/>
            </w:tcMar>
            <w:vAlign w:val="center"/>
          </w:tcPr>
          <w:p w14:paraId="357D6F80">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Statins use</w:t>
            </w:r>
          </w:p>
        </w:tc>
        <w:tc>
          <w:tcPr>
            <w:tcW w:w="2188" w:type="dxa"/>
            <w:shd w:val="clear" w:color="auto" w:fill="FFFFFF"/>
            <w:tcMar>
              <w:top w:w="80" w:type="dxa"/>
              <w:left w:w="120" w:type="dxa"/>
              <w:bottom w:w="80" w:type="dxa"/>
              <w:right w:w="120" w:type="dxa"/>
            </w:tcMar>
            <w:vAlign w:val="center"/>
          </w:tcPr>
          <w:p w14:paraId="25011C6D">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0.958</w:t>
            </w:r>
          </w:p>
        </w:tc>
        <w:tc>
          <w:tcPr>
            <w:tcW w:w="3839" w:type="dxa"/>
            <w:shd w:val="clear" w:color="auto" w:fill="FFFFFF"/>
            <w:tcMar>
              <w:top w:w="80" w:type="dxa"/>
              <w:left w:w="120" w:type="dxa"/>
              <w:bottom w:w="80" w:type="dxa"/>
              <w:right w:w="120" w:type="dxa"/>
            </w:tcMar>
            <w:vAlign w:val="center"/>
          </w:tcPr>
          <w:p w14:paraId="03607293">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0.958</w:t>
            </w:r>
          </w:p>
        </w:tc>
      </w:tr>
      <w:tr w14:paraId="473360DE">
        <w:tblPrEx>
          <w:tblBorders>
            <w:top w:val="single" w:color="000000" w:sz="8" w:space="0"/>
            <w:left w:val="none" w:color="000000" w:sz="0" w:space="0"/>
            <w:bottom w:val="single" w:color="000000" w:sz="8"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0" w:hRule="atLeast"/>
          <w:jc w:val="center"/>
        </w:trPr>
        <w:tc>
          <w:tcPr>
            <w:tcW w:w="2477" w:type="dxa"/>
            <w:shd w:val="clear" w:color="auto" w:fill="FFFFFF"/>
            <w:tcMar>
              <w:top w:w="80" w:type="dxa"/>
              <w:left w:w="120" w:type="dxa"/>
              <w:bottom w:w="80" w:type="dxa"/>
              <w:right w:w="120" w:type="dxa"/>
            </w:tcMar>
            <w:vAlign w:val="center"/>
          </w:tcPr>
          <w:p w14:paraId="3981C2BC">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Heart failure</w:t>
            </w:r>
          </w:p>
        </w:tc>
        <w:tc>
          <w:tcPr>
            <w:tcW w:w="2188" w:type="dxa"/>
            <w:shd w:val="clear" w:color="auto" w:fill="FFFFFF"/>
            <w:tcMar>
              <w:top w:w="80" w:type="dxa"/>
              <w:left w:w="120" w:type="dxa"/>
              <w:bottom w:w="80" w:type="dxa"/>
              <w:right w:w="120" w:type="dxa"/>
            </w:tcMar>
            <w:vAlign w:val="center"/>
          </w:tcPr>
          <w:p w14:paraId="139A6561">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0.261</w:t>
            </w:r>
          </w:p>
        </w:tc>
        <w:tc>
          <w:tcPr>
            <w:tcW w:w="3839" w:type="dxa"/>
            <w:shd w:val="clear" w:color="auto" w:fill="FFFFFF"/>
            <w:tcMar>
              <w:top w:w="80" w:type="dxa"/>
              <w:left w:w="120" w:type="dxa"/>
              <w:bottom w:w="80" w:type="dxa"/>
              <w:right w:w="120" w:type="dxa"/>
            </w:tcMar>
            <w:vAlign w:val="center"/>
          </w:tcPr>
          <w:p w14:paraId="667B9312">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0.709</w:t>
            </w:r>
          </w:p>
        </w:tc>
      </w:tr>
      <w:tr w14:paraId="5359E99C">
        <w:tblPrEx>
          <w:tblBorders>
            <w:top w:val="single" w:color="000000" w:sz="8" w:space="0"/>
            <w:left w:val="none" w:color="000000" w:sz="0" w:space="0"/>
            <w:bottom w:val="single" w:color="000000" w:sz="8"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0" w:hRule="atLeast"/>
          <w:jc w:val="center"/>
        </w:trPr>
        <w:tc>
          <w:tcPr>
            <w:tcW w:w="2477" w:type="dxa"/>
            <w:shd w:val="clear" w:color="auto" w:fill="FFFFFF"/>
            <w:tcMar>
              <w:top w:w="80" w:type="dxa"/>
              <w:left w:w="120" w:type="dxa"/>
              <w:bottom w:w="80" w:type="dxa"/>
              <w:right w:w="120" w:type="dxa"/>
            </w:tcMar>
            <w:vAlign w:val="center"/>
          </w:tcPr>
          <w:p w14:paraId="453D8D47">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Hypertension</w:t>
            </w:r>
          </w:p>
        </w:tc>
        <w:tc>
          <w:tcPr>
            <w:tcW w:w="2188" w:type="dxa"/>
            <w:shd w:val="clear" w:color="auto" w:fill="FFFFFF"/>
            <w:tcMar>
              <w:top w:w="80" w:type="dxa"/>
              <w:left w:w="120" w:type="dxa"/>
              <w:bottom w:w="80" w:type="dxa"/>
              <w:right w:w="120" w:type="dxa"/>
            </w:tcMar>
            <w:vAlign w:val="center"/>
          </w:tcPr>
          <w:p w14:paraId="0DB8275C">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0.277</w:t>
            </w:r>
          </w:p>
        </w:tc>
        <w:tc>
          <w:tcPr>
            <w:tcW w:w="3839" w:type="dxa"/>
            <w:shd w:val="clear" w:color="auto" w:fill="FFFFFF"/>
            <w:tcMar>
              <w:top w:w="80" w:type="dxa"/>
              <w:left w:w="120" w:type="dxa"/>
              <w:bottom w:w="80" w:type="dxa"/>
              <w:right w:w="120" w:type="dxa"/>
            </w:tcMar>
            <w:vAlign w:val="center"/>
          </w:tcPr>
          <w:p w14:paraId="3C34B8FF">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0.709</w:t>
            </w:r>
          </w:p>
        </w:tc>
      </w:tr>
      <w:tr w14:paraId="30193ACA">
        <w:tblPrEx>
          <w:tblBorders>
            <w:top w:val="single" w:color="000000" w:sz="8" w:space="0"/>
            <w:left w:val="none" w:color="000000" w:sz="0" w:space="0"/>
            <w:bottom w:val="single" w:color="000000" w:sz="8"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0" w:hRule="atLeast"/>
          <w:jc w:val="center"/>
        </w:trPr>
        <w:tc>
          <w:tcPr>
            <w:tcW w:w="2477" w:type="dxa"/>
            <w:shd w:val="clear" w:color="auto" w:fill="FFFFFF"/>
            <w:tcMar>
              <w:top w:w="80" w:type="dxa"/>
              <w:left w:w="120" w:type="dxa"/>
              <w:bottom w:w="80" w:type="dxa"/>
              <w:right w:w="120" w:type="dxa"/>
            </w:tcMar>
            <w:vAlign w:val="center"/>
          </w:tcPr>
          <w:p w14:paraId="543278F5">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lang w:val="en-US" w:eastAsia="zh-CN"/>
              </w:rPr>
              <w:t>Coronary artery disease</w:t>
            </w:r>
          </w:p>
        </w:tc>
        <w:tc>
          <w:tcPr>
            <w:tcW w:w="2188" w:type="dxa"/>
            <w:shd w:val="clear" w:color="auto" w:fill="FFFFFF"/>
            <w:tcMar>
              <w:top w:w="80" w:type="dxa"/>
              <w:left w:w="120" w:type="dxa"/>
              <w:bottom w:w="80" w:type="dxa"/>
              <w:right w:w="120" w:type="dxa"/>
            </w:tcMar>
            <w:vAlign w:val="center"/>
          </w:tcPr>
          <w:p w14:paraId="07969B3B">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0.386</w:t>
            </w:r>
          </w:p>
        </w:tc>
        <w:tc>
          <w:tcPr>
            <w:tcW w:w="3839" w:type="dxa"/>
            <w:shd w:val="clear" w:color="auto" w:fill="FFFFFF"/>
            <w:tcMar>
              <w:top w:w="80" w:type="dxa"/>
              <w:left w:w="120" w:type="dxa"/>
              <w:bottom w:w="80" w:type="dxa"/>
              <w:right w:w="120" w:type="dxa"/>
            </w:tcMar>
            <w:vAlign w:val="center"/>
          </w:tcPr>
          <w:p w14:paraId="13247106">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0.709</w:t>
            </w:r>
          </w:p>
        </w:tc>
      </w:tr>
      <w:tr w14:paraId="68E36D9D">
        <w:tblPrEx>
          <w:tblBorders>
            <w:top w:val="single" w:color="000000" w:sz="8" w:space="0"/>
            <w:left w:val="none" w:color="000000" w:sz="0" w:space="0"/>
            <w:bottom w:val="single" w:color="000000" w:sz="8"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0" w:hRule="atLeast"/>
          <w:jc w:val="center"/>
        </w:trPr>
        <w:tc>
          <w:tcPr>
            <w:tcW w:w="2477" w:type="dxa"/>
            <w:shd w:val="clear" w:color="auto" w:fill="FFFFFF"/>
            <w:tcMar>
              <w:top w:w="80" w:type="dxa"/>
              <w:left w:w="120" w:type="dxa"/>
              <w:bottom w:w="80" w:type="dxa"/>
              <w:right w:w="120" w:type="dxa"/>
            </w:tcMar>
            <w:vAlign w:val="center"/>
          </w:tcPr>
          <w:p w14:paraId="14792872">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Stroke</w:t>
            </w:r>
          </w:p>
        </w:tc>
        <w:tc>
          <w:tcPr>
            <w:tcW w:w="2188" w:type="dxa"/>
            <w:shd w:val="clear" w:color="auto" w:fill="FFFFFF"/>
            <w:tcMar>
              <w:top w:w="80" w:type="dxa"/>
              <w:left w:w="120" w:type="dxa"/>
              <w:bottom w:w="80" w:type="dxa"/>
              <w:right w:w="120" w:type="dxa"/>
            </w:tcMar>
            <w:vAlign w:val="center"/>
          </w:tcPr>
          <w:p w14:paraId="0F8EAB45">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0.699</w:t>
            </w:r>
          </w:p>
        </w:tc>
        <w:tc>
          <w:tcPr>
            <w:tcW w:w="3839" w:type="dxa"/>
            <w:shd w:val="clear" w:color="auto" w:fill="FFFFFF"/>
            <w:tcMar>
              <w:top w:w="80" w:type="dxa"/>
              <w:left w:w="120" w:type="dxa"/>
              <w:bottom w:w="80" w:type="dxa"/>
              <w:right w:w="120" w:type="dxa"/>
            </w:tcMar>
            <w:vAlign w:val="center"/>
          </w:tcPr>
          <w:p w14:paraId="1F7F4779">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0.854</w:t>
            </w:r>
          </w:p>
        </w:tc>
      </w:tr>
      <w:tr w14:paraId="47E4D5FA">
        <w:tblPrEx>
          <w:tblBorders>
            <w:top w:val="single" w:color="000000" w:sz="8" w:space="0"/>
            <w:left w:val="none" w:color="000000" w:sz="0" w:space="0"/>
            <w:bottom w:val="single" w:color="000000" w:sz="8"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0" w:hRule="atLeast"/>
          <w:jc w:val="center"/>
        </w:trPr>
        <w:tc>
          <w:tcPr>
            <w:tcW w:w="2477" w:type="dxa"/>
            <w:tcBorders>
              <w:bottom w:val="single" w:color="000000" w:sz="12" w:space="0"/>
            </w:tcBorders>
            <w:shd w:val="clear" w:color="auto" w:fill="FFFFFF"/>
            <w:tcMar>
              <w:top w:w="80" w:type="dxa"/>
              <w:left w:w="120" w:type="dxa"/>
              <w:bottom w:w="80" w:type="dxa"/>
              <w:right w:w="120" w:type="dxa"/>
            </w:tcMar>
            <w:vAlign w:val="center"/>
          </w:tcPr>
          <w:p w14:paraId="1C20BA26">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lang w:val="en-US" w:eastAsia="zh-CN"/>
              </w:rPr>
              <w:t>Hyperlipidemia</w:t>
            </w:r>
          </w:p>
        </w:tc>
        <w:tc>
          <w:tcPr>
            <w:tcW w:w="2188" w:type="dxa"/>
            <w:tcBorders>
              <w:bottom w:val="single" w:color="000000" w:sz="12" w:space="0"/>
            </w:tcBorders>
            <w:shd w:val="clear" w:color="auto" w:fill="FFFFFF"/>
            <w:tcMar>
              <w:top w:w="80" w:type="dxa"/>
              <w:left w:w="120" w:type="dxa"/>
              <w:bottom w:w="80" w:type="dxa"/>
              <w:right w:w="120" w:type="dxa"/>
            </w:tcMar>
            <w:vAlign w:val="center"/>
          </w:tcPr>
          <w:p w14:paraId="7AB000B2">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0.670</w:t>
            </w:r>
          </w:p>
        </w:tc>
        <w:tc>
          <w:tcPr>
            <w:tcW w:w="3839" w:type="dxa"/>
            <w:tcBorders>
              <w:bottom w:val="single" w:color="000000" w:sz="12" w:space="0"/>
            </w:tcBorders>
            <w:shd w:val="clear" w:color="auto" w:fill="FFFFFF"/>
            <w:tcMar>
              <w:top w:w="80" w:type="dxa"/>
              <w:left w:w="120" w:type="dxa"/>
              <w:bottom w:w="80" w:type="dxa"/>
              <w:right w:w="120" w:type="dxa"/>
            </w:tcMar>
            <w:vAlign w:val="center"/>
          </w:tcPr>
          <w:p w14:paraId="227FB051">
            <w:pPr>
              <w:snapToGrid w:val="0"/>
              <w:ind w:left="0" w:leftChars="0" w:right="0" w:rightChars="0" w:firstLine="0" w:firstLineChars="0"/>
              <w:jc w:val="center"/>
              <w:rPr>
                <w:rFonts w:hint="default" w:ascii="Times New Roman" w:hAnsi="Times New Roman" w:cs="Times New Roman"/>
                <w:b w:val="0"/>
                <w:color w:val="000000"/>
                <w:sz w:val="24"/>
                <w:szCs w:val="24"/>
                <w:highlight w:val="none"/>
              </w:rPr>
            </w:pPr>
            <w:r>
              <w:rPr>
                <w:rFonts w:hint="default" w:ascii="Times New Roman" w:hAnsi="Times New Roman" w:cs="Times New Roman"/>
                <w:b w:val="0"/>
                <w:color w:val="000000"/>
                <w:sz w:val="24"/>
                <w:szCs w:val="24"/>
                <w:highlight w:val="none"/>
              </w:rPr>
              <w:t>0.854</w:t>
            </w:r>
          </w:p>
        </w:tc>
      </w:tr>
    </w:tbl>
    <w:p w14:paraId="3CAEFA65">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i/>
          <w:iCs/>
          <w:kern w:val="2"/>
          <w:sz w:val="24"/>
          <w:szCs w:val="24"/>
          <w:highlight w:val="none"/>
          <w:lang w:val="en-US" w:eastAsia="zh-CN" w:bidi="ar"/>
        </w:rPr>
        <w:t>P</w:t>
      </w:r>
      <w:r>
        <w:rPr>
          <w:rFonts w:hint="default" w:ascii="Times New Roman" w:hAnsi="Times New Roman" w:eastAsia="宋体" w:cs="Times New Roman"/>
          <w:kern w:val="2"/>
          <w:sz w:val="24"/>
          <w:szCs w:val="24"/>
          <w:highlight w:val="none"/>
          <w:lang w:val="en-US" w:eastAsia="zh-CN" w:bidi="ar"/>
        </w:rPr>
        <w:t xml:space="preserve"> for interaction values were obtained from unadjusted subgroup interaction analyses </w:t>
      </w:r>
      <w:bookmarkEnd w:id="0"/>
      <w:r>
        <w:rPr>
          <w:rFonts w:hint="default" w:ascii="Times New Roman" w:hAnsi="Times New Roman" w:eastAsia="宋体" w:cs="Times New Roman"/>
          <w:kern w:val="2"/>
          <w:sz w:val="24"/>
          <w:szCs w:val="24"/>
          <w:highlight w:val="none"/>
          <w:lang w:val="en-US" w:eastAsia="zh-CN" w:bidi="ar"/>
        </w:rPr>
        <w:t>evaluating the association between continuous LDL-C levels and the presence of LVAs. FDR correction was applied to account for multiple testing across subgroup interaction analyses. Although nominal heterogeneity was observed for LAD before FDR correction, no interaction remained statistically significant after correction.</w:t>
      </w:r>
    </w:p>
    <w:p w14:paraId="7EA680C3">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b/>
          <w:bCs/>
          <w:kern w:val="2"/>
          <w:sz w:val="24"/>
          <w:szCs w:val="24"/>
          <w:highlight w:val="none"/>
          <w:lang w:val="en-US" w:eastAsia="zh-CN" w:bidi="ar"/>
        </w:rPr>
        <w:t>Abbreviations:</w:t>
      </w:r>
      <w:r>
        <w:rPr>
          <w:rFonts w:hint="default" w:ascii="Times New Roman" w:hAnsi="Times New Roman" w:eastAsia="宋体" w:cs="Times New Roman"/>
          <w:kern w:val="2"/>
          <w:sz w:val="24"/>
          <w:szCs w:val="24"/>
          <w:highlight w:val="none"/>
          <w:lang w:val="en-US" w:eastAsia="zh-CN" w:bidi="ar"/>
        </w:rPr>
        <w:t xml:space="preserve"> LDL-C, low-density lipoprotein cholesterol; LVAs, left atrial low-voltage areas; FDR, false discovery rate; LAD, left atrial diameter; BMI, body mass index; eGFR, estimated glomerular filtration rate.</w:t>
      </w:r>
    </w:p>
    <w:p w14:paraId="5BD6BF4A">
      <w:pPr>
        <w:spacing w:after="160"/>
        <w:jc w:val="left"/>
        <w:rPr>
          <w:rFonts w:hint="default" w:ascii="Times New Roman" w:hAnsi="Times New Roman" w:eastAsia="Times New Roman" w:cs="Times New Roman"/>
          <w:b/>
          <w:sz w:val="24"/>
          <w:szCs w:val="24"/>
          <w:highlight w:val="none"/>
        </w:rPr>
      </w:pPr>
    </w:p>
    <w:p w14:paraId="464875BE">
      <w:pPr>
        <w:spacing w:line="480" w:lineRule="auto"/>
        <w:rPr>
          <w:rFonts w:hint="default" w:ascii="Times New Roman" w:hAnsi="Times New Roman" w:cs="Times New Roman"/>
          <w:b w:val="0"/>
          <w:bCs w:val="0"/>
          <w:kern w:val="0"/>
          <w:sz w:val="24"/>
          <w:szCs w:val="24"/>
          <w:highlight w:val="none"/>
          <w:lang w:val="en-US" w:eastAsia="zh-CN" w:bidi="ar"/>
        </w:rPr>
      </w:pPr>
      <w:r>
        <w:rPr>
          <w:rFonts w:hint="default" w:ascii="Times New Roman" w:hAnsi="Times New Roman" w:cs="Times New Roman" w:eastAsiaTheme="minorEastAsia"/>
          <w:b/>
          <w:bCs/>
          <w:kern w:val="0"/>
          <w:sz w:val="24"/>
          <w:szCs w:val="24"/>
          <w:highlight w:val="none"/>
          <w:lang w:val="en-US" w:eastAsia="zh-CN" w:bidi="ar"/>
        </w:rPr>
        <w:t>Supplementary Table S4.</w:t>
      </w:r>
      <w:r>
        <w:rPr>
          <w:rFonts w:hint="default" w:ascii="Times New Roman" w:hAnsi="Times New Roman" w:cs="Times New Roman" w:eastAsiaTheme="minorEastAsia"/>
          <w:b w:val="0"/>
          <w:bCs w:val="0"/>
          <w:kern w:val="0"/>
          <w:sz w:val="24"/>
          <w:szCs w:val="24"/>
          <w:highlight w:val="none"/>
          <w:lang w:val="en-US" w:eastAsia="zh-CN" w:bidi="ar"/>
        </w:rPr>
        <w:t xml:space="preserve"> Mediation analysis results for left atrial diameter as a mediator of the association between LDL-C levels and the presence of left atrial low-voltage areas</w:t>
      </w:r>
      <w:r>
        <w:rPr>
          <w:rFonts w:hint="default" w:ascii="Times New Roman" w:hAnsi="Times New Roman" w:cs="Times New Roman"/>
          <w:b w:val="0"/>
          <w:bCs w:val="0"/>
          <w:kern w:val="0"/>
          <w:sz w:val="24"/>
          <w:szCs w:val="24"/>
          <w:highlight w:val="none"/>
          <w:lang w:val="en-US" w:eastAsia="zh-CN" w:bidi="ar"/>
        </w:rPr>
        <w:t>.</w:t>
      </w:r>
    </w:p>
    <w:tbl>
      <w:tblPr>
        <w:tblStyle w:val="8"/>
        <w:tblW w:w="8504" w:type="dxa"/>
        <w:jc w:val="center"/>
        <w:tblBorders>
          <w:top w:val="single" w:color="000000" w:sz="8" w:space="0"/>
          <w:left w:val="none" w:color="auto" w:sz="0" w:space="0"/>
          <w:bottom w:val="single" w:color="000000" w:sz="8" w:space="0"/>
          <w:right w:val="none" w:color="auto" w:sz="0" w:space="0"/>
          <w:insideH w:val="single" w:color="000000" w:sz="8" w:space="0"/>
          <w:insideV w:val="none" w:color="auto" w:sz="0" w:space="0"/>
        </w:tblBorders>
        <w:tblLayout w:type="fixed"/>
        <w:tblCellMar>
          <w:top w:w="0" w:type="dxa"/>
          <w:left w:w="108" w:type="dxa"/>
          <w:bottom w:w="0" w:type="dxa"/>
          <w:right w:w="108" w:type="dxa"/>
        </w:tblCellMar>
      </w:tblPr>
      <w:tblGrid>
        <w:gridCol w:w="3411"/>
        <w:gridCol w:w="1280"/>
        <w:gridCol w:w="2784"/>
        <w:gridCol w:w="1029"/>
      </w:tblGrid>
      <w:tr w14:paraId="323E79C9">
        <w:tblPrEx>
          <w:tblBorders>
            <w:top w:val="single" w:color="000000" w:sz="8" w:space="0"/>
            <w:left w:val="none" w:color="auto" w:sz="0" w:space="0"/>
            <w:bottom w:val="single" w:color="000000" w:sz="8" w:space="0"/>
            <w:right w:val="none" w:color="auto" w:sz="0" w:space="0"/>
            <w:insideH w:val="single" w:color="000000" w:sz="8" w:space="0"/>
            <w:insideV w:val="none" w:color="auto" w:sz="0" w:space="0"/>
          </w:tblBorders>
          <w:tblCellMar>
            <w:top w:w="0" w:type="dxa"/>
            <w:left w:w="108" w:type="dxa"/>
            <w:bottom w:w="0" w:type="dxa"/>
            <w:right w:w="108" w:type="dxa"/>
          </w:tblCellMar>
        </w:tblPrEx>
        <w:trPr>
          <w:tblHeader/>
          <w:jc w:val="center"/>
        </w:trPr>
        <w:tc>
          <w:tcPr>
            <w:tcW w:w="3888" w:type="dxa"/>
            <w:tcBorders>
              <w:top w:val="single" w:color="000000" w:sz="12" w:space="0"/>
              <w:bottom w:val="single" w:color="000000" w:sz="4" w:space="0"/>
              <w:tl2br w:val="nil"/>
            </w:tcBorders>
            <w:shd w:val="clear" w:color="auto" w:fill="FFFFFF"/>
            <w:tcMar>
              <w:top w:w="80" w:type="dxa"/>
              <w:left w:w="100" w:type="dxa"/>
              <w:bottom w:w="80" w:type="dxa"/>
              <w:right w:w="100" w:type="dxa"/>
            </w:tcMar>
            <w:vAlign w:val="center"/>
          </w:tcPr>
          <w:p w14:paraId="03619E85">
            <w:pPr>
              <w:snapToGrid w:val="0"/>
              <w:ind w:left="0" w:leftChars="0" w:right="0" w:rightChars="0" w:firstLine="0" w:firstLineChars="0"/>
              <w:jc w:val="center"/>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Effect</w:t>
            </w:r>
          </w:p>
        </w:tc>
        <w:tc>
          <w:tcPr>
            <w:tcW w:w="1440" w:type="dxa"/>
            <w:tcBorders>
              <w:top w:val="single" w:color="000000" w:sz="12" w:space="0"/>
              <w:bottom w:val="single" w:color="000000" w:sz="4" w:space="0"/>
            </w:tcBorders>
            <w:shd w:val="clear" w:color="auto" w:fill="FFFFFF"/>
            <w:tcMar>
              <w:top w:w="80" w:type="dxa"/>
              <w:left w:w="100" w:type="dxa"/>
              <w:bottom w:w="80" w:type="dxa"/>
              <w:right w:w="100" w:type="dxa"/>
            </w:tcMar>
            <w:vAlign w:val="center"/>
          </w:tcPr>
          <w:p w14:paraId="56EB4F3D">
            <w:pPr>
              <w:snapToGrid w:val="0"/>
              <w:ind w:left="0" w:leftChars="0" w:right="0" w:rightChars="0" w:firstLine="0" w:firstLineChars="0"/>
              <w:jc w:val="center"/>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Estimate</w:t>
            </w:r>
          </w:p>
        </w:tc>
        <w:tc>
          <w:tcPr>
            <w:tcW w:w="3168" w:type="dxa"/>
            <w:tcBorders>
              <w:top w:val="single" w:color="000000" w:sz="12" w:space="0"/>
              <w:bottom w:val="single" w:color="000000" w:sz="4" w:space="0"/>
            </w:tcBorders>
            <w:shd w:val="clear" w:color="auto" w:fill="FFFFFF"/>
            <w:tcMar>
              <w:top w:w="80" w:type="dxa"/>
              <w:left w:w="100" w:type="dxa"/>
              <w:bottom w:w="80" w:type="dxa"/>
              <w:right w:w="100" w:type="dxa"/>
            </w:tcMar>
            <w:vAlign w:val="center"/>
          </w:tcPr>
          <w:p w14:paraId="2E95EA13">
            <w:pPr>
              <w:snapToGrid w:val="0"/>
              <w:ind w:left="0" w:leftChars="0" w:right="0" w:rightChars="0" w:firstLine="0" w:firstLineChars="0"/>
              <w:jc w:val="center"/>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95% CI</w:t>
            </w:r>
          </w:p>
        </w:tc>
        <w:tc>
          <w:tcPr>
            <w:tcW w:w="1152" w:type="dxa"/>
            <w:tcBorders>
              <w:top w:val="single" w:color="000000" w:sz="12" w:space="0"/>
              <w:bottom w:val="single" w:color="000000" w:sz="4" w:space="0"/>
            </w:tcBorders>
            <w:shd w:val="clear" w:color="auto" w:fill="FFFFFF"/>
            <w:tcMar>
              <w:top w:w="80" w:type="dxa"/>
              <w:left w:w="100" w:type="dxa"/>
              <w:bottom w:w="80" w:type="dxa"/>
              <w:right w:w="100" w:type="dxa"/>
            </w:tcMar>
            <w:vAlign w:val="center"/>
          </w:tcPr>
          <w:p w14:paraId="09DC6CC1">
            <w:pPr>
              <w:snapToGrid w:val="0"/>
              <w:ind w:left="0" w:leftChars="0" w:right="0" w:rightChars="0" w:firstLine="0" w:firstLineChars="0"/>
              <w:jc w:val="center"/>
              <w:rPr>
                <w:rFonts w:hint="default" w:ascii="Times New Roman" w:hAnsi="Times New Roman" w:cs="Times New Roman"/>
                <w:b/>
                <w:bCs/>
                <w:color w:val="000000"/>
                <w:sz w:val="24"/>
                <w:szCs w:val="24"/>
                <w:highlight w:val="none"/>
              </w:rPr>
            </w:pPr>
            <w:r>
              <w:rPr>
                <w:rFonts w:hint="default" w:ascii="Times New Roman" w:hAnsi="Times New Roman" w:cs="Times New Roman"/>
                <w:b/>
                <w:bCs/>
                <w:i/>
                <w:iCs/>
                <w:color w:val="000000"/>
                <w:sz w:val="24"/>
                <w:szCs w:val="24"/>
                <w:highlight w:val="none"/>
              </w:rPr>
              <w:t>P</w:t>
            </w:r>
            <w:r>
              <w:rPr>
                <w:rFonts w:hint="default" w:ascii="Times New Roman" w:hAnsi="Times New Roman" w:cs="Times New Roman"/>
                <w:b/>
                <w:bCs/>
                <w:color w:val="000000"/>
                <w:sz w:val="24"/>
                <w:szCs w:val="24"/>
                <w:highlight w:val="none"/>
              </w:rPr>
              <w:t xml:space="preserve"> </w:t>
            </w:r>
            <w:r>
              <w:rPr>
                <w:rFonts w:hint="default" w:ascii="Times New Roman" w:hAnsi="Times New Roman" w:cs="Times New Roman"/>
                <w:b/>
                <w:bCs/>
                <w:color w:val="000000"/>
                <w:sz w:val="24"/>
                <w:szCs w:val="24"/>
                <w:highlight w:val="none"/>
                <w:lang w:val="en-US" w:eastAsia="zh-CN"/>
              </w:rPr>
              <w:t>v</w:t>
            </w:r>
            <w:r>
              <w:rPr>
                <w:rFonts w:hint="default" w:ascii="Times New Roman" w:hAnsi="Times New Roman" w:cs="Times New Roman"/>
                <w:b/>
                <w:bCs/>
                <w:color w:val="000000"/>
                <w:sz w:val="24"/>
                <w:szCs w:val="24"/>
                <w:highlight w:val="none"/>
              </w:rPr>
              <w:t>alue</w:t>
            </w:r>
          </w:p>
        </w:tc>
      </w:tr>
      <w:tr w14:paraId="5FC3ED6F">
        <w:tblPrEx>
          <w:tblBorders>
            <w:top w:val="single" w:color="000000" w:sz="8" w:space="0"/>
            <w:left w:val="none" w:color="auto" w:sz="0" w:space="0"/>
            <w:bottom w:val="single" w:color="000000" w:sz="8" w:space="0"/>
            <w:right w:val="none" w:color="auto" w:sz="0" w:space="0"/>
            <w:insideH w:val="single" w:color="000000" w:sz="8" w:space="0"/>
            <w:insideV w:val="none" w:color="auto" w:sz="0" w:space="0"/>
          </w:tblBorders>
          <w:tblCellMar>
            <w:top w:w="0" w:type="dxa"/>
            <w:left w:w="108" w:type="dxa"/>
            <w:bottom w:w="0" w:type="dxa"/>
            <w:right w:w="108" w:type="dxa"/>
          </w:tblCellMar>
        </w:tblPrEx>
        <w:trPr>
          <w:jc w:val="center"/>
        </w:trPr>
        <w:tc>
          <w:tcPr>
            <w:tcW w:w="3888" w:type="dxa"/>
            <w:tcBorders>
              <w:top w:val="single" w:color="000000" w:sz="4" w:space="0"/>
              <w:bottom w:val="nil"/>
            </w:tcBorders>
            <w:shd w:val="clear" w:color="auto" w:fill="FFFFFF"/>
            <w:tcMar>
              <w:top w:w="80" w:type="dxa"/>
              <w:left w:w="100" w:type="dxa"/>
              <w:bottom w:w="80" w:type="dxa"/>
              <w:right w:w="100" w:type="dxa"/>
            </w:tcMar>
            <w:vAlign w:val="center"/>
          </w:tcPr>
          <w:p w14:paraId="60A210C8">
            <w:pPr>
              <w:snapToGrid w:val="0"/>
              <w:ind w:left="0" w:leftChars="0" w:right="0" w:rightChars="0" w:firstLine="0" w:firstLineChars="0"/>
              <w:jc w:val="center"/>
              <w:rPr>
                <w:rFonts w:hint="default" w:ascii="Times New Roman" w:hAnsi="Times New Roman" w:cs="Times New Roman"/>
                <w:b w:val="0"/>
                <w:bCs w:val="0"/>
                <w:color w:val="000000"/>
                <w:sz w:val="24"/>
                <w:szCs w:val="24"/>
                <w:highlight w:val="none"/>
              </w:rPr>
            </w:pPr>
            <w:r>
              <w:rPr>
                <w:rFonts w:hint="default" w:ascii="Times New Roman" w:hAnsi="Times New Roman" w:cs="Times New Roman"/>
                <w:b w:val="0"/>
                <w:bCs w:val="0"/>
                <w:color w:val="000000"/>
                <w:sz w:val="24"/>
                <w:szCs w:val="24"/>
                <w:highlight w:val="none"/>
              </w:rPr>
              <w:t>Indirect effect (ACME)</w:t>
            </w:r>
          </w:p>
        </w:tc>
        <w:tc>
          <w:tcPr>
            <w:tcW w:w="1440" w:type="dxa"/>
            <w:tcBorders>
              <w:top w:val="single" w:color="000000" w:sz="4" w:space="0"/>
              <w:bottom w:val="nil"/>
            </w:tcBorders>
            <w:shd w:val="clear" w:color="auto" w:fill="FFFFFF"/>
            <w:tcMar>
              <w:top w:w="80" w:type="dxa"/>
              <w:left w:w="100" w:type="dxa"/>
              <w:bottom w:w="80" w:type="dxa"/>
              <w:right w:w="100" w:type="dxa"/>
            </w:tcMar>
            <w:vAlign w:val="center"/>
          </w:tcPr>
          <w:p w14:paraId="71585281">
            <w:pPr>
              <w:snapToGrid w:val="0"/>
              <w:ind w:left="0" w:leftChars="0" w:right="0" w:rightChars="0" w:firstLine="0" w:firstLineChars="0"/>
              <w:jc w:val="center"/>
              <w:rPr>
                <w:rFonts w:hint="default" w:ascii="Times New Roman" w:hAnsi="Times New Roman" w:cs="Times New Roman"/>
                <w:b w:val="0"/>
                <w:bCs w:val="0"/>
                <w:color w:val="000000"/>
                <w:sz w:val="24"/>
                <w:szCs w:val="24"/>
                <w:highlight w:val="none"/>
              </w:rPr>
            </w:pPr>
            <w:r>
              <w:rPr>
                <w:rFonts w:hint="default" w:ascii="Times New Roman" w:hAnsi="Times New Roman" w:cs="Times New Roman"/>
                <w:b w:val="0"/>
                <w:bCs w:val="0"/>
                <w:color w:val="000000"/>
                <w:sz w:val="24"/>
                <w:szCs w:val="24"/>
                <w:highlight w:val="none"/>
              </w:rPr>
              <w:t>-0.013</w:t>
            </w:r>
          </w:p>
        </w:tc>
        <w:tc>
          <w:tcPr>
            <w:tcW w:w="3168" w:type="dxa"/>
            <w:tcBorders>
              <w:top w:val="single" w:color="000000" w:sz="4" w:space="0"/>
              <w:bottom w:val="nil"/>
            </w:tcBorders>
            <w:shd w:val="clear" w:color="auto" w:fill="FFFFFF"/>
            <w:tcMar>
              <w:top w:w="80" w:type="dxa"/>
              <w:left w:w="100" w:type="dxa"/>
              <w:bottom w:w="80" w:type="dxa"/>
              <w:right w:w="100" w:type="dxa"/>
            </w:tcMar>
            <w:vAlign w:val="center"/>
          </w:tcPr>
          <w:p w14:paraId="333073AE">
            <w:pPr>
              <w:snapToGrid w:val="0"/>
              <w:ind w:left="0" w:leftChars="0" w:right="0" w:rightChars="0" w:firstLine="0" w:firstLineChars="0"/>
              <w:jc w:val="center"/>
              <w:rPr>
                <w:rFonts w:hint="default" w:ascii="Times New Roman" w:hAnsi="Times New Roman" w:cs="Times New Roman"/>
                <w:b w:val="0"/>
                <w:bCs w:val="0"/>
                <w:color w:val="000000"/>
                <w:sz w:val="24"/>
                <w:szCs w:val="24"/>
                <w:highlight w:val="none"/>
              </w:rPr>
            </w:pPr>
            <w:r>
              <w:rPr>
                <w:rFonts w:hint="default" w:ascii="Times New Roman" w:hAnsi="Times New Roman" w:cs="Times New Roman"/>
                <w:b w:val="0"/>
                <w:bCs w:val="0"/>
                <w:color w:val="000000"/>
                <w:sz w:val="24"/>
                <w:szCs w:val="24"/>
                <w:highlight w:val="none"/>
              </w:rPr>
              <w:t>-0.028 to -0.002</w:t>
            </w:r>
          </w:p>
        </w:tc>
        <w:tc>
          <w:tcPr>
            <w:tcW w:w="1152" w:type="dxa"/>
            <w:tcBorders>
              <w:top w:val="single" w:color="000000" w:sz="4" w:space="0"/>
              <w:bottom w:val="nil"/>
            </w:tcBorders>
            <w:shd w:val="clear" w:color="auto" w:fill="FFFFFF"/>
            <w:tcMar>
              <w:top w:w="80" w:type="dxa"/>
              <w:left w:w="100" w:type="dxa"/>
              <w:bottom w:w="80" w:type="dxa"/>
              <w:right w:w="100" w:type="dxa"/>
            </w:tcMar>
            <w:vAlign w:val="center"/>
          </w:tcPr>
          <w:p w14:paraId="29DEC592">
            <w:pPr>
              <w:snapToGrid w:val="0"/>
              <w:ind w:left="0" w:leftChars="0" w:right="0" w:rightChars="0" w:firstLine="0" w:firstLineChars="0"/>
              <w:jc w:val="center"/>
              <w:rPr>
                <w:rFonts w:hint="default" w:ascii="Times New Roman" w:hAnsi="Times New Roman" w:cs="Times New Roman"/>
                <w:b w:val="0"/>
                <w:bCs w:val="0"/>
                <w:color w:val="000000"/>
                <w:sz w:val="24"/>
                <w:szCs w:val="24"/>
                <w:highlight w:val="none"/>
              </w:rPr>
            </w:pPr>
            <w:r>
              <w:rPr>
                <w:rFonts w:hint="default" w:ascii="Times New Roman" w:hAnsi="Times New Roman" w:cs="Times New Roman"/>
                <w:b w:val="0"/>
                <w:bCs w:val="0"/>
                <w:color w:val="000000"/>
                <w:sz w:val="24"/>
                <w:szCs w:val="24"/>
                <w:highlight w:val="none"/>
              </w:rPr>
              <w:t>0.014</w:t>
            </w:r>
          </w:p>
        </w:tc>
      </w:tr>
      <w:tr w14:paraId="563612FE">
        <w:tblPrEx>
          <w:tblBorders>
            <w:top w:val="single" w:color="000000" w:sz="8" w:space="0"/>
            <w:left w:val="none" w:color="auto" w:sz="0" w:space="0"/>
            <w:bottom w:val="single" w:color="000000" w:sz="8" w:space="0"/>
            <w:right w:val="none" w:color="auto" w:sz="0" w:space="0"/>
            <w:insideH w:val="single" w:color="000000" w:sz="8" w:space="0"/>
            <w:insideV w:val="none" w:color="auto" w:sz="0" w:space="0"/>
          </w:tblBorders>
          <w:tblCellMar>
            <w:top w:w="0" w:type="dxa"/>
            <w:left w:w="108" w:type="dxa"/>
            <w:bottom w:w="0" w:type="dxa"/>
            <w:right w:w="108" w:type="dxa"/>
          </w:tblCellMar>
        </w:tblPrEx>
        <w:trPr>
          <w:jc w:val="center"/>
        </w:trPr>
        <w:tc>
          <w:tcPr>
            <w:tcW w:w="3888" w:type="dxa"/>
            <w:tcBorders>
              <w:top w:val="nil"/>
              <w:bottom w:val="nil"/>
            </w:tcBorders>
            <w:shd w:val="clear" w:color="auto" w:fill="FFFFFF"/>
            <w:tcMar>
              <w:top w:w="80" w:type="dxa"/>
              <w:left w:w="100" w:type="dxa"/>
              <w:bottom w:w="80" w:type="dxa"/>
              <w:right w:w="100" w:type="dxa"/>
            </w:tcMar>
            <w:vAlign w:val="center"/>
          </w:tcPr>
          <w:p w14:paraId="519A6D05">
            <w:pPr>
              <w:snapToGrid w:val="0"/>
              <w:ind w:left="0" w:leftChars="0" w:right="0" w:rightChars="0" w:firstLine="0" w:firstLineChars="0"/>
              <w:jc w:val="center"/>
              <w:rPr>
                <w:rFonts w:hint="default" w:ascii="Times New Roman" w:hAnsi="Times New Roman" w:cs="Times New Roman"/>
                <w:b w:val="0"/>
                <w:bCs w:val="0"/>
                <w:color w:val="000000"/>
                <w:sz w:val="24"/>
                <w:szCs w:val="24"/>
                <w:highlight w:val="none"/>
              </w:rPr>
            </w:pPr>
            <w:r>
              <w:rPr>
                <w:rFonts w:hint="default" w:ascii="Times New Roman" w:hAnsi="Times New Roman" w:cs="Times New Roman"/>
                <w:b w:val="0"/>
                <w:bCs w:val="0"/>
                <w:color w:val="000000"/>
                <w:sz w:val="24"/>
                <w:szCs w:val="24"/>
                <w:highlight w:val="none"/>
              </w:rPr>
              <w:t>Direct effect (ADE)</w:t>
            </w:r>
          </w:p>
        </w:tc>
        <w:tc>
          <w:tcPr>
            <w:tcW w:w="1440" w:type="dxa"/>
            <w:tcBorders>
              <w:top w:val="nil"/>
              <w:bottom w:val="nil"/>
            </w:tcBorders>
            <w:shd w:val="clear" w:color="auto" w:fill="FFFFFF"/>
            <w:tcMar>
              <w:top w:w="80" w:type="dxa"/>
              <w:left w:w="100" w:type="dxa"/>
              <w:bottom w:w="80" w:type="dxa"/>
              <w:right w:w="100" w:type="dxa"/>
            </w:tcMar>
            <w:vAlign w:val="center"/>
          </w:tcPr>
          <w:p w14:paraId="0582526C">
            <w:pPr>
              <w:snapToGrid w:val="0"/>
              <w:ind w:left="0" w:leftChars="0" w:right="0" w:rightChars="0" w:firstLine="0" w:firstLineChars="0"/>
              <w:jc w:val="center"/>
              <w:rPr>
                <w:rFonts w:hint="default" w:ascii="Times New Roman" w:hAnsi="Times New Roman" w:cs="Times New Roman"/>
                <w:b w:val="0"/>
                <w:bCs w:val="0"/>
                <w:color w:val="000000"/>
                <w:sz w:val="24"/>
                <w:szCs w:val="24"/>
                <w:highlight w:val="none"/>
              </w:rPr>
            </w:pPr>
            <w:r>
              <w:rPr>
                <w:rFonts w:hint="default" w:ascii="Times New Roman" w:hAnsi="Times New Roman" w:cs="Times New Roman"/>
                <w:b w:val="0"/>
                <w:bCs w:val="0"/>
                <w:color w:val="000000"/>
                <w:sz w:val="24"/>
                <w:szCs w:val="24"/>
                <w:highlight w:val="none"/>
              </w:rPr>
              <w:t>-0.072</w:t>
            </w:r>
          </w:p>
        </w:tc>
        <w:tc>
          <w:tcPr>
            <w:tcW w:w="3168" w:type="dxa"/>
            <w:tcBorders>
              <w:top w:val="nil"/>
              <w:bottom w:val="nil"/>
            </w:tcBorders>
            <w:shd w:val="clear" w:color="auto" w:fill="FFFFFF"/>
            <w:tcMar>
              <w:top w:w="80" w:type="dxa"/>
              <w:left w:w="100" w:type="dxa"/>
              <w:bottom w:w="80" w:type="dxa"/>
              <w:right w:w="100" w:type="dxa"/>
            </w:tcMar>
            <w:vAlign w:val="center"/>
          </w:tcPr>
          <w:p w14:paraId="567F491D">
            <w:pPr>
              <w:snapToGrid w:val="0"/>
              <w:ind w:left="0" w:leftChars="0" w:right="0" w:rightChars="0" w:firstLine="0" w:firstLineChars="0"/>
              <w:jc w:val="center"/>
              <w:rPr>
                <w:rFonts w:hint="default" w:ascii="Times New Roman" w:hAnsi="Times New Roman" w:cs="Times New Roman"/>
                <w:b w:val="0"/>
                <w:bCs w:val="0"/>
                <w:color w:val="000000"/>
                <w:sz w:val="24"/>
                <w:szCs w:val="24"/>
                <w:highlight w:val="none"/>
              </w:rPr>
            </w:pPr>
            <w:r>
              <w:rPr>
                <w:rFonts w:hint="default" w:ascii="Times New Roman" w:hAnsi="Times New Roman" w:cs="Times New Roman"/>
                <w:b w:val="0"/>
                <w:bCs w:val="0"/>
                <w:color w:val="000000"/>
                <w:sz w:val="24"/>
                <w:szCs w:val="24"/>
                <w:highlight w:val="none"/>
              </w:rPr>
              <w:t>-0.136 to -0.012</w:t>
            </w:r>
          </w:p>
        </w:tc>
        <w:tc>
          <w:tcPr>
            <w:tcW w:w="1152" w:type="dxa"/>
            <w:tcBorders>
              <w:top w:val="nil"/>
              <w:bottom w:val="nil"/>
            </w:tcBorders>
            <w:shd w:val="clear" w:color="auto" w:fill="FFFFFF"/>
            <w:tcMar>
              <w:top w:w="80" w:type="dxa"/>
              <w:left w:w="100" w:type="dxa"/>
              <w:bottom w:w="80" w:type="dxa"/>
              <w:right w:w="100" w:type="dxa"/>
            </w:tcMar>
            <w:vAlign w:val="center"/>
          </w:tcPr>
          <w:p w14:paraId="07483729">
            <w:pPr>
              <w:snapToGrid w:val="0"/>
              <w:ind w:left="0" w:leftChars="0" w:right="0" w:rightChars="0" w:firstLine="0" w:firstLineChars="0"/>
              <w:jc w:val="center"/>
              <w:rPr>
                <w:rFonts w:hint="default" w:ascii="Times New Roman" w:hAnsi="Times New Roman" w:cs="Times New Roman"/>
                <w:b w:val="0"/>
                <w:bCs w:val="0"/>
                <w:color w:val="000000"/>
                <w:sz w:val="24"/>
                <w:szCs w:val="24"/>
                <w:highlight w:val="none"/>
              </w:rPr>
            </w:pPr>
            <w:r>
              <w:rPr>
                <w:rFonts w:hint="default" w:ascii="Times New Roman" w:hAnsi="Times New Roman" w:cs="Times New Roman"/>
                <w:b w:val="0"/>
                <w:bCs w:val="0"/>
                <w:color w:val="000000"/>
                <w:sz w:val="24"/>
                <w:szCs w:val="24"/>
                <w:highlight w:val="none"/>
              </w:rPr>
              <w:t>0.020</w:t>
            </w:r>
          </w:p>
        </w:tc>
      </w:tr>
      <w:tr w14:paraId="5BA63C4C">
        <w:tblPrEx>
          <w:tblBorders>
            <w:top w:val="single" w:color="000000" w:sz="8" w:space="0"/>
            <w:left w:val="none" w:color="auto" w:sz="0" w:space="0"/>
            <w:bottom w:val="single" w:color="000000" w:sz="8" w:space="0"/>
            <w:right w:val="none" w:color="auto" w:sz="0" w:space="0"/>
            <w:insideH w:val="single" w:color="000000" w:sz="8" w:space="0"/>
            <w:insideV w:val="none" w:color="auto" w:sz="0" w:space="0"/>
          </w:tblBorders>
          <w:tblCellMar>
            <w:top w:w="0" w:type="dxa"/>
            <w:left w:w="108" w:type="dxa"/>
            <w:bottom w:w="0" w:type="dxa"/>
            <w:right w:w="108" w:type="dxa"/>
          </w:tblCellMar>
        </w:tblPrEx>
        <w:trPr>
          <w:jc w:val="center"/>
        </w:trPr>
        <w:tc>
          <w:tcPr>
            <w:tcW w:w="3888" w:type="dxa"/>
            <w:tcBorders>
              <w:top w:val="nil"/>
              <w:bottom w:val="nil"/>
            </w:tcBorders>
            <w:shd w:val="clear" w:color="auto" w:fill="FFFFFF"/>
            <w:tcMar>
              <w:top w:w="80" w:type="dxa"/>
              <w:left w:w="100" w:type="dxa"/>
              <w:bottom w:w="80" w:type="dxa"/>
              <w:right w:w="100" w:type="dxa"/>
            </w:tcMar>
            <w:vAlign w:val="center"/>
          </w:tcPr>
          <w:p w14:paraId="03F76899">
            <w:pPr>
              <w:snapToGrid w:val="0"/>
              <w:ind w:left="0" w:leftChars="0" w:right="0" w:rightChars="0" w:firstLine="0" w:firstLineChars="0"/>
              <w:jc w:val="center"/>
              <w:rPr>
                <w:rFonts w:hint="default" w:ascii="Times New Roman" w:hAnsi="Times New Roman" w:cs="Times New Roman"/>
                <w:b w:val="0"/>
                <w:bCs w:val="0"/>
                <w:color w:val="000000"/>
                <w:sz w:val="24"/>
                <w:szCs w:val="24"/>
                <w:highlight w:val="none"/>
              </w:rPr>
            </w:pPr>
            <w:r>
              <w:rPr>
                <w:rFonts w:hint="default" w:ascii="Times New Roman" w:hAnsi="Times New Roman" w:cs="Times New Roman"/>
                <w:b w:val="0"/>
                <w:bCs w:val="0"/>
                <w:color w:val="000000"/>
                <w:sz w:val="24"/>
                <w:szCs w:val="24"/>
                <w:highlight w:val="none"/>
              </w:rPr>
              <w:t>Total effect</w:t>
            </w:r>
          </w:p>
        </w:tc>
        <w:tc>
          <w:tcPr>
            <w:tcW w:w="1440" w:type="dxa"/>
            <w:tcBorders>
              <w:top w:val="nil"/>
              <w:bottom w:val="nil"/>
            </w:tcBorders>
            <w:shd w:val="clear" w:color="auto" w:fill="FFFFFF"/>
            <w:tcMar>
              <w:top w:w="80" w:type="dxa"/>
              <w:left w:w="100" w:type="dxa"/>
              <w:bottom w:w="80" w:type="dxa"/>
              <w:right w:w="100" w:type="dxa"/>
            </w:tcMar>
            <w:vAlign w:val="center"/>
          </w:tcPr>
          <w:p w14:paraId="7F2A3F60">
            <w:pPr>
              <w:snapToGrid w:val="0"/>
              <w:ind w:left="0" w:leftChars="0" w:right="0" w:rightChars="0" w:firstLine="0" w:firstLineChars="0"/>
              <w:jc w:val="center"/>
              <w:rPr>
                <w:rFonts w:hint="default" w:ascii="Times New Roman" w:hAnsi="Times New Roman" w:cs="Times New Roman"/>
                <w:b w:val="0"/>
                <w:bCs w:val="0"/>
                <w:color w:val="000000"/>
                <w:sz w:val="24"/>
                <w:szCs w:val="24"/>
                <w:highlight w:val="none"/>
              </w:rPr>
            </w:pPr>
            <w:r>
              <w:rPr>
                <w:rFonts w:hint="default" w:ascii="Times New Roman" w:hAnsi="Times New Roman" w:cs="Times New Roman"/>
                <w:b w:val="0"/>
                <w:bCs w:val="0"/>
                <w:color w:val="000000"/>
                <w:sz w:val="24"/>
                <w:szCs w:val="24"/>
                <w:highlight w:val="none"/>
              </w:rPr>
              <w:t>-0.086</w:t>
            </w:r>
          </w:p>
        </w:tc>
        <w:tc>
          <w:tcPr>
            <w:tcW w:w="3168" w:type="dxa"/>
            <w:tcBorders>
              <w:top w:val="nil"/>
              <w:bottom w:val="nil"/>
            </w:tcBorders>
            <w:shd w:val="clear" w:color="auto" w:fill="FFFFFF"/>
            <w:tcMar>
              <w:top w:w="80" w:type="dxa"/>
              <w:left w:w="100" w:type="dxa"/>
              <w:bottom w:w="80" w:type="dxa"/>
              <w:right w:w="100" w:type="dxa"/>
            </w:tcMar>
            <w:vAlign w:val="center"/>
          </w:tcPr>
          <w:p w14:paraId="5CB116BD">
            <w:pPr>
              <w:snapToGrid w:val="0"/>
              <w:ind w:left="0" w:leftChars="0" w:right="0" w:rightChars="0" w:firstLine="0" w:firstLineChars="0"/>
              <w:jc w:val="center"/>
              <w:rPr>
                <w:rFonts w:hint="default" w:ascii="Times New Roman" w:hAnsi="Times New Roman" w:cs="Times New Roman"/>
                <w:b w:val="0"/>
                <w:bCs w:val="0"/>
                <w:color w:val="000000"/>
                <w:sz w:val="24"/>
                <w:szCs w:val="24"/>
                <w:highlight w:val="none"/>
              </w:rPr>
            </w:pPr>
            <w:r>
              <w:rPr>
                <w:rFonts w:hint="default" w:ascii="Times New Roman" w:hAnsi="Times New Roman" w:cs="Times New Roman"/>
                <w:b w:val="0"/>
                <w:bCs w:val="0"/>
                <w:color w:val="000000"/>
                <w:sz w:val="24"/>
                <w:szCs w:val="24"/>
                <w:highlight w:val="none"/>
              </w:rPr>
              <w:t>-0.150 to -0.024</w:t>
            </w:r>
          </w:p>
        </w:tc>
        <w:tc>
          <w:tcPr>
            <w:tcW w:w="1152" w:type="dxa"/>
            <w:tcBorders>
              <w:top w:val="nil"/>
              <w:bottom w:val="nil"/>
            </w:tcBorders>
            <w:shd w:val="clear" w:color="auto" w:fill="FFFFFF"/>
            <w:tcMar>
              <w:top w:w="80" w:type="dxa"/>
              <w:left w:w="100" w:type="dxa"/>
              <w:bottom w:w="80" w:type="dxa"/>
              <w:right w:w="100" w:type="dxa"/>
            </w:tcMar>
            <w:vAlign w:val="center"/>
          </w:tcPr>
          <w:p w14:paraId="7A2D4980">
            <w:pPr>
              <w:snapToGrid w:val="0"/>
              <w:ind w:left="0" w:leftChars="0" w:right="0" w:rightChars="0" w:firstLine="0" w:firstLineChars="0"/>
              <w:jc w:val="center"/>
              <w:rPr>
                <w:rFonts w:hint="default" w:ascii="Times New Roman" w:hAnsi="Times New Roman" w:cs="Times New Roman"/>
                <w:b w:val="0"/>
                <w:bCs w:val="0"/>
                <w:color w:val="000000"/>
                <w:sz w:val="24"/>
                <w:szCs w:val="24"/>
                <w:highlight w:val="none"/>
              </w:rPr>
            </w:pPr>
            <w:r>
              <w:rPr>
                <w:rFonts w:hint="default" w:ascii="Times New Roman" w:hAnsi="Times New Roman" w:cs="Times New Roman"/>
                <w:b w:val="0"/>
                <w:bCs w:val="0"/>
                <w:color w:val="000000"/>
                <w:sz w:val="24"/>
                <w:szCs w:val="24"/>
                <w:highlight w:val="none"/>
              </w:rPr>
              <w:t>0.006</w:t>
            </w:r>
          </w:p>
        </w:tc>
      </w:tr>
      <w:tr w14:paraId="77CA4116">
        <w:tblPrEx>
          <w:tblBorders>
            <w:top w:val="single" w:color="000000" w:sz="8" w:space="0"/>
            <w:left w:val="none" w:color="auto" w:sz="0" w:space="0"/>
            <w:bottom w:val="single" w:color="000000" w:sz="8" w:space="0"/>
            <w:right w:val="none" w:color="auto" w:sz="0" w:space="0"/>
            <w:insideH w:val="single" w:color="000000" w:sz="8" w:space="0"/>
            <w:insideV w:val="none" w:color="auto" w:sz="0" w:space="0"/>
          </w:tblBorders>
          <w:tblCellMar>
            <w:top w:w="0" w:type="dxa"/>
            <w:left w:w="108" w:type="dxa"/>
            <w:bottom w:w="0" w:type="dxa"/>
            <w:right w:w="108" w:type="dxa"/>
          </w:tblCellMar>
        </w:tblPrEx>
        <w:trPr>
          <w:jc w:val="center"/>
        </w:trPr>
        <w:tc>
          <w:tcPr>
            <w:tcW w:w="3888" w:type="dxa"/>
            <w:tcBorders>
              <w:top w:val="nil"/>
              <w:bottom w:val="single" w:color="000000" w:sz="12" w:space="0"/>
            </w:tcBorders>
            <w:shd w:val="clear" w:color="auto" w:fill="FFFFFF"/>
            <w:tcMar>
              <w:top w:w="80" w:type="dxa"/>
              <w:left w:w="100" w:type="dxa"/>
              <w:bottom w:w="80" w:type="dxa"/>
              <w:right w:w="100" w:type="dxa"/>
            </w:tcMar>
            <w:vAlign w:val="center"/>
          </w:tcPr>
          <w:p w14:paraId="20A7CEAB">
            <w:pPr>
              <w:snapToGrid w:val="0"/>
              <w:ind w:left="0" w:leftChars="0" w:right="0" w:rightChars="0" w:firstLine="0" w:firstLineChars="0"/>
              <w:jc w:val="center"/>
              <w:rPr>
                <w:rFonts w:hint="default" w:ascii="Times New Roman" w:hAnsi="Times New Roman" w:cs="Times New Roman"/>
                <w:b w:val="0"/>
                <w:bCs w:val="0"/>
                <w:color w:val="000000"/>
                <w:sz w:val="24"/>
                <w:szCs w:val="24"/>
                <w:highlight w:val="none"/>
              </w:rPr>
            </w:pPr>
            <w:r>
              <w:rPr>
                <w:rFonts w:hint="default" w:ascii="Times New Roman" w:hAnsi="Times New Roman" w:cs="Times New Roman"/>
                <w:b w:val="0"/>
                <w:bCs w:val="0"/>
                <w:color w:val="000000"/>
                <w:sz w:val="24"/>
                <w:szCs w:val="24"/>
                <w:highlight w:val="none"/>
              </w:rPr>
              <w:t>Proportion mediated</w:t>
            </w:r>
          </w:p>
        </w:tc>
        <w:tc>
          <w:tcPr>
            <w:tcW w:w="1440" w:type="dxa"/>
            <w:tcBorders>
              <w:top w:val="nil"/>
              <w:bottom w:val="single" w:color="000000" w:sz="12" w:space="0"/>
            </w:tcBorders>
            <w:shd w:val="clear" w:color="auto" w:fill="FFFFFF"/>
            <w:tcMar>
              <w:top w:w="80" w:type="dxa"/>
              <w:left w:w="100" w:type="dxa"/>
              <w:bottom w:w="80" w:type="dxa"/>
              <w:right w:w="100" w:type="dxa"/>
            </w:tcMar>
            <w:vAlign w:val="center"/>
          </w:tcPr>
          <w:p w14:paraId="6E116F73">
            <w:pPr>
              <w:snapToGrid w:val="0"/>
              <w:ind w:left="0" w:leftChars="0" w:right="0" w:rightChars="0" w:firstLine="0" w:firstLineChars="0"/>
              <w:jc w:val="center"/>
              <w:rPr>
                <w:rFonts w:hint="default" w:ascii="Times New Roman" w:hAnsi="Times New Roman" w:cs="Times New Roman"/>
                <w:b w:val="0"/>
                <w:bCs w:val="0"/>
                <w:color w:val="000000"/>
                <w:sz w:val="24"/>
                <w:szCs w:val="24"/>
                <w:highlight w:val="none"/>
              </w:rPr>
            </w:pPr>
            <w:r>
              <w:rPr>
                <w:rFonts w:hint="default" w:ascii="Times New Roman" w:hAnsi="Times New Roman" w:cs="Times New Roman"/>
                <w:b w:val="0"/>
                <w:bCs w:val="0"/>
                <w:color w:val="000000"/>
                <w:sz w:val="24"/>
                <w:szCs w:val="24"/>
                <w:highlight w:val="none"/>
              </w:rPr>
              <w:t>15.3%</w:t>
            </w:r>
          </w:p>
        </w:tc>
        <w:tc>
          <w:tcPr>
            <w:tcW w:w="3168" w:type="dxa"/>
            <w:tcBorders>
              <w:top w:val="nil"/>
              <w:bottom w:val="single" w:color="000000" w:sz="12" w:space="0"/>
            </w:tcBorders>
            <w:shd w:val="clear" w:color="auto" w:fill="FFFFFF"/>
            <w:tcMar>
              <w:top w:w="80" w:type="dxa"/>
              <w:left w:w="100" w:type="dxa"/>
              <w:bottom w:w="80" w:type="dxa"/>
              <w:right w:w="100" w:type="dxa"/>
            </w:tcMar>
            <w:vAlign w:val="center"/>
          </w:tcPr>
          <w:p w14:paraId="666A6C98">
            <w:pPr>
              <w:snapToGrid w:val="0"/>
              <w:ind w:left="0" w:leftChars="0" w:right="0" w:rightChars="0" w:firstLine="0" w:firstLineChars="0"/>
              <w:jc w:val="center"/>
              <w:rPr>
                <w:rFonts w:hint="default" w:ascii="Times New Roman" w:hAnsi="Times New Roman" w:cs="Times New Roman"/>
                <w:b w:val="0"/>
                <w:bCs w:val="0"/>
                <w:color w:val="000000"/>
                <w:sz w:val="24"/>
                <w:szCs w:val="24"/>
                <w:highlight w:val="none"/>
              </w:rPr>
            </w:pPr>
            <w:r>
              <w:rPr>
                <w:rFonts w:hint="default" w:ascii="Times New Roman" w:hAnsi="Times New Roman" w:cs="Times New Roman"/>
                <w:b w:val="0"/>
                <w:bCs w:val="0"/>
                <w:color w:val="000000"/>
                <w:sz w:val="24"/>
                <w:szCs w:val="24"/>
                <w:highlight w:val="none"/>
              </w:rPr>
              <w:t>2.4% to 55.1%</w:t>
            </w:r>
          </w:p>
        </w:tc>
        <w:tc>
          <w:tcPr>
            <w:tcW w:w="1152" w:type="dxa"/>
            <w:tcBorders>
              <w:top w:val="nil"/>
              <w:bottom w:val="single" w:color="000000" w:sz="12" w:space="0"/>
            </w:tcBorders>
            <w:shd w:val="clear" w:color="auto" w:fill="FFFFFF"/>
            <w:tcMar>
              <w:top w:w="80" w:type="dxa"/>
              <w:left w:w="100" w:type="dxa"/>
              <w:bottom w:w="80" w:type="dxa"/>
              <w:right w:w="100" w:type="dxa"/>
            </w:tcMar>
            <w:vAlign w:val="center"/>
          </w:tcPr>
          <w:p w14:paraId="1B306FC7">
            <w:pPr>
              <w:snapToGrid w:val="0"/>
              <w:ind w:left="0" w:leftChars="0" w:right="0" w:rightChars="0" w:firstLine="0" w:firstLineChars="0"/>
              <w:jc w:val="center"/>
              <w:rPr>
                <w:rFonts w:hint="default" w:ascii="Times New Roman" w:hAnsi="Times New Roman" w:cs="Times New Roman"/>
                <w:b w:val="0"/>
                <w:bCs w:val="0"/>
                <w:color w:val="000000"/>
                <w:sz w:val="24"/>
                <w:szCs w:val="24"/>
                <w:highlight w:val="none"/>
              </w:rPr>
            </w:pPr>
            <w:r>
              <w:rPr>
                <w:rFonts w:hint="default" w:ascii="Times New Roman" w:hAnsi="Times New Roman" w:cs="Times New Roman"/>
                <w:b w:val="0"/>
                <w:bCs w:val="0"/>
                <w:color w:val="000000"/>
                <w:sz w:val="24"/>
                <w:szCs w:val="24"/>
                <w:highlight w:val="none"/>
              </w:rPr>
              <w:t>0.020</w:t>
            </w:r>
          </w:p>
        </w:tc>
      </w:tr>
    </w:tbl>
    <w:p w14:paraId="2AE79670">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 xml:space="preserve">Mediation analysis was performed to explore whether LAD may partly account for the association between LDL-C levels and the presence of LVAs. Estimates are presented as effect coefficients with 95% confidence intervals (CIs). The proportion mediated represents the percentage of the total effect explained by the indirect pathway through LAD. Confidence intervals and </w:t>
      </w:r>
      <w:r>
        <w:rPr>
          <w:rFonts w:hint="default" w:ascii="Times New Roman" w:hAnsi="Times New Roman" w:eastAsia="宋体" w:cs="Times New Roman"/>
          <w:i/>
          <w:iCs/>
          <w:kern w:val="2"/>
          <w:sz w:val="24"/>
          <w:szCs w:val="24"/>
          <w:highlight w:val="none"/>
          <w:lang w:val="en-US" w:eastAsia="zh-CN" w:bidi="ar"/>
        </w:rPr>
        <w:t>P</w:t>
      </w:r>
      <w:r>
        <w:rPr>
          <w:rFonts w:hint="default" w:ascii="Times New Roman" w:hAnsi="Times New Roman" w:eastAsia="宋体" w:cs="Times New Roman"/>
          <w:kern w:val="2"/>
          <w:sz w:val="24"/>
          <w:szCs w:val="24"/>
          <w:highlight w:val="none"/>
          <w:lang w:val="en-US" w:eastAsia="zh-CN" w:bidi="ar"/>
        </w:rPr>
        <w:t xml:space="preserve"> values were obtained using 1,000 bootstrap iterations.</w:t>
      </w:r>
    </w:p>
    <w:p w14:paraId="05867617">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b/>
          <w:bCs/>
          <w:kern w:val="2"/>
          <w:sz w:val="24"/>
          <w:szCs w:val="24"/>
          <w:highlight w:val="none"/>
          <w:lang w:val="en-US" w:eastAsia="zh-CN" w:bidi="ar"/>
        </w:rPr>
        <w:t>Abbreviations:</w:t>
      </w:r>
      <w:r>
        <w:rPr>
          <w:rFonts w:hint="default" w:ascii="Times New Roman" w:hAnsi="Times New Roman" w:eastAsia="宋体" w:cs="Times New Roman"/>
          <w:kern w:val="2"/>
          <w:sz w:val="24"/>
          <w:szCs w:val="24"/>
          <w:highlight w:val="none"/>
          <w:lang w:val="en-US" w:eastAsia="zh-CN" w:bidi="ar"/>
        </w:rPr>
        <w:t xml:space="preserve"> LAD, left atrial diameter; LDL-C, low-density lipoprotein cholesterol; LVAs, left atrial low-voltage areas; ACME, average causal mediation effect; ADE, average direct effect; CI, confidence interval.</w:t>
      </w:r>
    </w:p>
    <w:p w14:paraId="236CB4B6">
      <w:pPr>
        <w:spacing w:line="480" w:lineRule="auto"/>
        <w:rPr>
          <w:rFonts w:hint="default" w:ascii="Times New Roman" w:hAnsi="Times New Roman" w:cs="Times New Roman" w:eastAsiaTheme="minorEastAsia"/>
          <w:b w:val="0"/>
          <w:bCs w:val="0"/>
          <w:kern w:val="0"/>
          <w:sz w:val="24"/>
          <w:szCs w:val="24"/>
          <w:highlight w:val="none"/>
          <w:lang w:val="en-US" w:eastAsia="zh-CN" w:bidi="ar"/>
        </w:rPr>
      </w:pPr>
      <w:r>
        <w:rPr>
          <w:rFonts w:hint="default" w:ascii="Times New Roman" w:hAnsi="Times New Roman" w:cs="Times New Roman" w:eastAsiaTheme="minorEastAsia"/>
          <w:b/>
          <w:bCs/>
          <w:kern w:val="0"/>
          <w:sz w:val="24"/>
          <w:szCs w:val="24"/>
          <w:highlight w:val="none"/>
          <w:lang w:val="en-US" w:eastAsia="zh-CN" w:bidi="ar"/>
        </w:rPr>
        <w:t>Supplementary Table S5.</w:t>
      </w:r>
      <w:r>
        <w:rPr>
          <w:rFonts w:hint="default" w:ascii="Times New Roman" w:hAnsi="Times New Roman" w:cs="Times New Roman" w:eastAsiaTheme="minorEastAsia"/>
          <w:b w:val="0"/>
          <w:bCs w:val="0"/>
          <w:kern w:val="0"/>
          <w:sz w:val="24"/>
          <w:szCs w:val="24"/>
          <w:highlight w:val="none"/>
          <w:lang w:val="en-US" w:eastAsia="zh-CN" w:bidi="ar"/>
        </w:rPr>
        <w:t xml:space="preserve"> Baseline characteristics according to quartiles of low-density lipoprotein cholesterol</w:t>
      </w:r>
      <w:r>
        <w:rPr>
          <w:rFonts w:hint="default" w:ascii="Times New Roman" w:hAnsi="Times New Roman" w:cs="Times New Roman"/>
          <w:b w:val="0"/>
          <w:bCs w:val="0"/>
          <w:kern w:val="0"/>
          <w:sz w:val="24"/>
          <w:szCs w:val="24"/>
          <w:highlight w:val="none"/>
          <w:lang w:val="en-US" w:eastAsia="zh-CN" w:bidi="ar"/>
        </w:rPr>
        <w:t>.</w:t>
      </w:r>
    </w:p>
    <w:tbl>
      <w:tblPr>
        <w:tblStyle w:val="8"/>
        <w:tblW w:w="8504" w:type="dxa"/>
        <w:jc w:val="center"/>
        <w:tblLayout w:type="fixed"/>
        <w:tblCellMar>
          <w:top w:w="0" w:type="dxa"/>
          <w:left w:w="108" w:type="dxa"/>
          <w:bottom w:w="0" w:type="dxa"/>
          <w:right w:w="108" w:type="dxa"/>
        </w:tblCellMar>
      </w:tblPr>
      <w:tblGrid>
        <w:gridCol w:w="2247"/>
        <w:gridCol w:w="1257"/>
        <w:gridCol w:w="1257"/>
        <w:gridCol w:w="1257"/>
        <w:gridCol w:w="1257"/>
        <w:gridCol w:w="1229"/>
      </w:tblGrid>
      <w:tr w14:paraId="42C99707">
        <w:tblPrEx>
          <w:tblCellMar>
            <w:top w:w="0" w:type="dxa"/>
            <w:left w:w="108" w:type="dxa"/>
            <w:bottom w:w="0" w:type="dxa"/>
            <w:right w:w="108" w:type="dxa"/>
          </w:tblCellMar>
        </w:tblPrEx>
        <w:trPr>
          <w:tblHeader/>
          <w:jc w:val="center"/>
        </w:trPr>
        <w:tc>
          <w:tcPr>
            <w:tcW w:w="3118" w:type="dxa"/>
            <w:tcBorders>
              <w:top w:val="single" w:color="000000" w:sz="12" w:space="0"/>
              <w:left w:val="nil"/>
              <w:bottom w:val="single" w:color="000000" w:sz="4" w:space="0"/>
              <w:right w:val="nil"/>
              <w:tl2br w:val="nil"/>
            </w:tcBorders>
            <w:shd w:val="clear" w:color="auto" w:fill="FFFFFF"/>
            <w:vAlign w:val="center"/>
          </w:tcPr>
          <w:p w14:paraId="357E49E8">
            <w:pPr>
              <w:spacing w:before="0" w:after="0" w:line="240" w:lineRule="auto"/>
              <w:jc w:val="center"/>
              <w:rPr>
                <w:rFonts w:hint="default" w:ascii="Times New Roman" w:hAnsi="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Variable</w:t>
            </w:r>
          </w:p>
        </w:tc>
        <w:tc>
          <w:tcPr>
            <w:tcW w:w="1701" w:type="dxa"/>
            <w:tcBorders>
              <w:top w:val="single" w:color="000000" w:sz="12" w:space="0"/>
              <w:left w:val="nil"/>
              <w:bottom w:val="single" w:color="000000" w:sz="4" w:space="0"/>
              <w:right w:val="nil"/>
            </w:tcBorders>
            <w:shd w:val="clear" w:color="auto" w:fill="FFFFFF"/>
            <w:vAlign w:val="center"/>
          </w:tcPr>
          <w:p w14:paraId="5ED32F62">
            <w:pPr>
              <w:spacing w:before="0" w:after="0" w:line="240" w:lineRule="auto"/>
              <w:jc w:val="center"/>
              <w:rPr>
                <w:rFonts w:hint="default" w:ascii="Times New Roman" w:hAnsi="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0.55-1.88 mmol/L (n=102)</w:t>
            </w:r>
          </w:p>
        </w:tc>
        <w:tc>
          <w:tcPr>
            <w:tcW w:w="1701" w:type="dxa"/>
            <w:tcBorders>
              <w:top w:val="single" w:color="000000" w:sz="12" w:space="0"/>
              <w:left w:val="nil"/>
              <w:bottom w:val="single" w:color="000000" w:sz="4" w:space="0"/>
              <w:right w:val="nil"/>
            </w:tcBorders>
            <w:shd w:val="clear" w:color="auto" w:fill="FFFFFF"/>
            <w:vAlign w:val="center"/>
          </w:tcPr>
          <w:p w14:paraId="6F577BCC">
            <w:pPr>
              <w:spacing w:before="0" w:after="0" w:line="240" w:lineRule="auto"/>
              <w:jc w:val="center"/>
              <w:rPr>
                <w:rFonts w:hint="default" w:ascii="Times New Roman" w:hAnsi="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1.88-2.35 mmol/L (n=101)</w:t>
            </w:r>
          </w:p>
        </w:tc>
        <w:tc>
          <w:tcPr>
            <w:tcW w:w="1701" w:type="dxa"/>
            <w:tcBorders>
              <w:top w:val="single" w:color="000000" w:sz="12" w:space="0"/>
              <w:left w:val="nil"/>
              <w:bottom w:val="single" w:color="000000" w:sz="4" w:space="0"/>
              <w:right w:val="nil"/>
            </w:tcBorders>
            <w:shd w:val="clear" w:color="auto" w:fill="FFFFFF"/>
            <w:vAlign w:val="center"/>
          </w:tcPr>
          <w:p w14:paraId="21778EB5">
            <w:pPr>
              <w:spacing w:before="0" w:after="0" w:line="240" w:lineRule="auto"/>
              <w:jc w:val="center"/>
              <w:rPr>
                <w:rFonts w:hint="default" w:ascii="Times New Roman" w:hAnsi="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2.35-2.90 mmol/L (n=100)</w:t>
            </w:r>
          </w:p>
        </w:tc>
        <w:tc>
          <w:tcPr>
            <w:tcW w:w="1701" w:type="dxa"/>
            <w:tcBorders>
              <w:top w:val="single" w:color="000000" w:sz="12" w:space="0"/>
              <w:left w:val="nil"/>
              <w:bottom w:val="single" w:color="000000" w:sz="4" w:space="0"/>
              <w:right w:val="nil"/>
            </w:tcBorders>
            <w:shd w:val="clear" w:color="auto" w:fill="FFFFFF"/>
            <w:vAlign w:val="center"/>
          </w:tcPr>
          <w:p w14:paraId="531AB484">
            <w:pPr>
              <w:spacing w:before="0" w:after="0" w:line="240" w:lineRule="auto"/>
              <w:jc w:val="center"/>
              <w:rPr>
                <w:rFonts w:hint="default" w:ascii="Times New Roman" w:hAnsi="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2.90-4.82 mmol/L (n=101)</w:t>
            </w:r>
          </w:p>
        </w:tc>
        <w:tc>
          <w:tcPr>
            <w:tcW w:w="1247" w:type="dxa"/>
            <w:tcBorders>
              <w:top w:val="single" w:color="000000" w:sz="12" w:space="0"/>
              <w:left w:val="nil"/>
              <w:bottom w:val="single" w:color="000000" w:sz="4" w:space="0"/>
              <w:right w:val="nil"/>
            </w:tcBorders>
            <w:shd w:val="clear" w:color="auto" w:fill="FFFFFF"/>
            <w:vAlign w:val="center"/>
          </w:tcPr>
          <w:p w14:paraId="7A711C35">
            <w:pPr>
              <w:spacing w:before="0" w:after="0" w:line="240" w:lineRule="auto"/>
              <w:jc w:val="center"/>
              <w:rPr>
                <w:rFonts w:hint="default" w:ascii="Times New Roman" w:hAnsi="Times New Roman" w:cs="Times New Roman"/>
                <w:b/>
                <w:bCs/>
                <w:color w:val="000000"/>
                <w:sz w:val="24"/>
                <w:szCs w:val="24"/>
                <w:highlight w:val="none"/>
              </w:rPr>
            </w:pPr>
            <w:r>
              <w:rPr>
                <w:rFonts w:hint="default" w:ascii="Times New Roman" w:hAnsi="Times New Roman" w:cs="Times New Roman"/>
                <w:b/>
                <w:bCs/>
                <w:i/>
                <w:iCs/>
                <w:color w:val="000000"/>
                <w:sz w:val="24"/>
                <w:szCs w:val="24"/>
                <w:highlight w:val="none"/>
              </w:rPr>
              <w:t>P</w:t>
            </w:r>
            <w:r>
              <w:rPr>
                <w:rFonts w:hint="default" w:ascii="Times New Roman" w:hAnsi="Times New Roman" w:cs="Times New Roman"/>
                <w:b/>
                <w:bCs/>
                <w:color w:val="000000"/>
                <w:sz w:val="24"/>
                <w:szCs w:val="24"/>
                <w:highlight w:val="none"/>
              </w:rPr>
              <w:t xml:space="preserve"> </w:t>
            </w:r>
            <w:r>
              <w:rPr>
                <w:rFonts w:hint="default" w:ascii="Times New Roman" w:hAnsi="Times New Roman" w:cs="Times New Roman"/>
                <w:b/>
                <w:bCs/>
                <w:color w:val="000000"/>
                <w:sz w:val="24"/>
                <w:szCs w:val="24"/>
                <w:highlight w:val="none"/>
                <w:lang w:val="en-US" w:eastAsia="zh-CN"/>
              </w:rPr>
              <w:t>v</w:t>
            </w:r>
            <w:r>
              <w:rPr>
                <w:rFonts w:hint="default" w:ascii="Times New Roman" w:hAnsi="Times New Roman" w:cs="Times New Roman"/>
                <w:b/>
                <w:bCs/>
                <w:color w:val="000000"/>
                <w:sz w:val="24"/>
                <w:szCs w:val="24"/>
                <w:highlight w:val="none"/>
              </w:rPr>
              <w:t>alue</w:t>
            </w:r>
          </w:p>
        </w:tc>
      </w:tr>
      <w:tr w14:paraId="69FEF9CB">
        <w:tblPrEx>
          <w:tblCellMar>
            <w:top w:w="0" w:type="dxa"/>
            <w:left w:w="108" w:type="dxa"/>
            <w:bottom w:w="0" w:type="dxa"/>
            <w:right w:w="108" w:type="dxa"/>
          </w:tblCellMar>
        </w:tblPrEx>
        <w:trPr>
          <w:jc w:val="center"/>
        </w:trPr>
        <w:tc>
          <w:tcPr>
            <w:tcW w:w="1662" w:type="dxa"/>
            <w:tcBorders>
              <w:top w:val="single" w:color="000000" w:sz="4" w:space="0"/>
              <w:left w:val="nil"/>
              <w:bottom w:val="nil"/>
              <w:right w:val="nil"/>
            </w:tcBorders>
            <w:shd w:val="clear" w:color="auto" w:fill="FFFFFF"/>
            <w:vAlign w:val="center"/>
          </w:tcPr>
          <w:p w14:paraId="050B1504">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Age , years</w:t>
            </w:r>
          </w:p>
        </w:tc>
        <w:tc>
          <w:tcPr>
            <w:tcW w:w="1662" w:type="dxa"/>
            <w:tcBorders>
              <w:top w:val="single" w:color="000000" w:sz="4" w:space="0"/>
              <w:left w:val="nil"/>
              <w:bottom w:val="nil"/>
              <w:right w:val="nil"/>
            </w:tcBorders>
            <w:shd w:val="clear" w:color="auto" w:fill="FFFFFF"/>
            <w:vAlign w:val="center"/>
          </w:tcPr>
          <w:p w14:paraId="201CB439">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69.50 (63.25, 74.00)</w:t>
            </w:r>
          </w:p>
        </w:tc>
        <w:tc>
          <w:tcPr>
            <w:tcW w:w="1662" w:type="dxa"/>
            <w:tcBorders>
              <w:top w:val="single" w:color="000000" w:sz="4" w:space="0"/>
              <w:left w:val="nil"/>
              <w:bottom w:val="nil"/>
              <w:right w:val="nil"/>
            </w:tcBorders>
            <w:shd w:val="clear" w:color="auto" w:fill="FFFFFF"/>
            <w:vAlign w:val="center"/>
          </w:tcPr>
          <w:p w14:paraId="786F1036">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67.00 (61.00, 71.00)</w:t>
            </w:r>
          </w:p>
        </w:tc>
        <w:tc>
          <w:tcPr>
            <w:tcW w:w="1662" w:type="dxa"/>
            <w:tcBorders>
              <w:top w:val="single" w:color="000000" w:sz="4" w:space="0"/>
              <w:left w:val="nil"/>
              <w:bottom w:val="nil"/>
              <w:right w:val="nil"/>
            </w:tcBorders>
            <w:shd w:val="clear" w:color="auto" w:fill="FFFFFF"/>
            <w:vAlign w:val="center"/>
          </w:tcPr>
          <w:p w14:paraId="497D9935">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67.00 (62.00, 72.00)</w:t>
            </w:r>
          </w:p>
        </w:tc>
        <w:tc>
          <w:tcPr>
            <w:tcW w:w="1662" w:type="dxa"/>
            <w:tcBorders>
              <w:top w:val="single" w:color="000000" w:sz="4" w:space="0"/>
              <w:left w:val="nil"/>
              <w:bottom w:val="nil"/>
              <w:right w:val="nil"/>
            </w:tcBorders>
            <w:shd w:val="clear" w:color="auto" w:fill="FFFFFF"/>
            <w:vAlign w:val="center"/>
          </w:tcPr>
          <w:p w14:paraId="28415147">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66.00 (57.00, 72.00)</w:t>
            </w:r>
          </w:p>
        </w:tc>
        <w:tc>
          <w:tcPr>
            <w:tcW w:w="1662" w:type="dxa"/>
            <w:tcBorders>
              <w:top w:val="single" w:color="000000" w:sz="4" w:space="0"/>
              <w:left w:val="nil"/>
              <w:bottom w:val="nil"/>
              <w:right w:val="nil"/>
            </w:tcBorders>
            <w:shd w:val="clear" w:color="auto" w:fill="FFFFFF"/>
            <w:vAlign w:val="center"/>
          </w:tcPr>
          <w:p w14:paraId="18594ABF">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0.019</w:t>
            </w:r>
          </w:p>
        </w:tc>
      </w:tr>
      <w:tr w14:paraId="29D7B940">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2F4347FD">
            <w:pPr>
              <w:spacing w:before="0" w:after="0" w:line="240" w:lineRule="auto"/>
              <w:jc w:val="left"/>
              <w:rPr>
                <w:rFonts w:hint="default" w:ascii="Times New Roman" w:hAnsi="Times New Roman" w:eastAsia="宋体" w:cs="Times New Roman"/>
                <w:b w:val="0"/>
                <w:color w:val="000000"/>
                <w:sz w:val="24"/>
                <w:szCs w:val="24"/>
                <w:highlight w:val="none"/>
                <w:lang w:eastAsia="zh-CN"/>
              </w:rPr>
            </w:pPr>
            <w:r>
              <w:rPr>
                <w:rFonts w:hint="default" w:ascii="Times New Roman" w:hAnsi="Times New Roman" w:eastAsia="Times New Roman" w:cs="Times New Roman"/>
                <w:b w:val="0"/>
                <w:color w:val="000000"/>
                <w:sz w:val="24"/>
                <w:szCs w:val="24"/>
                <w:highlight w:val="none"/>
              </w:rPr>
              <w:t>Male,</w:t>
            </w:r>
            <w:r>
              <w:rPr>
                <w:rFonts w:hint="default" w:ascii="Times New Roman" w:hAnsi="Times New Roman" w:eastAsia="宋体" w:cs="Times New Roman"/>
                <w:b w:val="0"/>
                <w:color w:val="000000"/>
                <w:sz w:val="24"/>
                <w:szCs w:val="24"/>
                <w:highlight w:val="none"/>
                <w:lang w:eastAsia="zh-CN"/>
              </w:rPr>
              <w:t>n (%)</w:t>
            </w:r>
          </w:p>
        </w:tc>
        <w:tc>
          <w:tcPr>
            <w:tcW w:w="1662" w:type="dxa"/>
            <w:tcBorders>
              <w:top w:val="nil"/>
              <w:left w:val="nil"/>
              <w:bottom w:val="nil"/>
              <w:right w:val="nil"/>
            </w:tcBorders>
            <w:shd w:val="clear" w:color="auto" w:fill="FFFFFF"/>
            <w:vAlign w:val="center"/>
          </w:tcPr>
          <w:p w14:paraId="10EBE427">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61 (59.8%)</w:t>
            </w:r>
          </w:p>
        </w:tc>
        <w:tc>
          <w:tcPr>
            <w:tcW w:w="1662" w:type="dxa"/>
            <w:tcBorders>
              <w:top w:val="nil"/>
              <w:left w:val="nil"/>
              <w:bottom w:val="nil"/>
              <w:right w:val="nil"/>
            </w:tcBorders>
            <w:shd w:val="clear" w:color="auto" w:fill="FFFFFF"/>
            <w:vAlign w:val="center"/>
          </w:tcPr>
          <w:p w14:paraId="19484F7D">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66 (65.3%)</w:t>
            </w:r>
          </w:p>
        </w:tc>
        <w:tc>
          <w:tcPr>
            <w:tcW w:w="1662" w:type="dxa"/>
            <w:tcBorders>
              <w:top w:val="nil"/>
              <w:left w:val="nil"/>
              <w:bottom w:val="nil"/>
              <w:right w:val="nil"/>
            </w:tcBorders>
            <w:shd w:val="clear" w:color="auto" w:fill="FFFFFF"/>
            <w:vAlign w:val="center"/>
          </w:tcPr>
          <w:p w14:paraId="39AD0BD1">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60 (60.0%)</w:t>
            </w:r>
          </w:p>
        </w:tc>
        <w:tc>
          <w:tcPr>
            <w:tcW w:w="1662" w:type="dxa"/>
            <w:tcBorders>
              <w:top w:val="nil"/>
              <w:left w:val="nil"/>
              <w:bottom w:val="nil"/>
              <w:right w:val="nil"/>
            </w:tcBorders>
            <w:shd w:val="clear" w:color="auto" w:fill="FFFFFF"/>
            <w:vAlign w:val="center"/>
          </w:tcPr>
          <w:p w14:paraId="4CEF88D9">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64 (63.4%)</w:t>
            </w:r>
          </w:p>
        </w:tc>
        <w:tc>
          <w:tcPr>
            <w:tcW w:w="1662" w:type="dxa"/>
            <w:tcBorders>
              <w:top w:val="nil"/>
              <w:left w:val="nil"/>
              <w:bottom w:val="nil"/>
              <w:right w:val="nil"/>
            </w:tcBorders>
            <w:shd w:val="clear" w:color="auto" w:fill="FFFFFF"/>
            <w:vAlign w:val="center"/>
          </w:tcPr>
          <w:p w14:paraId="698E78B7">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0.816</w:t>
            </w:r>
          </w:p>
        </w:tc>
      </w:tr>
      <w:tr w14:paraId="4EDE4A76">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6B8FBA25">
            <w:pPr>
              <w:spacing w:before="0" w:after="0" w:line="240" w:lineRule="auto"/>
              <w:jc w:val="left"/>
              <w:rPr>
                <w:rFonts w:hint="default" w:ascii="Times New Roman" w:hAnsi="Times New Roman" w:eastAsia="宋体" w:cs="Times New Roman"/>
                <w:b w:val="0"/>
                <w:color w:val="000000"/>
                <w:sz w:val="24"/>
                <w:szCs w:val="24"/>
                <w:highlight w:val="none"/>
                <w:lang w:eastAsia="zh-CN"/>
              </w:rPr>
            </w:pPr>
            <w:r>
              <w:rPr>
                <w:rFonts w:hint="default" w:ascii="Times New Roman" w:hAnsi="Times New Roman" w:eastAsia="Times New Roman" w:cs="Times New Roman"/>
                <w:b w:val="0"/>
                <w:color w:val="000000"/>
                <w:sz w:val="24"/>
                <w:szCs w:val="24"/>
                <w:highlight w:val="none"/>
              </w:rPr>
              <w:t>Female,</w:t>
            </w:r>
            <w:r>
              <w:rPr>
                <w:rFonts w:hint="default" w:ascii="Times New Roman" w:hAnsi="Times New Roman" w:eastAsia="宋体" w:cs="Times New Roman"/>
                <w:b w:val="0"/>
                <w:color w:val="000000"/>
                <w:sz w:val="24"/>
                <w:szCs w:val="24"/>
                <w:highlight w:val="none"/>
                <w:lang w:eastAsia="zh-CN"/>
              </w:rPr>
              <w:t>n (%)</w:t>
            </w:r>
          </w:p>
        </w:tc>
        <w:tc>
          <w:tcPr>
            <w:tcW w:w="1662" w:type="dxa"/>
            <w:tcBorders>
              <w:top w:val="nil"/>
              <w:left w:val="nil"/>
              <w:bottom w:val="nil"/>
              <w:right w:val="nil"/>
            </w:tcBorders>
            <w:shd w:val="clear" w:color="auto" w:fill="FFFFFF"/>
            <w:vAlign w:val="center"/>
          </w:tcPr>
          <w:p w14:paraId="76FF7C9E">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41 (40.2%)</w:t>
            </w:r>
          </w:p>
        </w:tc>
        <w:tc>
          <w:tcPr>
            <w:tcW w:w="1662" w:type="dxa"/>
            <w:tcBorders>
              <w:top w:val="nil"/>
              <w:left w:val="nil"/>
              <w:bottom w:val="nil"/>
              <w:right w:val="nil"/>
            </w:tcBorders>
            <w:shd w:val="clear" w:color="auto" w:fill="FFFFFF"/>
            <w:vAlign w:val="center"/>
          </w:tcPr>
          <w:p w14:paraId="2A1FD265">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35 (34.7%)</w:t>
            </w:r>
          </w:p>
        </w:tc>
        <w:tc>
          <w:tcPr>
            <w:tcW w:w="1662" w:type="dxa"/>
            <w:tcBorders>
              <w:top w:val="nil"/>
              <w:left w:val="nil"/>
              <w:bottom w:val="nil"/>
              <w:right w:val="nil"/>
            </w:tcBorders>
            <w:shd w:val="clear" w:color="auto" w:fill="FFFFFF"/>
            <w:vAlign w:val="center"/>
          </w:tcPr>
          <w:p w14:paraId="3C07A1F8">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40 (40.0%)</w:t>
            </w:r>
          </w:p>
        </w:tc>
        <w:tc>
          <w:tcPr>
            <w:tcW w:w="1662" w:type="dxa"/>
            <w:tcBorders>
              <w:top w:val="nil"/>
              <w:left w:val="nil"/>
              <w:bottom w:val="nil"/>
              <w:right w:val="nil"/>
            </w:tcBorders>
            <w:shd w:val="clear" w:color="auto" w:fill="FFFFFF"/>
            <w:vAlign w:val="center"/>
          </w:tcPr>
          <w:p w14:paraId="2D0AEA84">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37 (36.6%)</w:t>
            </w:r>
          </w:p>
        </w:tc>
        <w:tc>
          <w:tcPr>
            <w:tcW w:w="1662" w:type="dxa"/>
            <w:tcBorders>
              <w:top w:val="nil"/>
              <w:left w:val="nil"/>
              <w:bottom w:val="nil"/>
              <w:right w:val="nil"/>
            </w:tcBorders>
            <w:shd w:val="clear" w:color="auto" w:fill="FFFFFF"/>
            <w:vAlign w:val="center"/>
          </w:tcPr>
          <w:p w14:paraId="73315EBA">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0.816</w:t>
            </w:r>
          </w:p>
        </w:tc>
      </w:tr>
      <w:tr w14:paraId="29CB4E69">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3772C24E">
            <w:pPr>
              <w:spacing w:before="0" w:after="0" w:line="240" w:lineRule="auto"/>
              <w:jc w:val="left"/>
              <w:rPr>
                <w:rFonts w:hint="default" w:ascii="Times New Roman" w:hAnsi="Times New Roman" w:eastAsia="宋体" w:cs="Times New Roman"/>
                <w:b w:val="0"/>
                <w:color w:val="000000"/>
                <w:sz w:val="24"/>
                <w:szCs w:val="24"/>
                <w:highlight w:val="none"/>
                <w:lang w:eastAsia="zh-CN"/>
              </w:rPr>
            </w:pPr>
            <w:r>
              <w:rPr>
                <w:rFonts w:hint="default" w:ascii="Times New Roman" w:hAnsi="Times New Roman" w:eastAsia="Times New Roman" w:cs="Times New Roman"/>
                <w:b w:val="0"/>
                <w:color w:val="000000"/>
                <w:sz w:val="24"/>
                <w:szCs w:val="24"/>
                <w:highlight w:val="none"/>
              </w:rPr>
              <w:t>Smoking history,</w:t>
            </w:r>
            <w:r>
              <w:rPr>
                <w:rFonts w:hint="default" w:ascii="Times New Roman" w:hAnsi="Times New Roman" w:eastAsia="宋体" w:cs="Times New Roman"/>
                <w:b w:val="0"/>
                <w:color w:val="000000"/>
                <w:sz w:val="24"/>
                <w:szCs w:val="24"/>
                <w:highlight w:val="none"/>
                <w:lang w:eastAsia="zh-CN"/>
              </w:rPr>
              <w:t>n (%)</w:t>
            </w:r>
          </w:p>
        </w:tc>
        <w:tc>
          <w:tcPr>
            <w:tcW w:w="1662" w:type="dxa"/>
            <w:tcBorders>
              <w:top w:val="nil"/>
              <w:left w:val="nil"/>
              <w:bottom w:val="nil"/>
              <w:right w:val="nil"/>
            </w:tcBorders>
            <w:shd w:val="clear" w:color="auto" w:fill="FFFFFF"/>
            <w:vAlign w:val="center"/>
          </w:tcPr>
          <w:p w14:paraId="679371A3">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15 (14.7%)</w:t>
            </w:r>
          </w:p>
        </w:tc>
        <w:tc>
          <w:tcPr>
            <w:tcW w:w="1662" w:type="dxa"/>
            <w:tcBorders>
              <w:top w:val="nil"/>
              <w:left w:val="nil"/>
              <w:bottom w:val="nil"/>
              <w:right w:val="nil"/>
            </w:tcBorders>
            <w:shd w:val="clear" w:color="auto" w:fill="FFFFFF"/>
            <w:vAlign w:val="center"/>
          </w:tcPr>
          <w:p w14:paraId="0164E5A5">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22 (21.8%)</w:t>
            </w:r>
          </w:p>
        </w:tc>
        <w:tc>
          <w:tcPr>
            <w:tcW w:w="1662" w:type="dxa"/>
            <w:tcBorders>
              <w:top w:val="nil"/>
              <w:left w:val="nil"/>
              <w:bottom w:val="nil"/>
              <w:right w:val="nil"/>
            </w:tcBorders>
            <w:shd w:val="clear" w:color="auto" w:fill="FFFFFF"/>
            <w:vAlign w:val="center"/>
          </w:tcPr>
          <w:p w14:paraId="372B24E8">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25 (25.0%)</w:t>
            </w:r>
          </w:p>
        </w:tc>
        <w:tc>
          <w:tcPr>
            <w:tcW w:w="1662" w:type="dxa"/>
            <w:tcBorders>
              <w:top w:val="nil"/>
              <w:left w:val="nil"/>
              <w:bottom w:val="nil"/>
              <w:right w:val="nil"/>
            </w:tcBorders>
            <w:shd w:val="clear" w:color="auto" w:fill="FFFFFF"/>
            <w:vAlign w:val="center"/>
          </w:tcPr>
          <w:p w14:paraId="634E1043">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23 (22.8%)</w:t>
            </w:r>
          </w:p>
        </w:tc>
        <w:tc>
          <w:tcPr>
            <w:tcW w:w="1662" w:type="dxa"/>
            <w:tcBorders>
              <w:top w:val="nil"/>
              <w:left w:val="nil"/>
              <w:bottom w:val="nil"/>
              <w:right w:val="nil"/>
            </w:tcBorders>
            <w:shd w:val="clear" w:color="auto" w:fill="FFFFFF"/>
            <w:vAlign w:val="center"/>
          </w:tcPr>
          <w:p w14:paraId="3F73B015">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0.305</w:t>
            </w:r>
          </w:p>
        </w:tc>
      </w:tr>
      <w:tr w14:paraId="345AF22F">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18E1413A">
            <w:pPr>
              <w:spacing w:before="0" w:after="0" w:line="240" w:lineRule="auto"/>
              <w:jc w:val="left"/>
              <w:rPr>
                <w:rFonts w:hint="default" w:ascii="Times New Roman" w:hAnsi="Times New Roman" w:eastAsia="宋体" w:cs="Times New Roman"/>
                <w:b w:val="0"/>
                <w:color w:val="000000"/>
                <w:sz w:val="24"/>
                <w:szCs w:val="24"/>
                <w:highlight w:val="none"/>
                <w:lang w:eastAsia="zh-CN"/>
              </w:rPr>
            </w:pPr>
            <w:r>
              <w:rPr>
                <w:rFonts w:hint="default" w:ascii="Times New Roman" w:hAnsi="Times New Roman" w:eastAsia="Times New Roman" w:cs="Times New Roman"/>
                <w:b w:val="0"/>
                <w:color w:val="000000"/>
                <w:sz w:val="24"/>
                <w:szCs w:val="24"/>
                <w:highlight w:val="none"/>
              </w:rPr>
              <w:t>Drinking history,</w:t>
            </w:r>
            <w:r>
              <w:rPr>
                <w:rFonts w:hint="default" w:ascii="Times New Roman" w:hAnsi="Times New Roman" w:eastAsia="宋体" w:cs="Times New Roman"/>
                <w:b w:val="0"/>
                <w:color w:val="000000"/>
                <w:sz w:val="24"/>
                <w:szCs w:val="24"/>
                <w:highlight w:val="none"/>
                <w:lang w:eastAsia="zh-CN"/>
              </w:rPr>
              <w:t>n (%)</w:t>
            </w:r>
          </w:p>
        </w:tc>
        <w:tc>
          <w:tcPr>
            <w:tcW w:w="1662" w:type="dxa"/>
            <w:tcBorders>
              <w:top w:val="nil"/>
              <w:left w:val="nil"/>
              <w:bottom w:val="nil"/>
              <w:right w:val="nil"/>
            </w:tcBorders>
            <w:shd w:val="clear" w:color="auto" w:fill="FFFFFF"/>
            <w:vAlign w:val="center"/>
          </w:tcPr>
          <w:p w14:paraId="048D2A4F">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14 (13.7%)</w:t>
            </w:r>
          </w:p>
        </w:tc>
        <w:tc>
          <w:tcPr>
            <w:tcW w:w="1662" w:type="dxa"/>
            <w:tcBorders>
              <w:top w:val="nil"/>
              <w:left w:val="nil"/>
              <w:bottom w:val="nil"/>
              <w:right w:val="nil"/>
            </w:tcBorders>
            <w:shd w:val="clear" w:color="auto" w:fill="FFFFFF"/>
            <w:vAlign w:val="center"/>
          </w:tcPr>
          <w:p w14:paraId="5D9F0439">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15 (14.9%)</w:t>
            </w:r>
          </w:p>
        </w:tc>
        <w:tc>
          <w:tcPr>
            <w:tcW w:w="1662" w:type="dxa"/>
            <w:tcBorders>
              <w:top w:val="nil"/>
              <w:left w:val="nil"/>
              <w:bottom w:val="nil"/>
              <w:right w:val="nil"/>
            </w:tcBorders>
            <w:shd w:val="clear" w:color="auto" w:fill="FFFFFF"/>
            <w:vAlign w:val="center"/>
          </w:tcPr>
          <w:p w14:paraId="0AD217AF">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19 (19.0%)</w:t>
            </w:r>
          </w:p>
        </w:tc>
        <w:tc>
          <w:tcPr>
            <w:tcW w:w="1662" w:type="dxa"/>
            <w:tcBorders>
              <w:top w:val="nil"/>
              <w:left w:val="nil"/>
              <w:bottom w:val="nil"/>
              <w:right w:val="nil"/>
            </w:tcBorders>
            <w:shd w:val="clear" w:color="auto" w:fill="FFFFFF"/>
            <w:vAlign w:val="center"/>
          </w:tcPr>
          <w:p w14:paraId="49D82E79">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25 (24.8%)</w:t>
            </w:r>
          </w:p>
        </w:tc>
        <w:tc>
          <w:tcPr>
            <w:tcW w:w="1662" w:type="dxa"/>
            <w:tcBorders>
              <w:top w:val="nil"/>
              <w:left w:val="nil"/>
              <w:bottom w:val="nil"/>
              <w:right w:val="nil"/>
            </w:tcBorders>
            <w:shd w:val="clear" w:color="auto" w:fill="FFFFFF"/>
            <w:vAlign w:val="center"/>
          </w:tcPr>
          <w:p w14:paraId="2221F155">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0.164</w:t>
            </w:r>
          </w:p>
        </w:tc>
      </w:tr>
      <w:tr w14:paraId="7AE60223">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3DB43124">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Systolic blood pressure, mm Hg</w:t>
            </w:r>
          </w:p>
        </w:tc>
        <w:tc>
          <w:tcPr>
            <w:tcW w:w="1662" w:type="dxa"/>
            <w:tcBorders>
              <w:top w:val="nil"/>
              <w:left w:val="nil"/>
              <w:bottom w:val="nil"/>
              <w:right w:val="nil"/>
            </w:tcBorders>
            <w:shd w:val="clear" w:color="auto" w:fill="FFFFFF"/>
            <w:vAlign w:val="center"/>
          </w:tcPr>
          <w:p w14:paraId="60665C93">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131.00 (119.25, 142.00)</w:t>
            </w:r>
          </w:p>
        </w:tc>
        <w:tc>
          <w:tcPr>
            <w:tcW w:w="1662" w:type="dxa"/>
            <w:tcBorders>
              <w:top w:val="nil"/>
              <w:left w:val="nil"/>
              <w:bottom w:val="nil"/>
              <w:right w:val="nil"/>
            </w:tcBorders>
            <w:shd w:val="clear" w:color="auto" w:fill="FFFFFF"/>
            <w:vAlign w:val="center"/>
          </w:tcPr>
          <w:p w14:paraId="21B37DD1">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128.00 (116.00, 138.00)</w:t>
            </w:r>
          </w:p>
        </w:tc>
        <w:tc>
          <w:tcPr>
            <w:tcW w:w="1662" w:type="dxa"/>
            <w:tcBorders>
              <w:top w:val="nil"/>
              <w:left w:val="nil"/>
              <w:bottom w:val="nil"/>
              <w:right w:val="nil"/>
            </w:tcBorders>
            <w:shd w:val="clear" w:color="auto" w:fill="FFFFFF"/>
            <w:vAlign w:val="center"/>
          </w:tcPr>
          <w:p w14:paraId="3789F860">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131.00 (120.75, 143.25)</w:t>
            </w:r>
          </w:p>
        </w:tc>
        <w:tc>
          <w:tcPr>
            <w:tcW w:w="1662" w:type="dxa"/>
            <w:tcBorders>
              <w:top w:val="nil"/>
              <w:left w:val="nil"/>
              <w:bottom w:val="nil"/>
              <w:right w:val="nil"/>
            </w:tcBorders>
            <w:shd w:val="clear" w:color="auto" w:fill="FFFFFF"/>
            <w:vAlign w:val="center"/>
          </w:tcPr>
          <w:p w14:paraId="78CB0521">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129.00 (119.00, 138.00)</w:t>
            </w:r>
          </w:p>
        </w:tc>
        <w:tc>
          <w:tcPr>
            <w:tcW w:w="1662" w:type="dxa"/>
            <w:tcBorders>
              <w:top w:val="nil"/>
              <w:left w:val="nil"/>
              <w:bottom w:val="nil"/>
              <w:right w:val="nil"/>
            </w:tcBorders>
            <w:shd w:val="clear" w:color="auto" w:fill="FFFFFF"/>
            <w:vAlign w:val="center"/>
          </w:tcPr>
          <w:p w14:paraId="429C26A3">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0.418</w:t>
            </w:r>
          </w:p>
        </w:tc>
      </w:tr>
      <w:tr w14:paraId="4E5C4C8E">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35A6EA60">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Diastolic blood pressure, mm Hg</w:t>
            </w:r>
          </w:p>
        </w:tc>
        <w:tc>
          <w:tcPr>
            <w:tcW w:w="1662" w:type="dxa"/>
            <w:tcBorders>
              <w:top w:val="nil"/>
              <w:left w:val="nil"/>
              <w:bottom w:val="nil"/>
              <w:right w:val="nil"/>
            </w:tcBorders>
            <w:shd w:val="clear" w:color="auto" w:fill="FFFFFF"/>
            <w:vAlign w:val="center"/>
          </w:tcPr>
          <w:p w14:paraId="7751CA9D">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85.00 (75.00, 93.00)</w:t>
            </w:r>
          </w:p>
        </w:tc>
        <w:tc>
          <w:tcPr>
            <w:tcW w:w="1662" w:type="dxa"/>
            <w:tcBorders>
              <w:top w:val="nil"/>
              <w:left w:val="nil"/>
              <w:bottom w:val="nil"/>
              <w:right w:val="nil"/>
            </w:tcBorders>
            <w:shd w:val="clear" w:color="auto" w:fill="FFFFFF"/>
            <w:vAlign w:val="center"/>
          </w:tcPr>
          <w:p w14:paraId="15B0A828">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81.00 (72.00, 89.00)</w:t>
            </w:r>
          </w:p>
        </w:tc>
        <w:tc>
          <w:tcPr>
            <w:tcW w:w="1662" w:type="dxa"/>
            <w:tcBorders>
              <w:top w:val="nil"/>
              <w:left w:val="nil"/>
              <w:bottom w:val="nil"/>
              <w:right w:val="nil"/>
            </w:tcBorders>
            <w:shd w:val="clear" w:color="auto" w:fill="FFFFFF"/>
            <w:vAlign w:val="center"/>
          </w:tcPr>
          <w:p w14:paraId="4F1C740A">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82.00 (75.00, 89.00)</w:t>
            </w:r>
          </w:p>
        </w:tc>
        <w:tc>
          <w:tcPr>
            <w:tcW w:w="1662" w:type="dxa"/>
            <w:tcBorders>
              <w:top w:val="nil"/>
              <w:left w:val="nil"/>
              <w:bottom w:val="nil"/>
              <w:right w:val="nil"/>
            </w:tcBorders>
            <w:shd w:val="clear" w:color="auto" w:fill="FFFFFF"/>
            <w:vAlign w:val="center"/>
          </w:tcPr>
          <w:p w14:paraId="4613F338">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82.00 (73.00, 88.00)</w:t>
            </w:r>
          </w:p>
        </w:tc>
        <w:tc>
          <w:tcPr>
            <w:tcW w:w="1662" w:type="dxa"/>
            <w:tcBorders>
              <w:top w:val="nil"/>
              <w:left w:val="nil"/>
              <w:bottom w:val="nil"/>
              <w:right w:val="nil"/>
            </w:tcBorders>
            <w:shd w:val="clear" w:color="auto" w:fill="FFFFFF"/>
            <w:vAlign w:val="center"/>
          </w:tcPr>
          <w:p w14:paraId="0F7A5602">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0.368</w:t>
            </w:r>
          </w:p>
        </w:tc>
      </w:tr>
      <w:tr w14:paraId="4DE38146">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1A70E0A2">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Body-mass index, kg/m²</w:t>
            </w:r>
          </w:p>
        </w:tc>
        <w:tc>
          <w:tcPr>
            <w:tcW w:w="1662" w:type="dxa"/>
            <w:tcBorders>
              <w:top w:val="nil"/>
              <w:left w:val="nil"/>
              <w:bottom w:val="nil"/>
              <w:right w:val="nil"/>
            </w:tcBorders>
            <w:shd w:val="clear" w:color="auto" w:fill="FFFFFF"/>
            <w:vAlign w:val="center"/>
          </w:tcPr>
          <w:p w14:paraId="78BAD4C7">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24.65 (22.93, 27.19)</w:t>
            </w:r>
          </w:p>
        </w:tc>
        <w:tc>
          <w:tcPr>
            <w:tcW w:w="1662" w:type="dxa"/>
            <w:tcBorders>
              <w:top w:val="nil"/>
              <w:left w:val="nil"/>
              <w:bottom w:val="nil"/>
              <w:right w:val="nil"/>
            </w:tcBorders>
            <w:shd w:val="clear" w:color="auto" w:fill="FFFFFF"/>
            <w:vAlign w:val="center"/>
          </w:tcPr>
          <w:p w14:paraId="79A13232">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24.67 (23.36, 27.73)</w:t>
            </w:r>
          </w:p>
        </w:tc>
        <w:tc>
          <w:tcPr>
            <w:tcW w:w="1662" w:type="dxa"/>
            <w:tcBorders>
              <w:top w:val="nil"/>
              <w:left w:val="nil"/>
              <w:bottom w:val="nil"/>
              <w:right w:val="nil"/>
            </w:tcBorders>
            <w:shd w:val="clear" w:color="auto" w:fill="FFFFFF"/>
            <w:vAlign w:val="center"/>
          </w:tcPr>
          <w:p w14:paraId="0EAE169F">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25.64 (23.43, 28.59)</w:t>
            </w:r>
          </w:p>
        </w:tc>
        <w:tc>
          <w:tcPr>
            <w:tcW w:w="1662" w:type="dxa"/>
            <w:tcBorders>
              <w:top w:val="nil"/>
              <w:left w:val="nil"/>
              <w:bottom w:val="nil"/>
              <w:right w:val="nil"/>
            </w:tcBorders>
            <w:shd w:val="clear" w:color="auto" w:fill="FFFFFF"/>
            <w:vAlign w:val="center"/>
          </w:tcPr>
          <w:p w14:paraId="16BF24E2">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25.91 (23.67, 27.85)</w:t>
            </w:r>
          </w:p>
        </w:tc>
        <w:tc>
          <w:tcPr>
            <w:tcW w:w="1662" w:type="dxa"/>
            <w:tcBorders>
              <w:top w:val="nil"/>
              <w:left w:val="nil"/>
              <w:bottom w:val="nil"/>
              <w:right w:val="nil"/>
            </w:tcBorders>
            <w:shd w:val="clear" w:color="auto" w:fill="FFFFFF"/>
            <w:vAlign w:val="center"/>
          </w:tcPr>
          <w:p w14:paraId="6FCD0A21">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0.033</w:t>
            </w:r>
          </w:p>
        </w:tc>
      </w:tr>
      <w:tr w14:paraId="1F324BB8">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7C258C06">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CHA2DS2-VASc score</w:t>
            </w:r>
          </w:p>
        </w:tc>
        <w:tc>
          <w:tcPr>
            <w:tcW w:w="1662" w:type="dxa"/>
            <w:tcBorders>
              <w:top w:val="nil"/>
              <w:left w:val="nil"/>
              <w:bottom w:val="nil"/>
              <w:right w:val="nil"/>
            </w:tcBorders>
            <w:shd w:val="clear" w:color="auto" w:fill="FFFFFF"/>
            <w:vAlign w:val="center"/>
          </w:tcPr>
          <w:p w14:paraId="6203E552">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4.00 (3.00, 5.00)</w:t>
            </w:r>
          </w:p>
        </w:tc>
        <w:tc>
          <w:tcPr>
            <w:tcW w:w="1662" w:type="dxa"/>
            <w:tcBorders>
              <w:top w:val="nil"/>
              <w:left w:val="nil"/>
              <w:bottom w:val="nil"/>
              <w:right w:val="nil"/>
            </w:tcBorders>
            <w:shd w:val="clear" w:color="auto" w:fill="FFFFFF"/>
            <w:vAlign w:val="center"/>
          </w:tcPr>
          <w:p w14:paraId="69C7BAFD">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3.00 (2.00, 4.00)</w:t>
            </w:r>
          </w:p>
        </w:tc>
        <w:tc>
          <w:tcPr>
            <w:tcW w:w="1662" w:type="dxa"/>
            <w:tcBorders>
              <w:top w:val="nil"/>
              <w:left w:val="nil"/>
              <w:bottom w:val="nil"/>
              <w:right w:val="nil"/>
            </w:tcBorders>
            <w:shd w:val="clear" w:color="auto" w:fill="FFFFFF"/>
            <w:vAlign w:val="center"/>
          </w:tcPr>
          <w:p w14:paraId="13D406F5">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3.00 (2.00, 5.00)</w:t>
            </w:r>
          </w:p>
        </w:tc>
        <w:tc>
          <w:tcPr>
            <w:tcW w:w="1662" w:type="dxa"/>
            <w:tcBorders>
              <w:top w:val="nil"/>
              <w:left w:val="nil"/>
              <w:bottom w:val="nil"/>
              <w:right w:val="nil"/>
            </w:tcBorders>
            <w:shd w:val="clear" w:color="auto" w:fill="FFFFFF"/>
            <w:vAlign w:val="center"/>
          </w:tcPr>
          <w:p w14:paraId="3C3CF0AE">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3.00 (1.00, 4.00)</w:t>
            </w:r>
          </w:p>
        </w:tc>
        <w:tc>
          <w:tcPr>
            <w:tcW w:w="1662" w:type="dxa"/>
            <w:tcBorders>
              <w:top w:val="nil"/>
              <w:left w:val="nil"/>
              <w:bottom w:val="nil"/>
              <w:right w:val="nil"/>
            </w:tcBorders>
            <w:shd w:val="clear" w:color="auto" w:fill="FFFFFF"/>
            <w:vAlign w:val="center"/>
          </w:tcPr>
          <w:p w14:paraId="3A9A765B">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0.012</w:t>
            </w:r>
          </w:p>
        </w:tc>
      </w:tr>
      <w:tr w14:paraId="1A0D9D85">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7641D9D4">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Atrial fibrillation duration，years</w:t>
            </w:r>
          </w:p>
        </w:tc>
        <w:tc>
          <w:tcPr>
            <w:tcW w:w="1662" w:type="dxa"/>
            <w:tcBorders>
              <w:top w:val="nil"/>
              <w:left w:val="nil"/>
              <w:bottom w:val="nil"/>
              <w:right w:val="nil"/>
            </w:tcBorders>
            <w:shd w:val="clear" w:color="auto" w:fill="FFFFFF"/>
            <w:vAlign w:val="center"/>
          </w:tcPr>
          <w:p w14:paraId="4ED2E40E">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1.00 (0.26, 4.00)</w:t>
            </w:r>
          </w:p>
        </w:tc>
        <w:tc>
          <w:tcPr>
            <w:tcW w:w="1662" w:type="dxa"/>
            <w:tcBorders>
              <w:top w:val="nil"/>
              <w:left w:val="nil"/>
              <w:bottom w:val="nil"/>
              <w:right w:val="nil"/>
            </w:tcBorders>
            <w:shd w:val="clear" w:color="auto" w:fill="FFFFFF"/>
            <w:vAlign w:val="center"/>
          </w:tcPr>
          <w:p w14:paraId="0A558A75">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1.00 (0.32, 4.00)</w:t>
            </w:r>
          </w:p>
        </w:tc>
        <w:tc>
          <w:tcPr>
            <w:tcW w:w="1662" w:type="dxa"/>
            <w:tcBorders>
              <w:top w:val="nil"/>
              <w:left w:val="nil"/>
              <w:bottom w:val="nil"/>
              <w:right w:val="nil"/>
            </w:tcBorders>
            <w:shd w:val="clear" w:color="auto" w:fill="FFFFFF"/>
            <w:vAlign w:val="center"/>
          </w:tcPr>
          <w:p w14:paraId="6F3536DC">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0.64 (0.24, 3.00)</w:t>
            </w:r>
          </w:p>
        </w:tc>
        <w:tc>
          <w:tcPr>
            <w:tcW w:w="1662" w:type="dxa"/>
            <w:tcBorders>
              <w:top w:val="nil"/>
              <w:left w:val="nil"/>
              <w:bottom w:val="nil"/>
              <w:right w:val="nil"/>
            </w:tcBorders>
            <w:shd w:val="clear" w:color="auto" w:fill="FFFFFF"/>
            <w:vAlign w:val="center"/>
          </w:tcPr>
          <w:p w14:paraId="7768E04D">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1.00 (0.16, 2.00)</w:t>
            </w:r>
          </w:p>
        </w:tc>
        <w:tc>
          <w:tcPr>
            <w:tcW w:w="1662" w:type="dxa"/>
            <w:tcBorders>
              <w:top w:val="nil"/>
              <w:left w:val="nil"/>
              <w:bottom w:val="nil"/>
              <w:right w:val="nil"/>
            </w:tcBorders>
            <w:shd w:val="clear" w:color="auto" w:fill="FFFFFF"/>
            <w:vAlign w:val="center"/>
          </w:tcPr>
          <w:p w14:paraId="4406B03A">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0.422</w:t>
            </w:r>
          </w:p>
        </w:tc>
      </w:tr>
      <w:tr w14:paraId="3B3CC587">
        <w:tblPrEx>
          <w:tblCellMar>
            <w:top w:w="0" w:type="dxa"/>
            <w:left w:w="108" w:type="dxa"/>
            <w:bottom w:w="0" w:type="dxa"/>
            <w:right w:w="108" w:type="dxa"/>
          </w:tblCellMar>
        </w:tblPrEx>
        <w:trPr>
          <w:jc w:val="center"/>
        </w:trPr>
        <w:tc>
          <w:tcPr>
            <w:tcW w:w="9972" w:type="dxa"/>
            <w:gridSpan w:val="6"/>
            <w:tcBorders>
              <w:top w:val="nil"/>
              <w:left w:val="nil"/>
              <w:bottom w:val="nil"/>
              <w:right w:val="nil"/>
            </w:tcBorders>
            <w:shd w:val="clear" w:color="auto" w:fill="FFFFFF"/>
          </w:tcPr>
          <w:p w14:paraId="1F9B069A">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bCs/>
                <w:i/>
                <w:color w:val="000000"/>
                <w:sz w:val="24"/>
                <w:szCs w:val="24"/>
                <w:highlight w:val="none"/>
              </w:rPr>
              <w:t>Laboratory findings</w:t>
            </w:r>
          </w:p>
        </w:tc>
      </w:tr>
      <w:tr w14:paraId="37FD2367">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3E69B74B">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Total Cholesterol, mmol/L</w:t>
            </w:r>
          </w:p>
        </w:tc>
        <w:tc>
          <w:tcPr>
            <w:tcW w:w="1662" w:type="dxa"/>
            <w:tcBorders>
              <w:top w:val="nil"/>
              <w:left w:val="nil"/>
              <w:bottom w:val="nil"/>
              <w:right w:val="nil"/>
            </w:tcBorders>
            <w:shd w:val="clear" w:color="auto" w:fill="FFFFFF"/>
            <w:vAlign w:val="center"/>
          </w:tcPr>
          <w:p w14:paraId="4266E59B">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3.08 (2.67, 3.36)</w:t>
            </w:r>
          </w:p>
        </w:tc>
        <w:tc>
          <w:tcPr>
            <w:tcW w:w="1662" w:type="dxa"/>
            <w:tcBorders>
              <w:top w:val="nil"/>
              <w:left w:val="nil"/>
              <w:bottom w:val="nil"/>
              <w:right w:val="nil"/>
            </w:tcBorders>
            <w:shd w:val="clear" w:color="auto" w:fill="FFFFFF"/>
            <w:vAlign w:val="center"/>
          </w:tcPr>
          <w:p w14:paraId="47F4EE79">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3.79 (3.59, 4.00)</w:t>
            </w:r>
          </w:p>
        </w:tc>
        <w:tc>
          <w:tcPr>
            <w:tcW w:w="1662" w:type="dxa"/>
            <w:tcBorders>
              <w:top w:val="nil"/>
              <w:left w:val="nil"/>
              <w:bottom w:val="nil"/>
              <w:right w:val="nil"/>
            </w:tcBorders>
            <w:shd w:val="clear" w:color="auto" w:fill="FFFFFF"/>
            <w:vAlign w:val="center"/>
          </w:tcPr>
          <w:p w14:paraId="3B57361F">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4.41 (4.19, 4.65)</w:t>
            </w:r>
          </w:p>
        </w:tc>
        <w:tc>
          <w:tcPr>
            <w:tcW w:w="1662" w:type="dxa"/>
            <w:tcBorders>
              <w:top w:val="nil"/>
              <w:left w:val="nil"/>
              <w:bottom w:val="nil"/>
              <w:right w:val="nil"/>
            </w:tcBorders>
            <w:shd w:val="clear" w:color="auto" w:fill="FFFFFF"/>
            <w:vAlign w:val="center"/>
          </w:tcPr>
          <w:p w14:paraId="64CE100C">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5.18 (4.91, 5.63)</w:t>
            </w:r>
          </w:p>
        </w:tc>
        <w:tc>
          <w:tcPr>
            <w:tcW w:w="1662" w:type="dxa"/>
            <w:tcBorders>
              <w:top w:val="nil"/>
              <w:left w:val="nil"/>
              <w:bottom w:val="nil"/>
              <w:right w:val="nil"/>
            </w:tcBorders>
            <w:shd w:val="clear" w:color="auto" w:fill="FFFFFF"/>
            <w:vAlign w:val="center"/>
          </w:tcPr>
          <w:p w14:paraId="26C7EE3A">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&lt;0.001</w:t>
            </w:r>
          </w:p>
        </w:tc>
      </w:tr>
      <w:tr w14:paraId="0A08D6E6">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0EBF523A">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Triglycerides, mmol/L</w:t>
            </w:r>
          </w:p>
        </w:tc>
        <w:tc>
          <w:tcPr>
            <w:tcW w:w="1662" w:type="dxa"/>
            <w:tcBorders>
              <w:top w:val="nil"/>
              <w:left w:val="nil"/>
              <w:bottom w:val="nil"/>
              <w:right w:val="nil"/>
            </w:tcBorders>
            <w:shd w:val="clear" w:color="auto" w:fill="FFFFFF"/>
            <w:vAlign w:val="center"/>
          </w:tcPr>
          <w:p w14:paraId="16E35B55">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0.92 (0.65, 1.29)</w:t>
            </w:r>
          </w:p>
        </w:tc>
        <w:tc>
          <w:tcPr>
            <w:tcW w:w="1662" w:type="dxa"/>
            <w:tcBorders>
              <w:top w:val="nil"/>
              <w:left w:val="nil"/>
              <w:bottom w:val="nil"/>
              <w:right w:val="nil"/>
            </w:tcBorders>
            <w:shd w:val="clear" w:color="auto" w:fill="FFFFFF"/>
            <w:vAlign w:val="center"/>
          </w:tcPr>
          <w:p w14:paraId="74FAB7C5">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1.17 (0.93, 1.71)</w:t>
            </w:r>
          </w:p>
        </w:tc>
        <w:tc>
          <w:tcPr>
            <w:tcW w:w="1662" w:type="dxa"/>
            <w:tcBorders>
              <w:top w:val="nil"/>
              <w:left w:val="nil"/>
              <w:bottom w:val="nil"/>
              <w:right w:val="nil"/>
            </w:tcBorders>
            <w:shd w:val="clear" w:color="auto" w:fill="FFFFFF"/>
            <w:vAlign w:val="center"/>
          </w:tcPr>
          <w:p w14:paraId="243A9943">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1.35 (0.94, 1.97)</w:t>
            </w:r>
          </w:p>
        </w:tc>
        <w:tc>
          <w:tcPr>
            <w:tcW w:w="1662" w:type="dxa"/>
            <w:tcBorders>
              <w:top w:val="nil"/>
              <w:left w:val="nil"/>
              <w:bottom w:val="nil"/>
              <w:right w:val="nil"/>
            </w:tcBorders>
            <w:shd w:val="clear" w:color="auto" w:fill="FFFFFF"/>
            <w:vAlign w:val="center"/>
          </w:tcPr>
          <w:p w14:paraId="2BEFD220">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1.56 (1.17, 2.28)</w:t>
            </w:r>
          </w:p>
        </w:tc>
        <w:tc>
          <w:tcPr>
            <w:tcW w:w="1662" w:type="dxa"/>
            <w:tcBorders>
              <w:top w:val="nil"/>
              <w:left w:val="nil"/>
              <w:bottom w:val="nil"/>
              <w:right w:val="nil"/>
            </w:tcBorders>
            <w:shd w:val="clear" w:color="auto" w:fill="FFFFFF"/>
            <w:vAlign w:val="center"/>
          </w:tcPr>
          <w:p w14:paraId="0EA21735">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&lt;0.001</w:t>
            </w:r>
          </w:p>
        </w:tc>
      </w:tr>
      <w:tr w14:paraId="7E71C43A">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5CA24EA5">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HDL-C, mmol/L</w:t>
            </w:r>
          </w:p>
        </w:tc>
        <w:tc>
          <w:tcPr>
            <w:tcW w:w="1662" w:type="dxa"/>
            <w:tcBorders>
              <w:top w:val="nil"/>
              <w:left w:val="nil"/>
              <w:bottom w:val="nil"/>
              <w:right w:val="nil"/>
            </w:tcBorders>
            <w:shd w:val="clear" w:color="auto" w:fill="FFFFFF"/>
            <w:vAlign w:val="center"/>
          </w:tcPr>
          <w:p w14:paraId="54ACA18A">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1.15 (0.96, 1.33)</w:t>
            </w:r>
          </w:p>
        </w:tc>
        <w:tc>
          <w:tcPr>
            <w:tcW w:w="1662" w:type="dxa"/>
            <w:tcBorders>
              <w:top w:val="nil"/>
              <w:left w:val="nil"/>
              <w:bottom w:val="nil"/>
              <w:right w:val="nil"/>
            </w:tcBorders>
            <w:shd w:val="clear" w:color="auto" w:fill="FFFFFF"/>
            <w:vAlign w:val="center"/>
          </w:tcPr>
          <w:p w14:paraId="34C6F462">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1.14 (1.00, 1.29)</w:t>
            </w:r>
          </w:p>
        </w:tc>
        <w:tc>
          <w:tcPr>
            <w:tcW w:w="1662" w:type="dxa"/>
            <w:tcBorders>
              <w:top w:val="nil"/>
              <w:left w:val="nil"/>
              <w:bottom w:val="nil"/>
              <w:right w:val="nil"/>
            </w:tcBorders>
            <w:shd w:val="clear" w:color="auto" w:fill="FFFFFF"/>
            <w:vAlign w:val="center"/>
          </w:tcPr>
          <w:p w14:paraId="5E5A6E13">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1.13 (0.99, 1.32)</w:t>
            </w:r>
          </w:p>
        </w:tc>
        <w:tc>
          <w:tcPr>
            <w:tcW w:w="1662" w:type="dxa"/>
            <w:tcBorders>
              <w:top w:val="nil"/>
              <w:left w:val="nil"/>
              <w:bottom w:val="nil"/>
              <w:right w:val="nil"/>
            </w:tcBorders>
            <w:shd w:val="clear" w:color="auto" w:fill="FFFFFF"/>
            <w:vAlign w:val="center"/>
          </w:tcPr>
          <w:p w14:paraId="6132E2C2">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1.15 (1.00, 1.36)</w:t>
            </w:r>
          </w:p>
        </w:tc>
        <w:tc>
          <w:tcPr>
            <w:tcW w:w="1662" w:type="dxa"/>
            <w:tcBorders>
              <w:top w:val="nil"/>
              <w:left w:val="nil"/>
              <w:bottom w:val="nil"/>
              <w:right w:val="nil"/>
            </w:tcBorders>
            <w:shd w:val="clear" w:color="auto" w:fill="FFFFFF"/>
            <w:vAlign w:val="center"/>
          </w:tcPr>
          <w:p w14:paraId="2B181BCA">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0.955</w:t>
            </w:r>
          </w:p>
        </w:tc>
      </w:tr>
      <w:tr w14:paraId="5D9E1DC0">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2C70762A">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Fasting Blood Glucose, mmol/L</w:t>
            </w:r>
          </w:p>
        </w:tc>
        <w:tc>
          <w:tcPr>
            <w:tcW w:w="1662" w:type="dxa"/>
            <w:tcBorders>
              <w:top w:val="nil"/>
              <w:left w:val="nil"/>
              <w:bottom w:val="nil"/>
              <w:right w:val="nil"/>
            </w:tcBorders>
            <w:shd w:val="clear" w:color="auto" w:fill="FFFFFF"/>
            <w:vAlign w:val="center"/>
          </w:tcPr>
          <w:p w14:paraId="7041865A">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5.54 (4.74, 6.63)</w:t>
            </w:r>
          </w:p>
        </w:tc>
        <w:tc>
          <w:tcPr>
            <w:tcW w:w="1662" w:type="dxa"/>
            <w:tcBorders>
              <w:top w:val="nil"/>
              <w:left w:val="nil"/>
              <w:bottom w:val="nil"/>
              <w:right w:val="nil"/>
            </w:tcBorders>
            <w:shd w:val="clear" w:color="auto" w:fill="FFFFFF"/>
            <w:vAlign w:val="center"/>
          </w:tcPr>
          <w:p w14:paraId="030E54EA">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5.41 (4.97, 6.16)</w:t>
            </w:r>
          </w:p>
        </w:tc>
        <w:tc>
          <w:tcPr>
            <w:tcW w:w="1662" w:type="dxa"/>
            <w:tcBorders>
              <w:top w:val="nil"/>
              <w:left w:val="nil"/>
              <w:bottom w:val="nil"/>
              <w:right w:val="nil"/>
            </w:tcBorders>
            <w:shd w:val="clear" w:color="auto" w:fill="FFFFFF"/>
            <w:vAlign w:val="center"/>
          </w:tcPr>
          <w:p w14:paraId="5E2CAB56">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5.27 (4.83, 6.66)</w:t>
            </w:r>
          </w:p>
        </w:tc>
        <w:tc>
          <w:tcPr>
            <w:tcW w:w="1662" w:type="dxa"/>
            <w:tcBorders>
              <w:top w:val="nil"/>
              <w:left w:val="nil"/>
              <w:bottom w:val="nil"/>
              <w:right w:val="nil"/>
            </w:tcBorders>
            <w:shd w:val="clear" w:color="auto" w:fill="FFFFFF"/>
            <w:vAlign w:val="center"/>
          </w:tcPr>
          <w:p w14:paraId="0220AC97">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5.45 (5.03, 6.40)</w:t>
            </w:r>
          </w:p>
        </w:tc>
        <w:tc>
          <w:tcPr>
            <w:tcW w:w="1662" w:type="dxa"/>
            <w:tcBorders>
              <w:top w:val="nil"/>
              <w:left w:val="nil"/>
              <w:bottom w:val="nil"/>
              <w:right w:val="nil"/>
            </w:tcBorders>
            <w:shd w:val="clear" w:color="auto" w:fill="FFFFFF"/>
            <w:vAlign w:val="center"/>
          </w:tcPr>
          <w:p w14:paraId="7355AFF8">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0.709</w:t>
            </w:r>
          </w:p>
        </w:tc>
      </w:tr>
      <w:tr w14:paraId="3DE02E67">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46EA1139">
            <w:pPr>
              <w:spacing w:before="0" w:after="0" w:line="240" w:lineRule="auto"/>
              <w:jc w:val="left"/>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Times New Roman" w:cs="Times New Roman"/>
                <w:b w:val="0"/>
                <w:color w:val="000000"/>
                <w:sz w:val="24"/>
                <w:szCs w:val="24"/>
                <w:highlight w:val="none"/>
              </w:rPr>
              <w:t>TSH, μIU/m</w:t>
            </w:r>
            <w:r>
              <w:rPr>
                <w:rFonts w:hint="default" w:ascii="Times New Roman" w:hAnsi="Times New Roman" w:eastAsia="宋体" w:cs="Times New Roman"/>
                <w:b w:val="0"/>
                <w:color w:val="000000"/>
                <w:sz w:val="24"/>
                <w:szCs w:val="24"/>
                <w:highlight w:val="none"/>
                <w:lang w:val="en-US" w:eastAsia="zh-CN"/>
              </w:rPr>
              <w:t>L</w:t>
            </w:r>
          </w:p>
        </w:tc>
        <w:tc>
          <w:tcPr>
            <w:tcW w:w="1662" w:type="dxa"/>
            <w:tcBorders>
              <w:top w:val="nil"/>
              <w:left w:val="nil"/>
              <w:bottom w:val="nil"/>
              <w:right w:val="nil"/>
            </w:tcBorders>
            <w:shd w:val="clear" w:color="auto" w:fill="FFFFFF"/>
            <w:vAlign w:val="center"/>
          </w:tcPr>
          <w:p w14:paraId="72EEED3B">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2.06 (1.41, 3.06)</w:t>
            </w:r>
          </w:p>
        </w:tc>
        <w:tc>
          <w:tcPr>
            <w:tcW w:w="1662" w:type="dxa"/>
            <w:tcBorders>
              <w:top w:val="nil"/>
              <w:left w:val="nil"/>
              <w:bottom w:val="nil"/>
              <w:right w:val="nil"/>
            </w:tcBorders>
            <w:shd w:val="clear" w:color="auto" w:fill="FFFFFF"/>
            <w:vAlign w:val="center"/>
          </w:tcPr>
          <w:p w14:paraId="231EA910">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2.36 (1.40, 3.09)</w:t>
            </w:r>
          </w:p>
        </w:tc>
        <w:tc>
          <w:tcPr>
            <w:tcW w:w="1662" w:type="dxa"/>
            <w:tcBorders>
              <w:top w:val="nil"/>
              <w:left w:val="nil"/>
              <w:bottom w:val="nil"/>
              <w:right w:val="nil"/>
            </w:tcBorders>
            <w:shd w:val="clear" w:color="auto" w:fill="FFFFFF"/>
            <w:vAlign w:val="center"/>
          </w:tcPr>
          <w:p w14:paraId="4E3F1717">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1.91 (1.31, 2.96)</w:t>
            </w:r>
          </w:p>
        </w:tc>
        <w:tc>
          <w:tcPr>
            <w:tcW w:w="1662" w:type="dxa"/>
            <w:tcBorders>
              <w:top w:val="nil"/>
              <w:left w:val="nil"/>
              <w:bottom w:val="nil"/>
              <w:right w:val="nil"/>
            </w:tcBorders>
            <w:shd w:val="clear" w:color="auto" w:fill="FFFFFF"/>
            <w:vAlign w:val="center"/>
          </w:tcPr>
          <w:p w14:paraId="66F53934">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1.92 (1.34, 2.71)</w:t>
            </w:r>
          </w:p>
        </w:tc>
        <w:tc>
          <w:tcPr>
            <w:tcW w:w="1662" w:type="dxa"/>
            <w:tcBorders>
              <w:top w:val="nil"/>
              <w:left w:val="nil"/>
              <w:bottom w:val="nil"/>
              <w:right w:val="nil"/>
            </w:tcBorders>
            <w:shd w:val="clear" w:color="auto" w:fill="FFFFFF"/>
            <w:vAlign w:val="center"/>
          </w:tcPr>
          <w:p w14:paraId="10BED982">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0.465</w:t>
            </w:r>
          </w:p>
        </w:tc>
      </w:tr>
      <w:tr w14:paraId="1FCA9FF3">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4AEFB780">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T3, pmol/L</w:t>
            </w:r>
          </w:p>
        </w:tc>
        <w:tc>
          <w:tcPr>
            <w:tcW w:w="1662" w:type="dxa"/>
            <w:tcBorders>
              <w:top w:val="nil"/>
              <w:left w:val="nil"/>
              <w:bottom w:val="nil"/>
              <w:right w:val="nil"/>
            </w:tcBorders>
            <w:shd w:val="clear" w:color="auto" w:fill="FFFFFF"/>
            <w:vAlign w:val="center"/>
          </w:tcPr>
          <w:p w14:paraId="77BC0A55">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4.63 (4.07, 4.97)</w:t>
            </w:r>
          </w:p>
        </w:tc>
        <w:tc>
          <w:tcPr>
            <w:tcW w:w="1662" w:type="dxa"/>
            <w:tcBorders>
              <w:top w:val="nil"/>
              <w:left w:val="nil"/>
              <w:bottom w:val="nil"/>
              <w:right w:val="nil"/>
            </w:tcBorders>
            <w:shd w:val="clear" w:color="auto" w:fill="FFFFFF"/>
            <w:vAlign w:val="center"/>
          </w:tcPr>
          <w:p w14:paraId="5A472AB6">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4.65 (4.33, 4.99)</w:t>
            </w:r>
          </w:p>
        </w:tc>
        <w:tc>
          <w:tcPr>
            <w:tcW w:w="1662" w:type="dxa"/>
            <w:tcBorders>
              <w:top w:val="nil"/>
              <w:left w:val="nil"/>
              <w:bottom w:val="nil"/>
              <w:right w:val="nil"/>
            </w:tcBorders>
            <w:shd w:val="clear" w:color="auto" w:fill="FFFFFF"/>
            <w:vAlign w:val="center"/>
          </w:tcPr>
          <w:p w14:paraId="1186594F">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4.65 (4.21, 5.09)</w:t>
            </w:r>
          </w:p>
        </w:tc>
        <w:tc>
          <w:tcPr>
            <w:tcW w:w="1662" w:type="dxa"/>
            <w:tcBorders>
              <w:top w:val="nil"/>
              <w:left w:val="nil"/>
              <w:bottom w:val="nil"/>
              <w:right w:val="nil"/>
            </w:tcBorders>
            <w:shd w:val="clear" w:color="auto" w:fill="FFFFFF"/>
            <w:vAlign w:val="center"/>
          </w:tcPr>
          <w:p w14:paraId="771B1C4D">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4.77 (4.30, 5.07)</w:t>
            </w:r>
          </w:p>
        </w:tc>
        <w:tc>
          <w:tcPr>
            <w:tcW w:w="1662" w:type="dxa"/>
            <w:tcBorders>
              <w:top w:val="nil"/>
              <w:left w:val="nil"/>
              <w:bottom w:val="nil"/>
              <w:right w:val="nil"/>
            </w:tcBorders>
            <w:shd w:val="clear" w:color="auto" w:fill="FFFFFF"/>
            <w:vAlign w:val="center"/>
          </w:tcPr>
          <w:p w14:paraId="54D9E506">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0.223</w:t>
            </w:r>
          </w:p>
        </w:tc>
      </w:tr>
      <w:tr w14:paraId="2A580DF0">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6CD8CFCD">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T4, pmol/L</w:t>
            </w:r>
          </w:p>
        </w:tc>
        <w:tc>
          <w:tcPr>
            <w:tcW w:w="1662" w:type="dxa"/>
            <w:tcBorders>
              <w:top w:val="nil"/>
              <w:left w:val="nil"/>
              <w:bottom w:val="nil"/>
              <w:right w:val="nil"/>
            </w:tcBorders>
            <w:shd w:val="clear" w:color="auto" w:fill="FFFFFF"/>
            <w:vAlign w:val="center"/>
          </w:tcPr>
          <w:p w14:paraId="61611913">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17.06 (15.81, 18.19)</w:t>
            </w:r>
          </w:p>
        </w:tc>
        <w:tc>
          <w:tcPr>
            <w:tcW w:w="1662" w:type="dxa"/>
            <w:tcBorders>
              <w:top w:val="nil"/>
              <w:left w:val="nil"/>
              <w:bottom w:val="nil"/>
              <w:right w:val="nil"/>
            </w:tcBorders>
            <w:shd w:val="clear" w:color="auto" w:fill="FFFFFF"/>
            <w:vAlign w:val="center"/>
          </w:tcPr>
          <w:p w14:paraId="406F8CE5">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17.06 (15.22, 18.66)</w:t>
            </w:r>
          </w:p>
        </w:tc>
        <w:tc>
          <w:tcPr>
            <w:tcW w:w="1662" w:type="dxa"/>
            <w:tcBorders>
              <w:top w:val="nil"/>
              <w:left w:val="nil"/>
              <w:bottom w:val="nil"/>
              <w:right w:val="nil"/>
            </w:tcBorders>
            <w:shd w:val="clear" w:color="auto" w:fill="FFFFFF"/>
            <w:vAlign w:val="center"/>
          </w:tcPr>
          <w:p w14:paraId="190FB677">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17.06 (15.11, 18.20)</w:t>
            </w:r>
          </w:p>
        </w:tc>
        <w:tc>
          <w:tcPr>
            <w:tcW w:w="1662" w:type="dxa"/>
            <w:tcBorders>
              <w:top w:val="nil"/>
              <w:left w:val="nil"/>
              <w:bottom w:val="nil"/>
              <w:right w:val="nil"/>
            </w:tcBorders>
            <w:shd w:val="clear" w:color="auto" w:fill="FFFFFF"/>
            <w:vAlign w:val="center"/>
          </w:tcPr>
          <w:p w14:paraId="18A0117F">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17.06 (15.09, 18.70)</w:t>
            </w:r>
          </w:p>
        </w:tc>
        <w:tc>
          <w:tcPr>
            <w:tcW w:w="1662" w:type="dxa"/>
            <w:tcBorders>
              <w:top w:val="nil"/>
              <w:left w:val="nil"/>
              <w:bottom w:val="nil"/>
              <w:right w:val="nil"/>
            </w:tcBorders>
            <w:shd w:val="clear" w:color="auto" w:fill="FFFFFF"/>
            <w:vAlign w:val="center"/>
          </w:tcPr>
          <w:p w14:paraId="624B6B40">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0.864</w:t>
            </w:r>
          </w:p>
        </w:tc>
      </w:tr>
      <w:tr w14:paraId="1417885F">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232B26A0">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Serum Potassium, mmol/L</w:t>
            </w:r>
          </w:p>
        </w:tc>
        <w:tc>
          <w:tcPr>
            <w:tcW w:w="1662" w:type="dxa"/>
            <w:tcBorders>
              <w:top w:val="nil"/>
              <w:left w:val="nil"/>
              <w:bottom w:val="nil"/>
              <w:right w:val="nil"/>
            </w:tcBorders>
            <w:shd w:val="clear" w:color="auto" w:fill="FFFFFF"/>
            <w:vAlign w:val="center"/>
          </w:tcPr>
          <w:p w14:paraId="59DE67BF">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3.94 (3.57, 4.15)</w:t>
            </w:r>
          </w:p>
        </w:tc>
        <w:tc>
          <w:tcPr>
            <w:tcW w:w="1662" w:type="dxa"/>
            <w:tcBorders>
              <w:top w:val="nil"/>
              <w:left w:val="nil"/>
              <w:bottom w:val="nil"/>
              <w:right w:val="nil"/>
            </w:tcBorders>
            <w:shd w:val="clear" w:color="auto" w:fill="FFFFFF"/>
            <w:vAlign w:val="center"/>
          </w:tcPr>
          <w:p w14:paraId="02AFE741">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3.94 (3.67, 4.16)</w:t>
            </w:r>
          </w:p>
        </w:tc>
        <w:tc>
          <w:tcPr>
            <w:tcW w:w="1662" w:type="dxa"/>
            <w:tcBorders>
              <w:top w:val="nil"/>
              <w:left w:val="nil"/>
              <w:bottom w:val="nil"/>
              <w:right w:val="nil"/>
            </w:tcBorders>
            <w:shd w:val="clear" w:color="auto" w:fill="FFFFFF"/>
            <w:vAlign w:val="center"/>
          </w:tcPr>
          <w:p w14:paraId="4C452FD3">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3.95 (3.71, 4.14)</w:t>
            </w:r>
          </w:p>
        </w:tc>
        <w:tc>
          <w:tcPr>
            <w:tcW w:w="1662" w:type="dxa"/>
            <w:tcBorders>
              <w:top w:val="nil"/>
              <w:left w:val="nil"/>
              <w:bottom w:val="nil"/>
              <w:right w:val="nil"/>
            </w:tcBorders>
            <w:shd w:val="clear" w:color="auto" w:fill="FFFFFF"/>
            <w:vAlign w:val="center"/>
          </w:tcPr>
          <w:p w14:paraId="6E76B7FE">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3.98 (3.72, 4.19)</w:t>
            </w:r>
          </w:p>
        </w:tc>
        <w:tc>
          <w:tcPr>
            <w:tcW w:w="1662" w:type="dxa"/>
            <w:tcBorders>
              <w:top w:val="nil"/>
              <w:left w:val="nil"/>
              <w:bottom w:val="nil"/>
              <w:right w:val="nil"/>
            </w:tcBorders>
            <w:shd w:val="clear" w:color="auto" w:fill="FFFFFF"/>
            <w:vAlign w:val="center"/>
          </w:tcPr>
          <w:p w14:paraId="055CAC28">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0.629</w:t>
            </w:r>
          </w:p>
        </w:tc>
      </w:tr>
      <w:tr w14:paraId="3B694F50">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42CB3D42">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Blood Uric Acid, μmol/L</w:t>
            </w:r>
          </w:p>
        </w:tc>
        <w:tc>
          <w:tcPr>
            <w:tcW w:w="1662" w:type="dxa"/>
            <w:tcBorders>
              <w:top w:val="nil"/>
              <w:left w:val="nil"/>
              <w:bottom w:val="nil"/>
              <w:right w:val="nil"/>
            </w:tcBorders>
            <w:shd w:val="clear" w:color="auto" w:fill="FFFFFF"/>
            <w:vAlign w:val="center"/>
          </w:tcPr>
          <w:p w14:paraId="096AED0B">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342.50 (284.93, 408.80)</w:t>
            </w:r>
          </w:p>
        </w:tc>
        <w:tc>
          <w:tcPr>
            <w:tcW w:w="1662" w:type="dxa"/>
            <w:tcBorders>
              <w:top w:val="nil"/>
              <w:left w:val="nil"/>
              <w:bottom w:val="nil"/>
              <w:right w:val="nil"/>
            </w:tcBorders>
            <w:shd w:val="clear" w:color="auto" w:fill="FFFFFF"/>
            <w:vAlign w:val="center"/>
          </w:tcPr>
          <w:p w14:paraId="228F5A13">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358.60 (295.40, 424.70)</w:t>
            </w:r>
          </w:p>
        </w:tc>
        <w:tc>
          <w:tcPr>
            <w:tcW w:w="1662" w:type="dxa"/>
            <w:tcBorders>
              <w:top w:val="nil"/>
              <w:left w:val="nil"/>
              <w:bottom w:val="nil"/>
              <w:right w:val="nil"/>
            </w:tcBorders>
            <w:shd w:val="clear" w:color="auto" w:fill="FFFFFF"/>
            <w:vAlign w:val="center"/>
          </w:tcPr>
          <w:p w14:paraId="3DA90C20">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380.45 (310.58, 461.42)</w:t>
            </w:r>
          </w:p>
        </w:tc>
        <w:tc>
          <w:tcPr>
            <w:tcW w:w="1662" w:type="dxa"/>
            <w:tcBorders>
              <w:top w:val="nil"/>
              <w:left w:val="nil"/>
              <w:bottom w:val="nil"/>
              <w:right w:val="nil"/>
            </w:tcBorders>
            <w:shd w:val="clear" w:color="auto" w:fill="FFFFFF"/>
            <w:vAlign w:val="center"/>
          </w:tcPr>
          <w:p w14:paraId="16105019">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391.00 (329.00, 457.40)</w:t>
            </w:r>
          </w:p>
        </w:tc>
        <w:tc>
          <w:tcPr>
            <w:tcW w:w="1662" w:type="dxa"/>
            <w:tcBorders>
              <w:top w:val="nil"/>
              <w:left w:val="nil"/>
              <w:bottom w:val="nil"/>
              <w:right w:val="nil"/>
            </w:tcBorders>
            <w:shd w:val="clear" w:color="auto" w:fill="FFFFFF"/>
            <w:vAlign w:val="center"/>
          </w:tcPr>
          <w:p w14:paraId="58E09E44">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0.003</w:t>
            </w:r>
          </w:p>
        </w:tc>
      </w:tr>
      <w:tr w14:paraId="26881E63">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5325218A">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Blood Urea Nitrogen, mmol/L</w:t>
            </w:r>
          </w:p>
        </w:tc>
        <w:tc>
          <w:tcPr>
            <w:tcW w:w="1662" w:type="dxa"/>
            <w:tcBorders>
              <w:top w:val="nil"/>
              <w:left w:val="nil"/>
              <w:bottom w:val="nil"/>
              <w:right w:val="nil"/>
            </w:tcBorders>
            <w:shd w:val="clear" w:color="auto" w:fill="FFFFFF"/>
            <w:vAlign w:val="center"/>
          </w:tcPr>
          <w:p w14:paraId="6306AD62">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5.69 (4.77, 6.61)</w:t>
            </w:r>
          </w:p>
        </w:tc>
        <w:tc>
          <w:tcPr>
            <w:tcW w:w="1662" w:type="dxa"/>
            <w:tcBorders>
              <w:top w:val="nil"/>
              <w:left w:val="nil"/>
              <w:bottom w:val="nil"/>
              <w:right w:val="nil"/>
            </w:tcBorders>
            <w:shd w:val="clear" w:color="auto" w:fill="FFFFFF"/>
            <w:vAlign w:val="center"/>
          </w:tcPr>
          <w:p w14:paraId="1CC8F4EE">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5.78 (4.99, 6.99)</w:t>
            </w:r>
          </w:p>
        </w:tc>
        <w:tc>
          <w:tcPr>
            <w:tcW w:w="1662" w:type="dxa"/>
            <w:tcBorders>
              <w:top w:val="nil"/>
              <w:left w:val="nil"/>
              <w:bottom w:val="nil"/>
              <w:right w:val="nil"/>
            </w:tcBorders>
            <w:shd w:val="clear" w:color="auto" w:fill="FFFFFF"/>
            <w:vAlign w:val="center"/>
          </w:tcPr>
          <w:p w14:paraId="79FE86A3">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5.66 (4.76, 6.81)</w:t>
            </w:r>
          </w:p>
        </w:tc>
        <w:tc>
          <w:tcPr>
            <w:tcW w:w="1662" w:type="dxa"/>
            <w:tcBorders>
              <w:top w:val="nil"/>
              <w:left w:val="nil"/>
              <w:bottom w:val="nil"/>
              <w:right w:val="nil"/>
            </w:tcBorders>
            <w:shd w:val="clear" w:color="auto" w:fill="FFFFFF"/>
            <w:vAlign w:val="center"/>
          </w:tcPr>
          <w:p w14:paraId="119EE873">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5.92 (4.80, 6.94)</w:t>
            </w:r>
          </w:p>
        </w:tc>
        <w:tc>
          <w:tcPr>
            <w:tcW w:w="1662" w:type="dxa"/>
            <w:tcBorders>
              <w:top w:val="nil"/>
              <w:left w:val="nil"/>
              <w:bottom w:val="nil"/>
              <w:right w:val="nil"/>
            </w:tcBorders>
            <w:shd w:val="clear" w:color="auto" w:fill="FFFFFF"/>
            <w:vAlign w:val="center"/>
          </w:tcPr>
          <w:p w14:paraId="787F10B6">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0.741</w:t>
            </w:r>
          </w:p>
        </w:tc>
      </w:tr>
      <w:tr w14:paraId="2DF6FD67">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4F37BEF5">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Blood Creatinine, μmol/L</w:t>
            </w:r>
          </w:p>
        </w:tc>
        <w:tc>
          <w:tcPr>
            <w:tcW w:w="1662" w:type="dxa"/>
            <w:tcBorders>
              <w:top w:val="nil"/>
              <w:left w:val="nil"/>
              <w:bottom w:val="nil"/>
              <w:right w:val="nil"/>
            </w:tcBorders>
            <w:shd w:val="clear" w:color="auto" w:fill="FFFFFF"/>
            <w:vAlign w:val="center"/>
          </w:tcPr>
          <w:p w14:paraId="0E4AC50A">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72.25 (61.02, 84.00)</w:t>
            </w:r>
          </w:p>
        </w:tc>
        <w:tc>
          <w:tcPr>
            <w:tcW w:w="1662" w:type="dxa"/>
            <w:tcBorders>
              <w:top w:val="nil"/>
              <w:left w:val="nil"/>
              <w:bottom w:val="nil"/>
              <w:right w:val="nil"/>
            </w:tcBorders>
            <w:shd w:val="clear" w:color="auto" w:fill="FFFFFF"/>
            <w:vAlign w:val="center"/>
          </w:tcPr>
          <w:p w14:paraId="67EA47B4">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69.00 (63.00, 82.00)</w:t>
            </w:r>
          </w:p>
        </w:tc>
        <w:tc>
          <w:tcPr>
            <w:tcW w:w="1662" w:type="dxa"/>
            <w:tcBorders>
              <w:top w:val="nil"/>
              <w:left w:val="nil"/>
              <w:bottom w:val="nil"/>
              <w:right w:val="nil"/>
            </w:tcBorders>
            <w:shd w:val="clear" w:color="auto" w:fill="FFFFFF"/>
            <w:vAlign w:val="center"/>
          </w:tcPr>
          <w:p w14:paraId="7C02A3A4">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71.05 (61.22, 81.00)</w:t>
            </w:r>
          </w:p>
        </w:tc>
        <w:tc>
          <w:tcPr>
            <w:tcW w:w="1662" w:type="dxa"/>
            <w:tcBorders>
              <w:top w:val="nil"/>
              <w:left w:val="nil"/>
              <w:bottom w:val="nil"/>
              <w:right w:val="nil"/>
            </w:tcBorders>
            <w:shd w:val="clear" w:color="auto" w:fill="FFFFFF"/>
            <w:vAlign w:val="center"/>
          </w:tcPr>
          <w:p w14:paraId="1A5DE43E">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73.50 (63.00, 85.00)</w:t>
            </w:r>
          </w:p>
        </w:tc>
        <w:tc>
          <w:tcPr>
            <w:tcW w:w="1662" w:type="dxa"/>
            <w:tcBorders>
              <w:top w:val="nil"/>
              <w:left w:val="nil"/>
              <w:bottom w:val="nil"/>
              <w:right w:val="nil"/>
            </w:tcBorders>
            <w:shd w:val="clear" w:color="auto" w:fill="FFFFFF"/>
            <w:vAlign w:val="center"/>
          </w:tcPr>
          <w:p w14:paraId="39DF913A">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0.646</w:t>
            </w:r>
          </w:p>
        </w:tc>
      </w:tr>
      <w:tr w14:paraId="47DFBAD6">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13BF14CB">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eGFR, mL/min/1.73m²</w:t>
            </w:r>
          </w:p>
        </w:tc>
        <w:tc>
          <w:tcPr>
            <w:tcW w:w="1662" w:type="dxa"/>
            <w:tcBorders>
              <w:top w:val="nil"/>
              <w:left w:val="nil"/>
              <w:bottom w:val="nil"/>
              <w:right w:val="nil"/>
            </w:tcBorders>
            <w:shd w:val="clear" w:color="auto" w:fill="FFFFFF"/>
            <w:vAlign w:val="center"/>
          </w:tcPr>
          <w:p w14:paraId="7F90E8F1">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94.69 (79.51, 115.14)</w:t>
            </w:r>
          </w:p>
        </w:tc>
        <w:tc>
          <w:tcPr>
            <w:tcW w:w="1662" w:type="dxa"/>
            <w:tcBorders>
              <w:top w:val="nil"/>
              <w:left w:val="nil"/>
              <w:bottom w:val="nil"/>
              <w:right w:val="nil"/>
            </w:tcBorders>
            <w:shd w:val="clear" w:color="auto" w:fill="FFFFFF"/>
            <w:vAlign w:val="center"/>
          </w:tcPr>
          <w:p w14:paraId="6F5357EB">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99.47 (87.29, 116.70)</w:t>
            </w:r>
          </w:p>
        </w:tc>
        <w:tc>
          <w:tcPr>
            <w:tcW w:w="1662" w:type="dxa"/>
            <w:tcBorders>
              <w:top w:val="nil"/>
              <w:left w:val="nil"/>
              <w:bottom w:val="nil"/>
              <w:right w:val="nil"/>
            </w:tcBorders>
            <w:shd w:val="clear" w:color="auto" w:fill="FFFFFF"/>
            <w:vAlign w:val="center"/>
          </w:tcPr>
          <w:p w14:paraId="5968D436">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98.91 (87.24, 113.27)</w:t>
            </w:r>
          </w:p>
        </w:tc>
        <w:tc>
          <w:tcPr>
            <w:tcW w:w="1662" w:type="dxa"/>
            <w:tcBorders>
              <w:top w:val="nil"/>
              <w:left w:val="nil"/>
              <w:bottom w:val="nil"/>
              <w:right w:val="nil"/>
            </w:tcBorders>
            <w:shd w:val="clear" w:color="auto" w:fill="FFFFFF"/>
            <w:vAlign w:val="center"/>
          </w:tcPr>
          <w:p w14:paraId="21BC9795">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97.19 (83.79, 113.83)</w:t>
            </w:r>
          </w:p>
        </w:tc>
        <w:tc>
          <w:tcPr>
            <w:tcW w:w="1662" w:type="dxa"/>
            <w:tcBorders>
              <w:top w:val="nil"/>
              <w:left w:val="nil"/>
              <w:bottom w:val="nil"/>
              <w:right w:val="nil"/>
            </w:tcBorders>
            <w:shd w:val="clear" w:color="auto" w:fill="FFFFFF"/>
            <w:vAlign w:val="center"/>
          </w:tcPr>
          <w:p w14:paraId="306CE219">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0.544</w:t>
            </w:r>
          </w:p>
        </w:tc>
      </w:tr>
      <w:tr w14:paraId="2CCB267D">
        <w:tblPrEx>
          <w:tblCellMar>
            <w:top w:w="0" w:type="dxa"/>
            <w:left w:w="108" w:type="dxa"/>
            <w:bottom w:w="0" w:type="dxa"/>
            <w:right w:w="108" w:type="dxa"/>
          </w:tblCellMar>
        </w:tblPrEx>
        <w:trPr>
          <w:jc w:val="center"/>
        </w:trPr>
        <w:tc>
          <w:tcPr>
            <w:tcW w:w="9972" w:type="dxa"/>
            <w:gridSpan w:val="6"/>
            <w:tcBorders>
              <w:top w:val="nil"/>
              <w:left w:val="nil"/>
              <w:bottom w:val="nil"/>
              <w:right w:val="nil"/>
            </w:tcBorders>
            <w:shd w:val="clear" w:color="auto" w:fill="FFFFFF"/>
          </w:tcPr>
          <w:p w14:paraId="624A3E46">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bCs/>
                <w:i/>
                <w:color w:val="000000"/>
                <w:sz w:val="24"/>
                <w:szCs w:val="24"/>
                <w:highlight w:val="none"/>
              </w:rPr>
              <w:t>Other auxiliary examinations</w:t>
            </w:r>
          </w:p>
        </w:tc>
      </w:tr>
      <w:tr w14:paraId="4C68844B">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5CACF272">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Left atrial diameter, mm</w:t>
            </w:r>
          </w:p>
        </w:tc>
        <w:tc>
          <w:tcPr>
            <w:tcW w:w="1662" w:type="dxa"/>
            <w:tcBorders>
              <w:top w:val="nil"/>
              <w:left w:val="nil"/>
              <w:bottom w:val="nil"/>
              <w:right w:val="nil"/>
            </w:tcBorders>
            <w:shd w:val="clear" w:color="auto" w:fill="FFFFFF"/>
            <w:vAlign w:val="center"/>
          </w:tcPr>
          <w:p w14:paraId="6933D71B">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46.00 (43.00, 49.00)</w:t>
            </w:r>
          </w:p>
        </w:tc>
        <w:tc>
          <w:tcPr>
            <w:tcW w:w="1662" w:type="dxa"/>
            <w:tcBorders>
              <w:top w:val="nil"/>
              <w:left w:val="nil"/>
              <w:bottom w:val="nil"/>
              <w:right w:val="nil"/>
            </w:tcBorders>
            <w:shd w:val="clear" w:color="auto" w:fill="FFFFFF"/>
            <w:vAlign w:val="center"/>
          </w:tcPr>
          <w:p w14:paraId="6CF457BE">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45.00 (43.00, 49.00)</w:t>
            </w:r>
          </w:p>
        </w:tc>
        <w:tc>
          <w:tcPr>
            <w:tcW w:w="1662" w:type="dxa"/>
            <w:tcBorders>
              <w:top w:val="nil"/>
              <w:left w:val="nil"/>
              <w:bottom w:val="nil"/>
              <w:right w:val="nil"/>
            </w:tcBorders>
            <w:shd w:val="clear" w:color="auto" w:fill="FFFFFF"/>
            <w:vAlign w:val="center"/>
          </w:tcPr>
          <w:p w14:paraId="47F7997B">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45.00 (43.00, 48.25)</w:t>
            </w:r>
          </w:p>
        </w:tc>
        <w:tc>
          <w:tcPr>
            <w:tcW w:w="1662" w:type="dxa"/>
            <w:tcBorders>
              <w:top w:val="nil"/>
              <w:left w:val="nil"/>
              <w:bottom w:val="nil"/>
              <w:right w:val="nil"/>
            </w:tcBorders>
            <w:shd w:val="clear" w:color="auto" w:fill="FFFFFF"/>
            <w:vAlign w:val="center"/>
          </w:tcPr>
          <w:p w14:paraId="2723E6F7">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45.00 (42.00, 48.00)</w:t>
            </w:r>
          </w:p>
        </w:tc>
        <w:tc>
          <w:tcPr>
            <w:tcW w:w="1662" w:type="dxa"/>
            <w:tcBorders>
              <w:top w:val="nil"/>
              <w:left w:val="nil"/>
              <w:bottom w:val="nil"/>
              <w:right w:val="nil"/>
            </w:tcBorders>
            <w:shd w:val="clear" w:color="auto" w:fill="FFFFFF"/>
            <w:vAlign w:val="center"/>
          </w:tcPr>
          <w:p w14:paraId="10AEB5E9">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0.497</w:t>
            </w:r>
          </w:p>
        </w:tc>
      </w:tr>
      <w:tr w14:paraId="3A3DA391">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5B548B7A">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宋体" w:cs="Times New Roman"/>
                <w:b w:val="0"/>
                <w:color w:val="000000"/>
                <w:sz w:val="24"/>
                <w:szCs w:val="24"/>
                <w:highlight w:val="none"/>
                <w:lang w:eastAsia="zh-CN"/>
              </w:rPr>
              <w:t>Left ventricular ejection fraction</w:t>
            </w:r>
            <w:r>
              <w:rPr>
                <w:rFonts w:hint="default" w:ascii="Times New Roman" w:hAnsi="Times New Roman" w:eastAsia="Times New Roman" w:cs="Times New Roman"/>
                <w:b w:val="0"/>
                <w:color w:val="000000"/>
                <w:sz w:val="24"/>
                <w:szCs w:val="24"/>
                <w:highlight w:val="none"/>
              </w:rPr>
              <w:t>, %</w:t>
            </w:r>
          </w:p>
        </w:tc>
        <w:tc>
          <w:tcPr>
            <w:tcW w:w="1662" w:type="dxa"/>
            <w:tcBorders>
              <w:top w:val="nil"/>
              <w:left w:val="nil"/>
              <w:bottom w:val="nil"/>
              <w:right w:val="nil"/>
            </w:tcBorders>
            <w:shd w:val="clear" w:color="auto" w:fill="FFFFFF"/>
            <w:vAlign w:val="center"/>
          </w:tcPr>
          <w:p w14:paraId="457376D5">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58.00 (55.00, 61.00)</w:t>
            </w:r>
          </w:p>
        </w:tc>
        <w:tc>
          <w:tcPr>
            <w:tcW w:w="1662" w:type="dxa"/>
            <w:tcBorders>
              <w:top w:val="nil"/>
              <w:left w:val="nil"/>
              <w:bottom w:val="nil"/>
              <w:right w:val="nil"/>
            </w:tcBorders>
            <w:shd w:val="clear" w:color="auto" w:fill="FFFFFF"/>
            <w:vAlign w:val="center"/>
          </w:tcPr>
          <w:p w14:paraId="6133C78A">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58.00 (55.00, 61.00)</w:t>
            </w:r>
          </w:p>
        </w:tc>
        <w:tc>
          <w:tcPr>
            <w:tcW w:w="1662" w:type="dxa"/>
            <w:tcBorders>
              <w:top w:val="nil"/>
              <w:left w:val="nil"/>
              <w:bottom w:val="nil"/>
              <w:right w:val="nil"/>
            </w:tcBorders>
            <w:shd w:val="clear" w:color="auto" w:fill="FFFFFF"/>
            <w:vAlign w:val="center"/>
          </w:tcPr>
          <w:p w14:paraId="7D40CA69">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58.00 (53.00, 61.00)</w:t>
            </w:r>
          </w:p>
        </w:tc>
        <w:tc>
          <w:tcPr>
            <w:tcW w:w="1662" w:type="dxa"/>
            <w:tcBorders>
              <w:top w:val="nil"/>
              <w:left w:val="nil"/>
              <w:bottom w:val="nil"/>
              <w:right w:val="nil"/>
            </w:tcBorders>
            <w:shd w:val="clear" w:color="auto" w:fill="FFFFFF"/>
            <w:vAlign w:val="center"/>
          </w:tcPr>
          <w:p w14:paraId="575300D1">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58.00 (55.00, 61.00)</w:t>
            </w:r>
          </w:p>
        </w:tc>
        <w:tc>
          <w:tcPr>
            <w:tcW w:w="1662" w:type="dxa"/>
            <w:tcBorders>
              <w:top w:val="nil"/>
              <w:left w:val="nil"/>
              <w:bottom w:val="nil"/>
              <w:right w:val="nil"/>
            </w:tcBorders>
            <w:shd w:val="clear" w:color="auto" w:fill="FFFFFF"/>
            <w:vAlign w:val="center"/>
          </w:tcPr>
          <w:p w14:paraId="42128FD4">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0.938</w:t>
            </w:r>
          </w:p>
        </w:tc>
      </w:tr>
      <w:tr w14:paraId="5D59197C">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67E03566">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f-wave amplitude, mV</w:t>
            </w:r>
          </w:p>
        </w:tc>
        <w:tc>
          <w:tcPr>
            <w:tcW w:w="1662" w:type="dxa"/>
            <w:tcBorders>
              <w:top w:val="nil"/>
              <w:left w:val="nil"/>
              <w:bottom w:val="nil"/>
              <w:right w:val="nil"/>
            </w:tcBorders>
            <w:shd w:val="clear" w:color="auto" w:fill="FFFFFF"/>
            <w:vAlign w:val="center"/>
          </w:tcPr>
          <w:p w14:paraId="0E1EA7BC">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0.13 (0.08, 0.18)</w:t>
            </w:r>
          </w:p>
        </w:tc>
        <w:tc>
          <w:tcPr>
            <w:tcW w:w="1662" w:type="dxa"/>
            <w:tcBorders>
              <w:top w:val="nil"/>
              <w:left w:val="nil"/>
              <w:bottom w:val="nil"/>
              <w:right w:val="nil"/>
            </w:tcBorders>
            <w:shd w:val="clear" w:color="auto" w:fill="FFFFFF"/>
            <w:vAlign w:val="center"/>
          </w:tcPr>
          <w:p w14:paraId="0119DCC1">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0.13 (0.10, 0.16)</w:t>
            </w:r>
          </w:p>
        </w:tc>
        <w:tc>
          <w:tcPr>
            <w:tcW w:w="1662" w:type="dxa"/>
            <w:tcBorders>
              <w:top w:val="nil"/>
              <w:left w:val="nil"/>
              <w:bottom w:val="nil"/>
              <w:right w:val="nil"/>
            </w:tcBorders>
            <w:shd w:val="clear" w:color="auto" w:fill="FFFFFF"/>
            <w:vAlign w:val="center"/>
          </w:tcPr>
          <w:p w14:paraId="6BA37FBB">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0.14 (0.11, 0.18)</w:t>
            </w:r>
          </w:p>
        </w:tc>
        <w:tc>
          <w:tcPr>
            <w:tcW w:w="1662" w:type="dxa"/>
            <w:tcBorders>
              <w:top w:val="nil"/>
              <w:left w:val="nil"/>
              <w:bottom w:val="nil"/>
              <w:right w:val="nil"/>
            </w:tcBorders>
            <w:shd w:val="clear" w:color="auto" w:fill="FFFFFF"/>
            <w:vAlign w:val="center"/>
          </w:tcPr>
          <w:p w14:paraId="77CA900D">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0.13 (0.09, 0.17)</w:t>
            </w:r>
          </w:p>
        </w:tc>
        <w:tc>
          <w:tcPr>
            <w:tcW w:w="1662" w:type="dxa"/>
            <w:tcBorders>
              <w:top w:val="nil"/>
              <w:left w:val="nil"/>
              <w:bottom w:val="nil"/>
              <w:right w:val="nil"/>
            </w:tcBorders>
            <w:shd w:val="clear" w:color="auto" w:fill="FFFFFF"/>
            <w:vAlign w:val="center"/>
          </w:tcPr>
          <w:p w14:paraId="75F07B32">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0.122</w:t>
            </w:r>
          </w:p>
        </w:tc>
      </w:tr>
      <w:tr w14:paraId="08E3B646">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15EDFFEB">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Basal heart rate, bpm</w:t>
            </w:r>
          </w:p>
        </w:tc>
        <w:tc>
          <w:tcPr>
            <w:tcW w:w="1662" w:type="dxa"/>
            <w:tcBorders>
              <w:top w:val="nil"/>
              <w:left w:val="nil"/>
              <w:bottom w:val="nil"/>
              <w:right w:val="nil"/>
            </w:tcBorders>
            <w:shd w:val="clear" w:color="auto" w:fill="FFFFFF"/>
            <w:vAlign w:val="center"/>
          </w:tcPr>
          <w:p w14:paraId="606AAE99">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91.00 (82.25, 106.75)</w:t>
            </w:r>
          </w:p>
        </w:tc>
        <w:tc>
          <w:tcPr>
            <w:tcW w:w="1662" w:type="dxa"/>
            <w:tcBorders>
              <w:top w:val="nil"/>
              <w:left w:val="nil"/>
              <w:bottom w:val="nil"/>
              <w:right w:val="nil"/>
            </w:tcBorders>
            <w:shd w:val="clear" w:color="auto" w:fill="FFFFFF"/>
            <w:vAlign w:val="center"/>
          </w:tcPr>
          <w:p w14:paraId="66CC64BF">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84.00 (72.00, 96.00)</w:t>
            </w:r>
          </w:p>
        </w:tc>
        <w:tc>
          <w:tcPr>
            <w:tcW w:w="1662" w:type="dxa"/>
            <w:tcBorders>
              <w:top w:val="nil"/>
              <w:left w:val="nil"/>
              <w:bottom w:val="nil"/>
              <w:right w:val="nil"/>
            </w:tcBorders>
            <w:shd w:val="clear" w:color="auto" w:fill="FFFFFF"/>
            <w:vAlign w:val="center"/>
          </w:tcPr>
          <w:p w14:paraId="6F84DD69">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88.50 (77.00, 103.50)</w:t>
            </w:r>
          </w:p>
        </w:tc>
        <w:tc>
          <w:tcPr>
            <w:tcW w:w="1662" w:type="dxa"/>
            <w:tcBorders>
              <w:top w:val="nil"/>
              <w:left w:val="nil"/>
              <w:bottom w:val="nil"/>
              <w:right w:val="nil"/>
            </w:tcBorders>
            <w:shd w:val="clear" w:color="auto" w:fill="FFFFFF"/>
            <w:vAlign w:val="center"/>
          </w:tcPr>
          <w:p w14:paraId="20C91E05">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92.00 (77.00, 111.00)</w:t>
            </w:r>
          </w:p>
        </w:tc>
        <w:tc>
          <w:tcPr>
            <w:tcW w:w="1662" w:type="dxa"/>
            <w:tcBorders>
              <w:top w:val="nil"/>
              <w:left w:val="nil"/>
              <w:bottom w:val="nil"/>
              <w:right w:val="nil"/>
            </w:tcBorders>
            <w:shd w:val="clear" w:color="auto" w:fill="FFFFFF"/>
            <w:vAlign w:val="center"/>
          </w:tcPr>
          <w:p w14:paraId="539F4522">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0.007</w:t>
            </w:r>
          </w:p>
        </w:tc>
      </w:tr>
      <w:tr w14:paraId="6016B264">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02A65F79">
            <w:pPr>
              <w:spacing w:before="0" w:after="0" w:line="240" w:lineRule="auto"/>
              <w:jc w:val="left"/>
              <w:rPr>
                <w:rFonts w:hint="default" w:ascii="Times New Roman" w:hAnsi="Times New Roman" w:eastAsia="宋体" w:cs="Times New Roman"/>
                <w:b w:val="0"/>
                <w:color w:val="000000"/>
                <w:sz w:val="24"/>
                <w:szCs w:val="24"/>
                <w:highlight w:val="none"/>
                <w:lang w:eastAsia="zh-CN"/>
              </w:rPr>
            </w:pPr>
            <w:r>
              <w:rPr>
                <w:rFonts w:hint="default" w:ascii="Times New Roman" w:hAnsi="Times New Roman" w:eastAsia="Times New Roman" w:cs="Times New Roman"/>
                <w:b w:val="0"/>
                <w:color w:val="000000"/>
                <w:sz w:val="24"/>
                <w:szCs w:val="24"/>
                <w:highlight w:val="none"/>
              </w:rPr>
              <w:t xml:space="preserve">LVAs, </w:t>
            </w:r>
            <w:r>
              <w:rPr>
                <w:rFonts w:hint="default" w:ascii="Times New Roman" w:hAnsi="Times New Roman" w:eastAsia="宋体" w:cs="Times New Roman"/>
                <w:b w:val="0"/>
                <w:color w:val="000000"/>
                <w:sz w:val="24"/>
                <w:szCs w:val="24"/>
                <w:highlight w:val="none"/>
                <w:lang w:eastAsia="zh-CN"/>
              </w:rPr>
              <w:t>n (%)</w:t>
            </w:r>
          </w:p>
        </w:tc>
        <w:tc>
          <w:tcPr>
            <w:tcW w:w="1662" w:type="dxa"/>
            <w:tcBorders>
              <w:top w:val="nil"/>
              <w:left w:val="nil"/>
              <w:bottom w:val="nil"/>
              <w:right w:val="nil"/>
            </w:tcBorders>
            <w:shd w:val="clear" w:color="auto" w:fill="FFFFFF"/>
            <w:vAlign w:val="center"/>
          </w:tcPr>
          <w:p w14:paraId="365DB03D">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66 (64.7%)</w:t>
            </w:r>
          </w:p>
        </w:tc>
        <w:tc>
          <w:tcPr>
            <w:tcW w:w="1662" w:type="dxa"/>
            <w:tcBorders>
              <w:top w:val="nil"/>
              <w:left w:val="nil"/>
              <w:bottom w:val="nil"/>
              <w:right w:val="nil"/>
            </w:tcBorders>
            <w:shd w:val="clear" w:color="auto" w:fill="FFFFFF"/>
            <w:vAlign w:val="center"/>
          </w:tcPr>
          <w:p w14:paraId="5F38BD2F">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65 (64.4%)</w:t>
            </w:r>
          </w:p>
        </w:tc>
        <w:tc>
          <w:tcPr>
            <w:tcW w:w="1662" w:type="dxa"/>
            <w:tcBorders>
              <w:top w:val="nil"/>
              <w:left w:val="nil"/>
              <w:bottom w:val="nil"/>
              <w:right w:val="nil"/>
            </w:tcBorders>
            <w:shd w:val="clear" w:color="auto" w:fill="FFFFFF"/>
            <w:vAlign w:val="center"/>
          </w:tcPr>
          <w:p w14:paraId="111EBBCE">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52 (52.0%)</w:t>
            </w:r>
          </w:p>
        </w:tc>
        <w:tc>
          <w:tcPr>
            <w:tcW w:w="1662" w:type="dxa"/>
            <w:tcBorders>
              <w:top w:val="nil"/>
              <w:left w:val="nil"/>
              <w:bottom w:val="nil"/>
              <w:right w:val="nil"/>
            </w:tcBorders>
            <w:shd w:val="clear" w:color="auto" w:fill="FFFFFF"/>
            <w:vAlign w:val="center"/>
          </w:tcPr>
          <w:p w14:paraId="713A3490">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49 (48.5%)</w:t>
            </w:r>
          </w:p>
        </w:tc>
        <w:tc>
          <w:tcPr>
            <w:tcW w:w="1662" w:type="dxa"/>
            <w:tcBorders>
              <w:top w:val="nil"/>
              <w:left w:val="nil"/>
              <w:bottom w:val="nil"/>
              <w:right w:val="nil"/>
            </w:tcBorders>
            <w:shd w:val="clear" w:color="auto" w:fill="FFFFFF"/>
            <w:vAlign w:val="center"/>
          </w:tcPr>
          <w:p w14:paraId="63476301">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0.034</w:t>
            </w:r>
          </w:p>
        </w:tc>
      </w:tr>
      <w:tr w14:paraId="2AA1C224">
        <w:tblPrEx>
          <w:tblCellMar>
            <w:top w:w="0" w:type="dxa"/>
            <w:left w:w="108" w:type="dxa"/>
            <w:bottom w:w="0" w:type="dxa"/>
            <w:right w:w="108" w:type="dxa"/>
          </w:tblCellMar>
        </w:tblPrEx>
        <w:trPr>
          <w:jc w:val="center"/>
        </w:trPr>
        <w:tc>
          <w:tcPr>
            <w:tcW w:w="9972" w:type="dxa"/>
            <w:gridSpan w:val="6"/>
            <w:tcBorders>
              <w:top w:val="nil"/>
              <w:left w:val="nil"/>
              <w:bottom w:val="nil"/>
              <w:right w:val="nil"/>
            </w:tcBorders>
            <w:shd w:val="clear" w:color="auto" w:fill="FFFFFF"/>
          </w:tcPr>
          <w:p w14:paraId="3FBA1344">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bCs/>
                <w:i/>
                <w:color w:val="000000"/>
                <w:sz w:val="24"/>
                <w:szCs w:val="24"/>
                <w:highlight w:val="none"/>
              </w:rPr>
              <w:t>Cardiovascular history</w:t>
            </w:r>
          </w:p>
        </w:tc>
      </w:tr>
      <w:tr w14:paraId="29AB0F3B">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23B4CCC8">
            <w:pPr>
              <w:spacing w:before="0" w:after="0" w:line="240" w:lineRule="auto"/>
              <w:jc w:val="left"/>
              <w:rPr>
                <w:rFonts w:hint="default" w:ascii="Times New Roman" w:hAnsi="Times New Roman" w:eastAsia="宋体" w:cs="Times New Roman"/>
                <w:b w:val="0"/>
                <w:color w:val="000000"/>
                <w:sz w:val="24"/>
                <w:szCs w:val="24"/>
                <w:highlight w:val="none"/>
                <w:lang w:eastAsia="zh-CN"/>
              </w:rPr>
            </w:pPr>
            <w:r>
              <w:rPr>
                <w:rFonts w:hint="default" w:ascii="Times New Roman" w:hAnsi="Times New Roman" w:eastAsia="Times New Roman" w:cs="Times New Roman"/>
                <w:b w:val="0"/>
                <w:color w:val="000000"/>
                <w:sz w:val="24"/>
                <w:szCs w:val="24"/>
                <w:highlight w:val="none"/>
              </w:rPr>
              <w:t xml:space="preserve">Hypertension, </w:t>
            </w:r>
            <w:r>
              <w:rPr>
                <w:rFonts w:hint="default" w:ascii="Times New Roman" w:hAnsi="Times New Roman" w:eastAsia="宋体" w:cs="Times New Roman"/>
                <w:b w:val="0"/>
                <w:color w:val="000000"/>
                <w:sz w:val="24"/>
                <w:szCs w:val="24"/>
                <w:highlight w:val="none"/>
                <w:lang w:eastAsia="zh-CN"/>
              </w:rPr>
              <w:t>n (%)</w:t>
            </w:r>
          </w:p>
        </w:tc>
        <w:tc>
          <w:tcPr>
            <w:tcW w:w="1662" w:type="dxa"/>
            <w:tcBorders>
              <w:top w:val="nil"/>
              <w:left w:val="nil"/>
              <w:bottom w:val="nil"/>
              <w:right w:val="nil"/>
            </w:tcBorders>
            <w:shd w:val="clear" w:color="auto" w:fill="FFFFFF"/>
            <w:vAlign w:val="center"/>
          </w:tcPr>
          <w:p w14:paraId="6A10F0C4">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74 (72.5%)</w:t>
            </w:r>
          </w:p>
        </w:tc>
        <w:tc>
          <w:tcPr>
            <w:tcW w:w="1662" w:type="dxa"/>
            <w:tcBorders>
              <w:top w:val="nil"/>
              <w:left w:val="nil"/>
              <w:bottom w:val="nil"/>
              <w:right w:val="nil"/>
            </w:tcBorders>
            <w:shd w:val="clear" w:color="auto" w:fill="FFFFFF"/>
            <w:vAlign w:val="center"/>
          </w:tcPr>
          <w:p w14:paraId="342B70D0">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71 (70.3%)</w:t>
            </w:r>
          </w:p>
        </w:tc>
        <w:tc>
          <w:tcPr>
            <w:tcW w:w="1662" w:type="dxa"/>
            <w:tcBorders>
              <w:top w:val="nil"/>
              <w:left w:val="nil"/>
              <w:bottom w:val="nil"/>
              <w:right w:val="nil"/>
            </w:tcBorders>
            <w:shd w:val="clear" w:color="auto" w:fill="FFFFFF"/>
            <w:vAlign w:val="center"/>
          </w:tcPr>
          <w:p w14:paraId="5D4ADF44">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65 (65%)</w:t>
            </w:r>
          </w:p>
        </w:tc>
        <w:tc>
          <w:tcPr>
            <w:tcW w:w="1662" w:type="dxa"/>
            <w:tcBorders>
              <w:top w:val="nil"/>
              <w:left w:val="nil"/>
              <w:bottom w:val="nil"/>
              <w:right w:val="nil"/>
            </w:tcBorders>
            <w:shd w:val="clear" w:color="auto" w:fill="FFFFFF"/>
            <w:vAlign w:val="center"/>
          </w:tcPr>
          <w:p w14:paraId="7C2930BA">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70 (69.3%)</w:t>
            </w:r>
          </w:p>
        </w:tc>
        <w:tc>
          <w:tcPr>
            <w:tcW w:w="1662" w:type="dxa"/>
            <w:tcBorders>
              <w:top w:val="nil"/>
              <w:left w:val="nil"/>
              <w:bottom w:val="nil"/>
              <w:right w:val="nil"/>
            </w:tcBorders>
            <w:shd w:val="clear" w:color="auto" w:fill="FFFFFF"/>
            <w:vAlign w:val="center"/>
          </w:tcPr>
          <w:p w14:paraId="17841226">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0.7</w:t>
            </w:r>
          </w:p>
        </w:tc>
      </w:tr>
      <w:tr w14:paraId="1DD03CB9">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130F13B5">
            <w:pPr>
              <w:spacing w:before="0" w:after="0" w:line="240" w:lineRule="auto"/>
              <w:jc w:val="left"/>
              <w:rPr>
                <w:rFonts w:hint="default" w:ascii="Times New Roman" w:hAnsi="Times New Roman" w:eastAsia="宋体" w:cs="Times New Roman"/>
                <w:b w:val="0"/>
                <w:color w:val="000000"/>
                <w:sz w:val="24"/>
                <w:szCs w:val="24"/>
                <w:highlight w:val="none"/>
                <w:lang w:eastAsia="zh-CN"/>
              </w:rPr>
            </w:pPr>
            <w:r>
              <w:rPr>
                <w:rFonts w:hint="default" w:ascii="Times New Roman" w:hAnsi="Times New Roman" w:eastAsia="Times New Roman" w:cs="Times New Roman"/>
                <w:b w:val="0"/>
                <w:color w:val="000000"/>
                <w:sz w:val="24"/>
                <w:szCs w:val="24"/>
                <w:highlight w:val="none"/>
              </w:rPr>
              <w:t xml:space="preserve">Coronary artery disease, </w:t>
            </w:r>
            <w:r>
              <w:rPr>
                <w:rFonts w:hint="default" w:ascii="Times New Roman" w:hAnsi="Times New Roman" w:eastAsia="宋体" w:cs="Times New Roman"/>
                <w:b w:val="0"/>
                <w:color w:val="000000"/>
                <w:sz w:val="24"/>
                <w:szCs w:val="24"/>
                <w:highlight w:val="none"/>
                <w:lang w:eastAsia="zh-CN"/>
              </w:rPr>
              <w:t>n (%)</w:t>
            </w:r>
          </w:p>
        </w:tc>
        <w:tc>
          <w:tcPr>
            <w:tcW w:w="1662" w:type="dxa"/>
            <w:tcBorders>
              <w:top w:val="nil"/>
              <w:left w:val="nil"/>
              <w:bottom w:val="nil"/>
              <w:right w:val="nil"/>
            </w:tcBorders>
            <w:shd w:val="clear" w:color="auto" w:fill="FFFFFF"/>
            <w:vAlign w:val="center"/>
          </w:tcPr>
          <w:p w14:paraId="31B273CD">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27 (26.5%)</w:t>
            </w:r>
          </w:p>
        </w:tc>
        <w:tc>
          <w:tcPr>
            <w:tcW w:w="1662" w:type="dxa"/>
            <w:tcBorders>
              <w:top w:val="nil"/>
              <w:left w:val="nil"/>
              <w:bottom w:val="nil"/>
              <w:right w:val="nil"/>
            </w:tcBorders>
            <w:shd w:val="clear" w:color="auto" w:fill="FFFFFF"/>
            <w:vAlign w:val="center"/>
          </w:tcPr>
          <w:p w14:paraId="5BB3F293">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17 (16.8%)</w:t>
            </w:r>
          </w:p>
        </w:tc>
        <w:tc>
          <w:tcPr>
            <w:tcW w:w="1662" w:type="dxa"/>
            <w:tcBorders>
              <w:top w:val="nil"/>
              <w:left w:val="nil"/>
              <w:bottom w:val="nil"/>
              <w:right w:val="nil"/>
            </w:tcBorders>
            <w:shd w:val="clear" w:color="auto" w:fill="FFFFFF"/>
            <w:vAlign w:val="center"/>
          </w:tcPr>
          <w:p w14:paraId="60B5754E">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10 (10%)</w:t>
            </w:r>
          </w:p>
        </w:tc>
        <w:tc>
          <w:tcPr>
            <w:tcW w:w="1662" w:type="dxa"/>
            <w:tcBorders>
              <w:top w:val="nil"/>
              <w:left w:val="nil"/>
              <w:bottom w:val="nil"/>
              <w:right w:val="nil"/>
            </w:tcBorders>
            <w:shd w:val="clear" w:color="auto" w:fill="FFFFFF"/>
            <w:vAlign w:val="center"/>
          </w:tcPr>
          <w:p w14:paraId="4CCD7287">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14 (13.9%)</w:t>
            </w:r>
          </w:p>
        </w:tc>
        <w:tc>
          <w:tcPr>
            <w:tcW w:w="1662" w:type="dxa"/>
            <w:tcBorders>
              <w:top w:val="nil"/>
              <w:left w:val="nil"/>
              <w:bottom w:val="nil"/>
              <w:right w:val="nil"/>
            </w:tcBorders>
            <w:shd w:val="clear" w:color="auto" w:fill="FFFFFF"/>
            <w:vAlign w:val="center"/>
          </w:tcPr>
          <w:p w14:paraId="514D2235">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0.013</w:t>
            </w:r>
          </w:p>
        </w:tc>
      </w:tr>
      <w:tr w14:paraId="2427D700">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614F1419">
            <w:pPr>
              <w:spacing w:before="0" w:after="0" w:line="240" w:lineRule="auto"/>
              <w:jc w:val="left"/>
              <w:rPr>
                <w:rFonts w:hint="default" w:ascii="Times New Roman" w:hAnsi="Times New Roman" w:eastAsia="宋体" w:cs="Times New Roman"/>
                <w:b w:val="0"/>
                <w:color w:val="000000"/>
                <w:sz w:val="24"/>
                <w:szCs w:val="24"/>
                <w:highlight w:val="none"/>
                <w:lang w:eastAsia="zh-CN"/>
              </w:rPr>
            </w:pPr>
            <w:r>
              <w:rPr>
                <w:rFonts w:hint="default" w:ascii="Times New Roman" w:hAnsi="Times New Roman" w:eastAsia="Times New Roman" w:cs="Times New Roman"/>
                <w:b w:val="0"/>
                <w:color w:val="000000"/>
                <w:sz w:val="24"/>
                <w:szCs w:val="24"/>
                <w:highlight w:val="none"/>
              </w:rPr>
              <w:t xml:space="preserve">Heart failure, </w:t>
            </w:r>
            <w:r>
              <w:rPr>
                <w:rFonts w:hint="default" w:ascii="Times New Roman" w:hAnsi="Times New Roman" w:eastAsia="宋体" w:cs="Times New Roman"/>
                <w:b w:val="0"/>
                <w:color w:val="000000"/>
                <w:sz w:val="24"/>
                <w:szCs w:val="24"/>
                <w:highlight w:val="none"/>
                <w:lang w:eastAsia="zh-CN"/>
              </w:rPr>
              <w:t>n (%)</w:t>
            </w:r>
          </w:p>
        </w:tc>
        <w:tc>
          <w:tcPr>
            <w:tcW w:w="1662" w:type="dxa"/>
            <w:tcBorders>
              <w:top w:val="nil"/>
              <w:left w:val="nil"/>
              <w:bottom w:val="nil"/>
              <w:right w:val="nil"/>
            </w:tcBorders>
            <w:shd w:val="clear" w:color="auto" w:fill="FFFFFF"/>
            <w:vAlign w:val="center"/>
          </w:tcPr>
          <w:p w14:paraId="0BCB9015">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30 (29.4%)</w:t>
            </w:r>
          </w:p>
        </w:tc>
        <w:tc>
          <w:tcPr>
            <w:tcW w:w="1662" w:type="dxa"/>
            <w:tcBorders>
              <w:top w:val="nil"/>
              <w:left w:val="nil"/>
              <w:bottom w:val="nil"/>
              <w:right w:val="nil"/>
            </w:tcBorders>
            <w:shd w:val="clear" w:color="auto" w:fill="FFFFFF"/>
            <w:vAlign w:val="center"/>
          </w:tcPr>
          <w:p w14:paraId="44844F99">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35 (34.7%)</w:t>
            </w:r>
          </w:p>
        </w:tc>
        <w:tc>
          <w:tcPr>
            <w:tcW w:w="1662" w:type="dxa"/>
            <w:tcBorders>
              <w:top w:val="nil"/>
              <w:left w:val="nil"/>
              <w:bottom w:val="nil"/>
              <w:right w:val="nil"/>
            </w:tcBorders>
            <w:shd w:val="clear" w:color="auto" w:fill="FFFFFF"/>
            <w:vAlign w:val="center"/>
          </w:tcPr>
          <w:p w14:paraId="6AF1418D">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29 (29%)</w:t>
            </w:r>
          </w:p>
        </w:tc>
        <w:tc>
          <w:tcPr>
            <w:tcW w:w="1662" w:type="dxa"/>
            <w:tcBorders>
              <w:top w:val="nil"/>
              <w:left w:val="nil"/>
              <w:bottom w:val="nil"/>
              <w:right w:val="nil"/>
            </w:tcBorders>
            <w:shd w:val="clear" w:color="auto" w:fill="FFFFFF"/>
            <w:vAlign w:val="center"/>
          </w:tcPr>
          <w:p w14:paraId="6FA7922F">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30 (29.7%)</w:t>
            </w:r>
          </w:p>
        </w:tc>
        <w:tc>
          <w:tcPr>
            <w:tcW w:w="1662" w:type="dxa"/>
            <w:tcBorders>
              <w:top w:val="nil"/>
              <w:left w:val="nil"/>
              <w:bottom w:val="nil"/>
              <w:right w:val="nil"/>
            </w:tcBorders>
            <w:shd w:val="clear" w:color="auto" w:fill="FFFFFF"/>
            <w:vAlign w:val="center"/>
          </w:tcPr>
          <w:p w14:paraId="7989CB33">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0.8</w:t>
            </w:r>
          </w:p>
        </w:tc>
      </w:tr>
      <w:tr w14:paraId="4A5F4CFF">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66AB7E0A">
            <w:pPr>
              <w:spacing w:before="0" w:after="0" w:line="240" w:lineRule="auto"/>
              <w:jc w:val="left"/>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Times New Roman" w:cs="Times New Roman"/>
                <w:b w:val="0"/>
                <w:color w:val="000000"/>
                <w:sz w:val="24"/>
                <w:szCs w:val="24"/>
                <w:highlight w:val="none"/>
              </w:rPr>
              <w:t xml:space="preserve">Previous stroke, </w:t>
            </w:r>
            <w:r>
              <w:rPr>
                <w:rFonts w:hint="default" w:ascii="Times New Roman" w:hAnsi="Times New Roman" w:eastAsia="宋体" w:cs="Times New Roman"/>
                <w:b w:val="0"/>
                <w:color w:val="000000"/>
                <w:sz w:val="24"/>
                <w:szCs w:val="24"/>
                <w:highlight w:val="none"/>
                <w:lang w:eastAsia="zh-CN"/>
              </w:rPr>
              <w:t>n (%)</w:t>
            </w:r>
          </w:p>
        </w:tc>
        <w:tc>
          <w:tcPr>
            <w:tcW w:w="1662" w:type="dxa"/>
            <w:tcBorders>
              <w:top w:val="nil"/>
              <w:left w:val="nil"/>
              <w:bottom w:val="nil"/>
              <w:right w:val="nil"/>
            </w:tcBorders>
            <w:shd w:val="clear" w:color="auto" w:fill="FFFFFF"/>
            <w:vAlign w:val="center"/>
          </w:tcPr>
          <w:p w14:paraId="0A37E323">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22 (21.6%)</w:t>
            </w:r>
          </w:p>
        </w:tc>
        <w:tc>
          <w:tcPr>
            <w:tcW w:w="1662" w:type="dxa"/>
            <w:tcBorders>
              <w:top w:val="nil"/>
              <w:left w:val="nil"/>
              <w:bottom w:val="nil"/>
              <w:right w:val="nil"/>
            </w:tcBorders>
            <w:shd w:val="clear" w:color="auto" w:fill="FFFFFF"/>
            <w:vAlign w:val="center"/>
          </w:tcPr>
          <w:p w14:paraId="3E3F227E">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14 (13.9%)</w:t>
            </w:r>
          </w:p>
        </w:tc>
        <w:tc>
          <w:tcPr>
            <w:tcW w:w="1662" w:type="dxa"/>
            <w:tcBorders>
              <w:top w:val="nil"/>
              <w:left w:val="nil"/>
              <w:bottom w:val="nil"/>
              <w:right w:val="nil"/>
            </w:tcBorders>
            <w:shd w:val="clear" w:color="auto" w:fill="FFFFFF"/>
            <w:vAlign w:val="center"/>
          </w:tcPr>
          <w:p w14:paraId="1F54CA57">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19 (19%)</w:t>
            </w:r>
          </w:p>
        </w:tc>
        <w:tc>
          <w:tcPr>
            <w:tcW w:w="1662" w:type="dxa"/>
            <w:tcBorders>
              <w:top w:val="nil"/>
              <w:left w:val="nil"/>
              <w:bottom w:val="nil"/>
              <w:right w:val="nil"/>
            </w:tcBorders>
            <w:shd w:val="clear" w:color="auto" w:fill="FFFFFF"/>
            <w:vAlign w:val="center"/>
          </w:tcPr>
          <w:p w14:paraId="4135B725">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11 (10.9%)</w:t>
            </w:r>
          </w:p>
        </w:tc>
        <w:tc>
          <w:tcPr>
            <w:tcW w:w="1662" w:type="dxa"/>
            <w:tcBorders>
              <w:top w:val="nil"/>
              <w:left w:val="nil"/>
              <w:bottom w:val="nil"/>
              <w:right w:val="nil"/>
            </w:tcBorders>
            <w:shd w:val="clear" w:color="auto" w:fill="FFFFFF"/>
            <w:vAlign w:val="center"/>
          </w:tcPr>
          <w:p w14:paraId="38BDB077">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0.157</w:t>
            </w:r>
          </w:p>
        </w:tc>
      </w:tr>
      <w:tr w14:paraId="6C28982C">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6271FAB4">
            <w:pPr>
              <w:spacing w:before="0" w:after="0" w:line="240" w:lineRule="auto"/>
              <w:jc w:val="left"/>
              <w:rPr>
                <w:rFonts w:hint="default" w:ascii="Times New Roman" w:hAnsi="Times New Roman" w:eastAsia="宋体" w:cs="Times New Roman"/>
                <w:b w:val="0"/>
                <w:color w:val="000000"/>
                <w:sz w:val="24"/>
                <w:szCs w:val="24"/>
                <w:highlight w:val="none"/>
                <w:lang w:eastAsia="zh-CN"/>
              </w:rPr>
            </w:pPr>
            <w:r>
              <w:rPr>
                <w:rFonts w:hint="default" w:ascii="Times New Roman" w:hAnsi="Times New Roman" w:eastAsia="Times New Roman" w:cs="Times New Roman"/>
                <w:b w:val="0"/>
                <w:color w:val="000000"/>
                <w:sz w:val="24"/>
                <w:szCs w:val="24"/>
                <w:highlight w:val="none"/>
              </w:rPr>
              <w:t xml:space="preserve">Cardiomyopathy, </w:t>
            </w:r>
            <w:r>
              <w:rPr>
                <w:rFonts w:hint="default" w:ascii="Times New Roman" w:hAnsi="Times New Roman" w:eastAsia="宋体" w:cs="Times New Roman"/>
                <w:b w:val="0"/>
                <w:color w:val="000000"/>
                <w:sz w:val="24"/>
                <w:szCs w:val="24"/>
                <w:highlight w:val="none"/>
                <w:lang w:eastAsia="zh-CN"/>
              </w:rPr>
              <w:t>n (%)</w:t>
            </w:r>
          </w:p>
        </w:tc>
        <w:tc>
          <w:tcPr>
            <w:tcW w:w="1662" w:type="dxa"/>
            <w:tcBorders>
              <w:top w:val="nil"/>
              <w:left w:val="nil"/>
              <w:bottom w:val="nil"/>
              <w:right w:val="nil"/>
            </w:tcBorders>
            <w:shd w:val="clear" w:color="auto" w:fill="FFFFFF"/>
            <w:vAlign w:val="center"/>
          </w:tcPr>
          <w:p w14:paraId="120BA8D0">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 (1%)</w:t>
            </w:r>
          </w:p>
        </w:tc>
        <w:tc>
          <w:tcPr>
            <w:tcW w:w="1662" w:type="dxa"/>
            <w:tcBorders>
              <w:top w:val="nil"/>
              <w:left w:val="nil"/>
              <w:bottom w:val="nil"/>
              <w:right w:val="nil"/>
            </w:tcBorders>
            <w:shd w:val="clear" w:color="auto" w:fill="FFFFFF"/>
            <w:vAlign w:val="center"/>
          </w:tcPr>
          <w:p w14:paraId="1B7C9FE5">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 (3%)</w:t>
            </w:r>
          </w:p>
        </w:tc>
        <w:tc>
          <w:tcPr>
            <w:tcW w:w="1662" w:type="dxa"/>
            <w:tcBorders>
              <w:top w:val="nil"/>
              <w:left w:val="nil"/>
              <w:bottom w:val="nil"/>
              <w:right w:val="nil"/>
            </w:tcBorders>
            <w:shd w:val="clear" w:color="auto" w:fill="FFFFFF"/>
            <w:vAlign w:val="center"/>
          </w:tcPr>
          <w:p w14:paraId="5914AA7F">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2 (2%)</w:t>
            </w:r>
          </w:p>
        </w:tc>
        <w:tc>
          <w:tcPr>
            <w:tcW w:w="1662" w:type="dxa"/>
            <w:tcBorders>
              <w:top w:val="nil"/>
              <w:left w:val="nil"/>
              <w:bottom w:val="nil"/>
              <w:right w:val="nil"/>
            </w:tcBorders>
            <w:shd w:val="clear" w:color="auto" w:fill="FFFFFF"/>
            <w:vAlign w:val="center"/>
          </w:tcPr>
          <w:p w14:paraId="20103C81">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2 (2%)</w:t>
            </w:r>
          </w:p>
        </w:tc>
        <w:tc>
          <w:tcPr>
            <w:tcW w:w="1662" w:type="dxa"/>
            <w:tcBorders>
              <w:top w:val="nil"/>
              <w:left w:val="nil"/>
              <w:bottom w:val="nil"/>
              <w:right w:val="nil"/>
            </w:tcBorders>
            <w:shd w:val="clear" w:color="auto" w:fill="FFFFFF"/>
            <w:vAlign w:val="center"/>
          </w:tcPr>
          <w:p w14:paraId="2A49CCFE">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0.776</w:t>
            </w:r>
          </w:p>
        </w:tc>
      </w:tr>
      <w:tr w14:paraId="595CB409">
        <w:tblPrEx>
          <w:tblCellMar>
            <w:top w:w="0" w:type="dxa"/>
            <w:left w:w="108" w:type="dxa"/>
            <w:bottom w:w="0" w:type="dxa"/>
            <w:right w:w="108" w:type="dxa"/>
          </w:tblCellMar>
        </w:tblPrEx>
        <w:trPr>
          <w:jc w:val="center"/>
        </w:trPr>
        <w:tc>
          <w:tcPr>
            <w:tcW w:w="9972" w:type="dxa"/>
            <w:gridSpan w:val="6"/>
            <w:tcBorders>
              <w:top w:val="nil"/>
              <w:left w:val="nil"/>
              <w:bottom w:val="nil"/>
              <w:right w:val="nil"/>
            </w:tcBorders>
            <w:shd w:val="clear" w:color="auto" w:fill="FFFFFF"/>
          </w:tcPr>
          <w:p w14:paraId="7B5ED125">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bCs/>
                <w:i/>
                <w:color w:val="000000"/>
                <w:sz w:val="24"/>
                <w:szCs w:val="24"/>
                <w:highlight w:val="none"/>
              </w:rPr>
              <w:t>Other medical history</w:t>
            </w:r>
          </w:p>
        </w:tc>
      </w:tr>
      <w:tr w14:paraId="171F00E1">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2A61E1B5">
            <w:pPr>
              <w:spacing w:before="0" w:after="0" w:line="240" w:lineRule="auto"/>
              <w:jc w:val="left"/>
              <w:rPr>
                <w:rFonts w:hint="default" w:ascii="Times New Roman" w:hAnsi="Times New Roman" w:eastAsia="宋体" w:cs="Times New Roman"/>
                <w:b w:val="0"/>
                <w:color w:val="000000"/>
                <w:sz w:val="24"/>
                <w:szCs w:val="24"/>
                <w:highlight w:val="none"/>
                <w:lang w:eastAsia="zh-CN"/>
              </w:rPr>
            </w:pPr>
            <w:r>
              <w:rPr>
                <w:rFonts w:hint="default" w:ascii="Times New Roman" w:hAnsi="Times New Roman" w:eastAsia="Times New Roman" w:cs="Times New Roman"/>
                <w:b w:val="0"/>
                <w:color w:val="000000"/>
                <w:sz w:val="24"/>
                <w:szCs w:val="24"/>
                <w:highlight w:val="none"/>
              </w:rPr>
              <w:t xml:space="preserve">COPD, </w:t>
            </w:r>
            <w:r>
              <w:rPr>
                <w:rFonts w:hint="default" w:ascii="Times New Roman" w:hAnsi="Times New Roman" w:eastAsia="宋体" w:cs="Times New Roman"/>
                <w:b w:val="0"/>
                <w:color w:val="000000"/>
                <w:sz w:val="24"/>
                <w:szCs w:val="24"/>
                <w:highlight w:val="none"/>
                <w:lang w:eastAsia="zh-CN"/>
              </w:rPr>
              <w:t>n (%)</w:t>
            </w:r>
          </w:p>
        </w:tc>
        <w:tc>
          <w:tcPr>
            <w:tcW w:w="1662" w:type="dxa"/>
            <w:tcBorders>
              <w:top w:val="nil"/>
              <w:left w:val="nil"/>
              <w:bottom w:val="nil"/>
              <w:right w:val="nil"/>
            </w:tcBorders>
            <w:shd w:val="clear" w:color="auto" w:fill="FFFFFF"/>
            <w:vAlign w:val="center"/>
          </w:tcPr>
          <w:p w14:paraId="7FBC07D4">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5 (4.9%)</w:t>
            </w:r>
          </w:p>
        </w:tc>
        <w:tc>
          <w:tcPr>
            <w:tcW w:w="1662" w:type="dxa"/>
            <w:tcBorders>
              <w:top w:val="nil"/>
              <w:left w:val="nil"/>
              <w:bottom w:val="nil"/>
              <w:right w:val="nil"/>
            </w:tcBorders>
            <w:shd w:val="clear" w:color="auto" w:fill="FFFFFF"/>
            <w:vAlign w:val="center"/>
          </w:tcPr>
          <w:p w14:paraId="2584D62E">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11 (10.9%)</w:t>
            </w:r>
          </w:p>
        </w:tc>
        <w:tc>
          <w:tcPr>
            <w:tcW w:w="1662" w:type="dxa"/>
            <w:tcBorders>
              <w:top w:val="nil"/>
              <w:left w:val="nil"/>
              <w:bottom w:val="nil"/>
              <w:right w:val="nil"/>
            </w:tcBorders>
            <w:shd w:val="clear" w:color="auto" w:fill="FFFFFF"/>
            <w:vAlign w:val="center"/>
          </w:tcPr>
          <w:p w14:paraId="6818B875">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10 (10.0%)</w:t>
            </w:r>
          </w:p>
        </w:tc>
        <w:tc>
          <w:tcPr>
            <w:tcW w:w="1662" w:type="dxa"/>
            <w:tcBorders>
              <w:top w:val="nil"/>
              <w:left w:val="nil"/>
              <w:bottom w:val="nil"/>
              <w:right w:val="nil"/>
            </w:tcBorders>
            <w:shd w:val="clear" w:color="auto" w:fill="FFFFFF"/>
            <w:vAlign w:val="center"/>
          </w:tcPr>
          <w:p w14:paraId="2E37C8A8">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8 (7.9%)</w:t>
            </w:r>
          </w:p>
        </w:tc>
        <w:tc>
          <w:tcPr>
            <w:tcW w:w="1662" w:type="dxa"/>
            <w:tcBorders>
              <w:top w:val="nil"/>
              <w:left w:val="nil"/>
              <w:bottom w:val="nil"/>
              <w:right w:val="nil"/>
            </w:tcBorders>
            <w:shd w:val="clear" w:color="auto" w:fill="FFFFFF"/>
            <w:vAlign w:val="center"/>
          </w:tcPr>
          <w:p w14:paraId="35572F77">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0.424</w:t>
            </w:r>
          </w:p>
        </w:tc>
      </w:tr>
      <w:tr w14:paraId="33A15DE1">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36AD1E02">
            <w:pPr>
              <w:spacing w:before="0" w:after="0" w:line="240" w:lineRule="auto"/>
              <w:jc w:val="left"/>
              <w:rPr>
                <w:rFonts w:hint="default" w:ascii="Times New Roman" w:hAnsi="Times New Roman" w:eastAsia="宋体" w:cs="Times New Roman"/>
                <w:b w:val="0"/>
                <w:color w:val="000000"/>
                <w:sz w:val="24"/>
                <w:szCs w:val="24"/>
                <w:highlight w:val="none"/>
                <w:lang w:eastAsia="zh-CN"/>
              </w:rPr>
            </w:pPr>
            <w:r>
              <w:rPr>
                <w:rFonts w:hint="default" w:ascii="Times New Roman" w:hAnsi="Times New Roman" w:eastAsia="Times New Roman" w:cs="Times New Roman"/>
                <w:b w:val="0"/>
                <w:color w:val="000000"/>
                <w:sz w:val="24"/>
                <w:szCs w:val="24"/>
                <w:highlight w:val="none"/>
              </w:rPr>
              <w:t xml:space="preserve">OSAS, </w:t>
            </w:r>
            <w:r>
              <w:rPr>
                <w:rFonts w:hint="default" w:ascii="Times New Roman" w:hAnsi="Times New Roman" w:eastAsia="宋体" w:cs="Times New Roman"/>
                <w:b w:val="0"/>
                <w:color w:val="000000"/>
                <w:sz w:val="24"/>
                <w:szCs w:val="24"/>
                <w:highlight w:val="none"/>
                <w:lang w:eastAsia="zh-CN"/>
              </w:rPr>
              <w:t>n (%)</w:t>
            </w:r>
          </w:p>
        </w:tc>
        <w:tc>
          <w:tcPr>
            <w:tcW w:w="1662" w:type="dxa"/>
            <w:tcBorders>
              <w:top w:val="nil"/>
              <w:left w:val="nil"/>
              <w:bottom w:val="nil"/>
              <w:right w:val="nil"/>
            </w:tcBorders>
            <w:shd w:val="clear" w:color="auto" w:fill="FFFFFF"/>
            <w:vAlign w:val="center"/>
          </w:tcPr>
          <w:p w14:paraId="34DBCDD5">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 (0.0%)</w:t>
            </w:r>
          </w:p>
        </w:tc>
        <w:tc>
          <w:tcPr>
            <w:tcW w:w="1662" w:type="dxa"/>
            <w:tcBorders>
              <w:top w:val="nil"/>
              <w:left w:val="nil"/>
              <w:bottom w:val="nil"/>
              <w:right w:val="nil"/>
            </w:tcBorders>
            <w:shd w:val="clear" w:color="auto" w:fill="FFFFFF"/>
            <w:vAlign w:val="center"/>
          </w:tcPr>
          <w:p w14:paraId="222DF4C1">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 (0.0%)</w:t>
            </w:r>
          </w:p>
        </w:tc>
        <w:tc>
          <w:tcPr>
            <w:tcW w:w="1662" w:type="dxa"/>
            <w:tcBorders>
              <w:top w:val="nil"/>
              <w:left w:val="nil"/>
              <w:bottom w:val="nil"/>
              <w:right w:val="nil"/>
            </w:tcBorders>
            <w:shd w:val="clear" w:color="auto" w:fill="FFFFFF"/>
            <w:vAlign w:val="center"/>
          </w:tcPr>
          <w:p w14:paraId="776C54D5">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 (1.0%)</w:t>
            </w:r>
          </w:p>
        </w:tc>
        <w:tc>
          <w:tcPr>
            <w:tcW w:w="1662" w:type="dxa"/>
            <w:tcBorders>
              <w:top w:val="nil"/>
              <w:left w:val="nil"/>
              <w:bottom w:val="nil"/>
              <w:right w:val="nil"/>
            </w:tcBorders>
            <w:shd w:val="clear" w:color="auto" w:fill="FFFFFF"/>
            <w:vAlign w:val="center"/>
          </w:tcPr>
          <w:p w14:paraId="495BFED9">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 (3.0%)</w:t>
            </w:r>
          </w:p>
        </w:tc>
        <w:tc>
          <w:tcPr>
            <w:tcW w:w="1662" w:type="dxa"/>
            <w:tcBorders>
              <w:top w:val="nil"/>
              <w:left w:val="nil"/>
              <w:bottom w:val="nil"/>
              <w:right w:val="nil"/>
            </w:tcBorders>
            <w:shd w:val="clear" w:color="auto" w:fill="FFFFFF"/>
            <w:vAlign w:val="center"/>
          </w:tcPr>
          <w:p w14:paraId="1B867390">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0.09</w:t>
            </w:r>
          </w:p>
        </w:tc>
      </w:tr>
      <w:tr w14:paraId="61CD5436">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627A32AB">
            <w:pPr>
              <w:spacing w:before="0" w:after="0" w:line="240" w:lineRule="auto"/>
              <w:jc w:val="left"/>
              <w:rPr>
                <w:rFonts w:hint="default" w:ascii="Times New Roman" w:hAnsi="Times New Roman" w:eastAsia="宋体" w:cs="Times New Roman"/>
                <w:b w:val="0"/>
                <w:color w:val="000000"/>
                <w:sz w:val="24"/>
                <w:szCs w:val="24"/>
                <w:highlight w:val="none"/>
                <w:lang w:eastAsia="zh-CN"/>
              </w:rPr>
            </w:pPr>
            <w:r>
              <w:rPr>
                <w:rFonts w:hint="default" w:ascii="Times New Roman" w:hAnsi="Times New Roman" w:eastAsia="Times New Roman" w:cs="Times New Roman"/>
                <w:b w:val="0"/>
                <w:color w:val="000000"/>
                <w:sz w:val="24"/>
                <w:szCs w:val="24"/>
                <w:highlight w:val="none"/>
              </w:rPr>
              <w:t xml:space="preserve">Diabetes, </w:t>
            </w:r>
            <w:r>
              <w:rPr>
                <w:rFonts w:hint="default" w:ascii="Times New Roman" w:hAnsi="Times New Roman" w:eastAsia="宋体" w:cs="Times New Roman"/>
                <w:b w:val="0"/>
                <w:color w:val="000000"/>
                <w:sz w:val="24"/>
                <w:szCs w:val="24"/>
                <w:highlight w:val="none"/>
                <w:lang w:eastAsia="zh-CN"/>
              </w:rPr>
              <w:t>n (%)</w:t>
            </w:r>
          </w:p>
        </w:tc>
        <w:tc>
          <w:tcPr>
            <w:tcW w:w="1662" w:type="dxa"/>
            <w:tcBorders>
              <w:top w:val="nil"/>
              <w:left w:val="nil"/>
              <w:bottom w:val="nil"/>
              <w:right w:val="nil"/>
            </w:tcBorders>
            <w:shd w:val="clear" w:color="auto" w:fill="FFFFFF"/>
            <w:vAlign w:val="center"/>
          </w:tcPr>
          <w:p w14:paraId="63646D07">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22 (21.6%)</w:t>
            </w:r>
          </w:p>
        </w:tc>
        <w:tc>
          <w:tcPr>
            <w:tcW w:w="1662" w:type="dxa"/>
            <w:tcBorders>
              <w:top w:val="nil"/>
              <w:left w:val="nil"/>
              <w:bottom w:val="nil"/>
              <w:right w:val="nil"/>
            </w:tcBorders>
            <w:shd w:val="clear" w:color="auto" w:fill="FFFFFF"/>
            <w:vAlign w:val="center"/>
          </w:tcPr>
          <w:p w14:paraId="51750D19">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8 (7.9%)</w:t>
            </w:r>
          </w:p>
        </w:tc>
        <w:tc>
          <w:tcPr>
            <w:tcW w:w="1662" w:type="dxa"/>
            <w:tcBorders>
              <w:top w:val="nil"/>
              <w:left w:val="nil"/>
              <w:bottom w:val="nil"/>
              <w:right w:val="nil"/>
            </w:tcBorders>
            <w:shd w:val="clear" w:color="auto" w:fill="FFFFFF"/>
            <w:vAlign w:val="center"/>
          </w:tcPr>
          <w:p w14:paraId="5F24647D">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17 (17%)</w:t>
            </w:r>
          </w:p>
        </w:tc>
        <w:tc>
          <w:tcPr>
            <w:tcW w:w="1662" w:type="dxa"/>
            <w:tcBorders>
              <w:top w:val="nil"/>
              <w:left w:val="nil"/>
              <w:bottom w:val="nil"/>
              <w:right w:val="nil"/>
            </w:tcBorders>
            <w:shd w:val="clear" w:color="auto" w:fill="FFFFFF"/>
            <w:vAlign w:val="center"/>
          </w:tcPr>
          <w:p w14:paraId="27ABA4F9">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21 (20.8%)</w:t>
            </w:r>
          </w:p>
        </w:tc>
        <w:tc>
          <w:tcPr>
            <w:tcW w:w="1662" w:type="dxa"/>
            <w:tcBorders>
              <w:top w:val="nil"/>
              <w:left w:val="nil"/>
              <w:bottom w:val="nil"/>
              <w:right w:val="nil"/>
            </w:tcBorders>
            <w:shd w:val="clear" w:color="auto" w:fill="FFFFFF"/>
            <w:vAlign w:val="center"/>
          </w:tcPr>
          <w:p w14:paraId="1A494BC7">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0.037</w:t>
            </w:r>
          </w:p>
        </w:tc>
      </w:tr>
      <w:tr w14:paraId="441061BE">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69CA9C39">
            <w:pPr>
              <w:spacing w:before="0" w:after="0" w:line="240" w:lineRule="auto"/>
              <w:jc w:val="left"/>
              <w:rPr>
                <w:rFonts w:hint="default" w:ascii="Times New Roman" w:hAnsi="Times New Roman" w:eastAsia="宋体" w:cs="Times New Roman"/>
                <w:b w:val="0"/>
                <w:color w:val="000000"/>
                <w:sz w:val="24"/>
                <w:szCs w:val="24"/>
                <w:highlight w:val="none"/>
                <w:lang w:eastAsia="zh-CN"/>
              </w:rPr>
            </w:pPr>
            <w:r>
              <w:rPr>
                <w:rFonts w:hint="default" w:ascii="Times New Roman" w:hAnsi="Times New Roman" w:eastAsia="Times New Roman" w:cs="Times New Roman"/>
                <w:b w:val="0"/>
                <w:color w:val="000000"/>
                <w:sz w:val="24"/>
                <w:szCs w:val="24"/>
                <w:highlight w:val="none"/>
              </w:rPr>
              <w:t xml:space="preserve">Fatty liver, </w:t>
            </w:r>
            <w:r>
              <w:rPr>
                <w:rFonts w:hint="default" w:ascii="Times New Roman" w:hAnsi="Times New Roman" w:eastAsia="宋体" w:cs="Times New Roman"/>
                <w:b w:val="0"/>
                <w:color w:val="000000"/>
                <w:sz w:val="24"/>
                <w:szCs w:val="24"/>
                <w:highlight w:val="none"/>
                <w:lang w:eastAsia="zh-CN"/>
              </w:rPr>
              <w:t>n (%)</w:t>
            </w:r>
          </w:p>
        </w:tc>
        <w:tc>
          <w:tcPr>
            <w:tcW w:w="1662" w:type="dxa"/>
            <w:tcBorders>
              <w:top w:val="nil"/>
              <w:left w:val="nil"/>
              <w:bottom w:val="nil"/>
              <w:right w:val="nil"/>
            </w:tcBorders>
            <w:shd w:val="clear" w:color="auto" w:fill="FFFFFF"/>
            <w:vAlign w:val="center"/>
          </w:tcPr>
          <w:p w14:paraId="51EEFE65">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18 (17.6%)</w:t>
            </w:r>
          </w:p>
        </w:tc>
        <w:tc>
          <w:tcPr>
            <w:tcW w:w="1662" w:type="dxa"/>
            <w:tcBorders>
              <w:top w:val="nil"/>
              <w:left w:val="nil"/>
              <w:bottom w:val="nil"/>
              <w:right w:val="nil"/>
            </w:tcBorders>
            <w:shd w:val="clear" w:color="auto" w:fill="FFFFFF"/>
            <w:vAlign w:val="center"/>
          </w:tcPr>
          <w:p w14:paraId="553E3D0D">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29 (28.7%)</w:t>
            </w:r>
          </w:p>
        </w:tc>
        <w:tc>
          <w:tcPr>
            <w:tcW w:w="1662" w:type="dxa"/>
            <w:tcBorders>
              <w:top w:val="nil"/>
              <w:left w:val="nil"/>
              <w:bottom w:val="nil"/>
              <w:right w:val="nil"/>
            </w:tcBorders>
            <w:shd w:val="clear" w:color="auto" w:fill="FFFFFF"/>
            <w:vAlign w:val="center"/>
          </w:tcPr>
          <w:p w14:paraId="149EF018">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30 (30%)</w:t>
            </w:r>
          </w:p>
        </w:tc>
        <w:tc>
          <w:tcPr>
            <w:tcW w:w="1662" w:type="dxa"/>
            <w:tcBorders>
              <w:top w:val="nil"/>
              <w:left w:val="nil"/>
              <w:bottom w:val="nil"/>
              <w:right w:val="nil"/>
            </w:tcBorders>
            <w:shd w:val="clear" w:color="auto" w:fill="FFFFFF"/>
            <w:vAlign w:val="center"/>
          </w:tcPr>
          <w:p w14:paraId="783317C1">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34 (33.7%)</w:t>
            </w:r>
          </w:p>
        </w:tc>
        <w:tc>
          <w:tcPr>
            <w:tcW w:w="1662" w:type="dxa"/>
            <w:tcBorders>
              <w:top w:val="nil"/>
              <w:left w:val="nil"/>
              <w:bottom w:val="nil"/>
              <w:right w:val="nil"/>
            </w:tcBorders>
            <w:shd w:val="clear" w:color="auto" w:fill="FFFFFF"/>
            <w:vAlign w:val="center"/>
          </w:tcPr>
          <w:p w14:paraId="44885594">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0.063</w:t>
            </w:r>
          </w:p>
        </w:tc>
      </w:tr>
      <w:tr w14:paraId="265BE0F7">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3394ACEE">
            <w:pPr>
              <w:spacing w:before="0" w:after="0" w:line="240" w:lineRule="auto"/>
              <w:jc w:val="left"/>
              <w:rPr>
                <w:rFonts w:hint="default" w:ascii="Times New Roman" w:hAnsi="Times New Roman" w:eastAsia="宋体" w:cs="Times New Roman"/>
                <w:b w:val="0"/>
                <w:color w:val="000000"/>
                <w:sz w:val="24"/>
                <w:szCs w:val="24"/>
                <w:highlight w:val="none"/>
                <w:lang w:eastAsia="zh-CN"/>
              </w:rPr>
            </w:pPr>
            <w:r>
              <w:rPr>
                <w:rFonts w:hint="default" w:ascii="Times New Roman" w:hAnsi="Times New Roman" w:eastAsia="Times New Roman" w:cs="Times New Roman"/>
                <w:b w:val="0"/>
                <w:color w:val="000000"/>
                <w:sz w:val="24"/>
                <w:szCs w:val="24"/>
                <w:highlight w:val="none"/>
              </w:rPr>
              <w:t xml:space="preserve">Renal disease, </w:t>
            </w:r>
            <w:r>
              <w:rPr>
                <w:rFonts w:hint="default" w:ascii="Times New Roman" w:hAnsi="Times New Roman" w:eastAsia="宋体" w:cs="Times New Roman"/>
                <w:b w:val="0"/>
                <w:color w:val="000000"/>
                <w:sz w:val="24"/>
                <w:szCs w:val="24"/>
                <w:highlight w:val="none"/>
                <w:lang w:eastAsia="zh-CN"/>
              </w:rPr>
              <w:t>n (%)</w:t>
            </w:r>
          </w:p>
        </w:tc>
        <w:tc>
          <w:tcPr>
            <w:tcW w:w="1662" w:type="dxa"/>
            <w:tcBorders>
              <w:top w:val="nil"/>
              <w:left w:val="nil"/>
              <w:bottom w:val="nil"/>
              <w:right w:val="nil"/>
            </w:tcBorders>
            <w:shd w:val="clear" w:color="auto" w:fill="FFFFFF"/>
            <w:vAlign w:val="center"/>
          </w:tcPr>
          <w:p w14:paraId="497F7E28">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6 (5.9%)</w:t>
            </w:r>
          </w:p>
        </w:tc>
        <w:tc>
          <w:tcPr>
            <w:tcW w:w="1662" w:type="dxa"/>
            <w:tcBorders>
              <w:top w:val="nil"/>
              <w:left w:val="nil"/>
              <w:bottom w:val="nil"/>
              <w:right w:val="nil"/>
            </w:tcBorders>
            <w:shd w:val="clear" w:color="auto" w:fill="FFFFFF"/>
            <w:vAlign w:val="center"/>
          </w:tcPr>
          <w:p w14:paraId="1127E109">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 (3%)</w:t>
            </w:r>
          </w:p>
        </w:tc>
        <w:tc>
          <w:tcPr>
            <w:tcW w:w="1662" w:type="dxa"/>
            <w:tcBorders>
              <w:top w:val="nil"/>
              <w:left w:val="nil"/>
              <w:bottom w:val="nil"/>
              <w:right w:val="nil"/>
            </w:tcBorders>
            <w:shd w:val="clear" w:color="auto" w:fill="FFFFFF"/>
            <w:vAlign w:val="center"/>
          </w:tcPr>
          <w:p w14:paraId="2DDBA56E">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4 (4%)</w:t>
            </w:r>
          </w:p>
        </w:tc>
        <w:tc>
          <w:tcPr>
            <w:tcW w:w="1662" w:type="dxa"/>
            <w:tcBorders>
              <w:top w:val="nil"/>
              <w:left w:val="nil"/>
              <w:bottom w:val="nil"/>
              <w:right w:val="nil"/>
            </w:tcBorders>
            <w:shd w:val="clear" w:color="auto" w:fill="FFFFFF"/>
            <w:vAlign w:val="center"/>
          </w:tcPr>
          <w:p w14:paraId="56609C3F">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6 (5.9%)</w:t>
            </w:r>
          </w:p>
        </w:tc>
        <w:tc>
          <w:tcPr>
            <w:tcW w:w="1662" w:type="dxa"/>
            <w:tcBorders>
              <w:top w:val="nil"/>
              <w:left w:val="nil"/>
              <w:bottom w:val="nil"/>
              <w:right w:val="nil"/>
            </w:tcBorders>
            <w:shd w:val="clear" w:color="auto" w:fill="FFFFFF"/>
            <w:vAlign w:val="center"/>
          </w:tcPr>
          <w:p w14:paraId="22334E78">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0.713</w:t>
            </w:r>
          </w:p>
        </w:tc>
      </w:tr>
      <w:tr w14:paraId="1DE88100">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0F21E9E0">
            <w:pPr>
              <w:spacing w:before="0" w:after="0" w:line="240" w:lineRule="auto"/>
              <w:jc w:val="left"/>
              <w:rPr>
                <w:rFonts w:hint="default" w:ascii="Times New Roman" w:hAnsi="Times New Roman" w:eastAsia="宋体" w:cs="Times New Roman"/>
                <w:b w:val="0"/>
                <w:color w:val="000000"/>
                <w:sz w:val="24"/>
                <w:szCs w:val="24"/>
                <w:highlight w:val="none"/>
                <w:lang w:eastAsia="zh-CN"/>
              </w:rPr>
            </w:pPr>
            <w:r>
              <w:rPr>
                <w:rFonts w:hint="default" w:ascii="Times New Roman" w:hAnsi="Times New Roman" w:eastAsia="Times New Roman" w:cs="Times New Roman"/>
                <w:b w:val="0"/>
                <w:color w:val="000000"/>
                <w:sz w:val="24"/>
                <w:szCs w:val="24"/>
                <w:highlight w:val="none"/>
              </w:rPr>
              <w:t xml:space="preserve">Hyperthyroidism, </w:t>
            </w:r>
            <w:r>
              <w:rPr>
                <w:rFonts w:hint="default" w:ascii="Times New Roman" w:hAnsi="Times New Roman" w:eastAsia="宋体" w:cs="Times New Roman"/>
                <w:b w:val="0"/>
                <w:color w:val="000000"/>
                <w:sz w:val="24"/>
                <w:szCs w:val="24"/>
                <w:highlight w:val="none"/>
                <w:lang w:eastAsia="zh-CN"/>
              </w:rPr>
              <w:t>n (%)</w:t>
            </w:r>
          </w:p>
        </w:tc>
        <w:tc>
          <w:tcPr>
            <w:tcW w:w="1662" w:type="dxa"/>
            <w:tcBorders>
              <w:top w:val="nil"/>
              <w:left w:val="nil"/>
              <w:bottom w:val="nil"/>
              <w:right w:val="nil"/>
            </w:tcBorders>
            <w:shd w:val="clear" w:color="auto" w:fill="FFFFFF"/>
            <w:vAlign w:val="center"/>
          </w:tcPr>
          <w:p w14:paraId="1C32B8AB">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 (0%)</w:t>
            </w:r>
          </w:p>
        </w:tc>
        <w:tc>
          <w:tcPr>
            <w:tcW w:w="1662" w:type="dxa"/>
            <w:tcBorders>
              <w:top w:val="nil"/>
              <w:left w:val="nil"/>
              <w:bottom w:val="nil"/>
              <w:right w:val="nil"/>
            </w:tcBorders>
            <w:shd w:val="clear" w:color="auto" w:fill="FFFFFF"/>
            <w:vAlign w:val="center"/>
          </w:tcPr>
          <w:p w14:paraId="21A29229">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 (3%)</w:t>
            </w:r>
          </w:p>
        </w:tc>
        <w:tc>
          <w:tcPr>
            <w:tcW w:w="1662" w:type="dxa"/>
            <w:tcBorders>
              <w:top w:val="nil"/>
              <w:left w:val="nil"/>
              <w:bottom w:val="nil"/>
              <w:right w:val="nil"/>
            </w:tcBorders>
            <w:shd w:val="clear" w:color="auto" w:fill="FFFFFF"/>
            <w:vAlign w:val="center"/>
          </w:tcPr>
          <w:p w14:paraId="7DF8FE5E">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 (0%)</w:t>
            </w:r>
          </w:p>
        </w:tc>
        <w:tc>
          <w:tcPr>
            <w:tcW w:w="1662" w:type="dxa"/>
            <w:tcBorders>
              <w:top w:val="nil"/>
              <w:left w:val="nil"/>
              <w:bottom w:val="nil"/>
              <w:right w:val="nil"/>
            </w:tcBorders>
            <w:shd w:val="clear" w:color="auto" w:fill="FFFFFF"/>
            <w:vAlign w:val="center"/>
          </w:tcPr>
          <w:p w14:paraId="046EDE51">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 (1%)</w:t>
            </w:r>
          </w:p>
        </w:tc>
        <w:tc>
          <w:tcPr>
            <w:tcW w:w="1662" w:type="dxa"/>
            <w:tcBorders>
              <w:top w:val="nil"/>
              <w:left w:val="nil"/>
              <w:bottom w:val="nil"/>
              <w:right w:val="nil"/>
            </w:tcBorders>
            <w:shd w:val="clear" w:color="auto" w:fill="FFFFFF"/>
            <w:vAlign w:val="center"/>
          </w:tcPr>
          <w:p w14:paraId="4E03EE7A">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0.121</w:t>
            </w:r>
          </w:p>
        </w:tc>
      </w:tr>
      <w:tr w14:paraId="5EC0B784">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28BA42F6">
            <w:pPr>
              <w:spacing w:before="0" w:after="0" w:line="240" w:lineRule="auto"/>
              <w:jc w:val="left"/>
              <w:rPr>
                <w:rFonts w:hint="default" w:ascii="Times New Roman" w:hAnsi="Times New Roman" w:eastAsia="宋体" w:cs="Times New Roman"/>
                <w:b w:val="0"/>
                <w:color w:val="000000"/>
                <w:sz w:val="24"/>
                <w:szCs w:val="24"/>
                <w:highlight w:val="none"/>
                <w:lang w:eastAsia="zh-CN"/>
              </w:rPr>
            </w:pPr>
            <w:r>
              <w:rPr>
                <w:rFonts w:hint="default" w:ascii="Times New Roman" w:hAnsi="Times New Roman" w:eastAsia="宋体" w:cs="Times New Roman"/>
                <w:b w:val="0"/>
                <w:color w:val="000000"/>
                <w:sz w:val="24"/>
                <w:szCs w:val="24"/>
                <w:highlight w:val="none"/>
                <w:lang w:val="en-US" w:eastAsia="zh-CN"/>
              </w:rPr>
              <w:t>H</w:t>
            </w:r>
            <w:r>
              <w:rPr>
                <w:rFonts w:hint="default" w:ascii="Times New Roman" w:hAnsi="Times New Roman" w:eastAsia="宋体" w:cs="Times New Roman"/>
                <w:b w:val="0"/>
                <w:color w:val="000000"/>
                <w:sz w:val="24"/>
                <w:szCs w:val="24"/>
                <w:highlight w:val="none"/>
                <w:lang w:eastAsia="zh-CN"/>
              </w:rPr>
              <w:t>yperlipidemia</w:t>
            </w:r>
            <w:r>
              <w:rPr>
                <w:rFonts w:hint="default" w:ascii="Times New Roman" w:hAnsi="Times New Roman" w:eastAsia="Times New Roman" w:cs="Times New Roman"/>
                <w:b w:val="0"/>
                <w:color w:val="000000"/>
                <w:sz w:val="24"/>
                <w:szCs w:val="24"/>
                <w:highlight w:val="none"/>
              </w:rPr>
              <w:t xml:space="preserve">, </w:t>
            </w:r>
            <w:r>
              <w:rPr>
                <w:rFonts w:hint="default" w:ascii="Times New Roman" w:hAnsi="Times New Roman" w:eastAsia="宋体" w:cs="Times New Roman"/>
                <w:b w:val="0"/>
                <w:color w:val="000000"/>
                <w:sz w:val="24"/>
                <w:szCs w:val="24"/>
                <w:highlight w:val="none"/>
                <w:lang w:eastAsia="zh-CN"/>
              </w:rPr>
              <w:t>n (%)</w:t>
            </w:r>
          </w:p>
        </w:tc>
        <w:tc>
          <w:tcPr>
            <w:tcW w:w="1662" w:type="dxa"/>
            <w:tcBorders>
              <w:top w:val="nil"/>
              <w:left w:val="nil"/>
              <w:bottom w:val="nil"/>
              <w:right w:val="nil"/>
            </w:tcBorders>
            <w:shd w:val="clear" w:color="auto" w:fill="FFFFFF"/>
            <w:vAlign w:val="center"/>
          </w:tcPr>
          <w:p w14:paraId="0AA4CBA4">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5 (4.9%)</w:t>
            </w:r>
          </w:p>
        </w:tc>
        <w:tc>
          <w:tcPr>
            <w:tcW w:w="1662" w:type="dxa"/>
            <w:tcBorders>
              <w:top w:val="nil"/>
              <w:left w:val="nil"/>
              <w:bottom w:val="nil"/>
              <w:right w:val="nil"/>
            </w:tcBorders>
            <w:shd w:val="clear" w:color="auto" w:fill="FFFFFF"/>
            <w:vAlign w:val="center"/>
          </w:tcPr>
          <w:p w14:paraId="0E8F5914">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7 (6.9%)</w:t>
            </w:r>
          </w:p>
        </w:tc>
        <w:tc>
          <w:tcPr>
            <w:tcW w:w="1662" w:type="dxa"/>
            <w:tcBorders>
              <w:top w:val="nil"/>
              <w:left w:val="nil"/>
              <w:bottom w:val="nil"/>
              <w:right w:val="nil"/>
            </w:tcBorders>
            <w:shd w:val="clear" w:color="auto" w:fill="FFFFFF"/>
            <w:vAlign w:val="center"/>
          </w:tcPr>
          <w:p w14:paraId="47F07B80">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7 (7%)</w:t>
            </w:r>
          </w:p>
        </w:tc>
        <w:tc>
          <w:tcPr>
            <w:tcW w:w="1662" w:type="dxa"/>
            <w:tcBorders>
              <w:top w:val="nil"/>
              <w:left w:val="nil"/>
              <w:bottom w:val="nil"/>
              <w:right w:val="nil"/>
            </w:tcBorders>
            <w:shd w:val="clear" w:color="auto" w:fill="FFFFFF"/>
            <w:vAlign w:val="center"/>
          </w:tcPr>
          <w:p w14:paraId="4CB62BE4">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26 (25.7%)</w:t>
            </w:r>
          </w:p>
        </w:tc>
        <w:tc>
          <w:tcPr>
            <w:tcW w:w="1662" w:type="dxa"/>
            <w:tcBorders>
              <w:top w:val="nil"/>
              <w:left w:val="nil"/>
              <w:bottom w:val="nil"/>
              <w:right w:val="nil"/>
            </w:tcBorders>
            <w:shd w:val="clear" w:color="auto" w:fill="FFFFFF"/>
            <w:vAlign w:val="center"/>
          </w:tcPr>
          <w:p w14:paraId="1056FB8C">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&lt;0.001</w:t>
            </w:r>
          </w:p>
        </w:tc>
      </w:tr>
      <w:tr w14:paraId="4CB7E7F7">
        <w:tblPrEx>
          <w:tblCellMar>
            <w:top w:w="0" w:type="dxa"/>
            <w:left w:w="108" w:type="dxa"/>
            <w:bottom w:w="0" w:type="dxa"/>
            <w:right w:w="108" w:type="dxa"/>
          </w:tblCellMar>
        </w:tblPrEx>
        <w:trPr>
          <w:jc w:val="center"/>
        </w:trPr>
        <w:tc>
          <w:tcPr>
            <w:tcW w:w="9972" w:type="dxa"/>
            <w:gridSpan w:val="6"/>
            <w:tcBorders>
              <w:top w:val="nil"/>
              <w:left w:val="nil"/>
              <w:bottom w:val="nil"/>
              <w:right w:val="nil"/>
            </w:tcBorders>
            <w:shd w:val="clear" w:color="auto" w:fill="FFFFFF"/>
          </w:tcPr>
          <w:p w14:paraId="5EC932B7">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bCs/>
                <w:i/>
                <w:color w:val="000000"/>
                <w:sz w:val="24"/>
                <w:szCs w:val="24"/>
                <w:highlight w:val="none"/>
              </w:rPr>
              <w:t>Medications</w:t>
            </w:r>
          </w:p>
        </w:tc>
      </w:tr>
      <w:tr w14:paraId="00E5AAAD">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1ECF8894">
            <w:pPr>
              <w:spacing w:before="0" w:after="0" w:line="240" w:lineRule="auto"/>
              <w:jc w:val="left"/>
              <w:rPr>
                <w:rFonts w:hint="default" w:ascii="Times New Roman" w:hAnsi="Times New Roman" w:eastAsia="宋体" w:cs="Times New Roman"/>
                <w:b w:val="0"/>
                <w:color w:val="000000"/>
                <w:sz w:val="24"/>
                <w:szCs w:val="24"/>
                <w:highlight w:val="none"/>
                <w:lang w:eastAsia="zh-CN"/>
              </w:rPr>
            </w:pPr>
            <w:r>
              <w:rPr>
                <w:rFonts w:hint="default" w:ascii="Times New Roman" w:hAnsi="Times New Roman" w:eastAsia="Times New Roman" w:cs="Times New Roman"/>
                <w:b w:val="0"/>
                <w:color w:val="000000"/>
                <w:sz w:val="24"/>
                <w:szCs w:val="24"/>
                <w:highlight w:val="none"/>
              </w:rPr>
              <w:t xml:space="preserve">Statins, </w:t>
            </w:r>
            <w:r>
              <w:rPr>
                <w:rFonts w:hint="default" w:ascii="Times New Roman" w:hAnsi="Times New Roman" w:eastAsia="宋体" w:cs="Times New Roman"/>
                <w:b w:val="0"/>
                <w:color w:val="000000"/>
                <w:sz w:val="24"/>
                <w:szCs w:val="24"/>
                <w:highlight w:val="none"/>
                <w:lang w:eastAsia="zh-CN"/>
              </w:rPr>
              <w:t>n (%)</w:t>
            </w:r>
          </w:p>
        </w:tc>
        <w:tc>
          <w:tcPr>
            <w:tcW w:w="1662" w:type="dxa"/>
            <w:tcBorders>
              <w:top w:val="nil"/>
              <w:left w:val="nil"/>
              <w:bottom w:val="nil"/>
              <w:right w:val="nil"/>
            </w:tcBorders>
            <w:shd w:val="clear" w:color="auto" w:fill="FFFFFF"/>
            <w:vAlign w:val="center"/>
          </w:tcPr>
          <w:p w14:paraId="77ECD71E">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56 (54.9%)</w:t>
            </w:r>
          </w:p>
        </w:tc>
        <w:tc>
          <w:tcPr>
            <w:tcW w:w="1662" w:type="dxa"/>
            <w:tcBorders>
              <w:top w:val="nil"/>
              <w:left w:val="nil"/>
              <w:bottom w:val="nil"/>
              <w:right w:val="nil"/>
            </w:tcBorders>
            <w:shd w:val="clear" w:color="auto" w:fill="FFFFFF"/>
            <w:vAlign w:val="center"/>
          </w:tcPr>
          <w:p w14:paraId="2453A472">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30 (29.7%)</w:t>
            </w:r>
          </w:p>
        </w:tc>
        <w:tc>
          <w:tcPr>
            <w:tcW w:w="1662" w:type="dxa"/>
            <w:tcBorders>
              <w:top w:val="nil"/>
              <w:left w:val="nil"/>
              <w:bottom w:val="nil"/>
              <w:right w:val="nil"/>
            </w:tcBorders>
            <w:shd w:val="clear" w:color="auto" w:fill="FFFFFF"/>
            <w:vAlign w:val="center"/>
          </w:tcPr>
          <w:p w14:paraId="3D2FE3A2">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20 (20%)</w:t>
            </w:r>
          </w:p>
        </w:tc>
        <w:tc>
          <w:tcPr>
            <w:tcW w:w="1662" w:type="dxa"/>
            <w:tcBorders>
              <w:top w:val="nil"/>
              <w:left w:val="nil"/>
              <w:bottom w:val="nil"/>
              <w:right w:val="nil"/>
            </w:tcBorders>
            <w:shd w:val="clear" w:color="auto" w:fill="FFFFFF"/>
            <w:vAlign w:val="center"/>
          </w:tcPr>
          <w:p w14:paraId="32EA5F4C">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38 (37.6%)</w:t>
            </w:r>
          </w:p>
        </w:tc>
        <w:tc>
          <w:tcPr>
            <w:tcW w:w="1662" w:type="dxa"/>
            <w:tcBorders>
              <w:top w:val="nil"/>
              <w:left w:val="nil"/>
              <w:bottom w:val="nil"/>
              <w:right w:val="nil"/>
            </w:tcBorders>
            <w:shd w:val="clear" w:color="auto" w:fill="FFFFFF"/>
            <w:vAlign w:val="center"/>
          </w:tcPr>
          <w:p w14:paraId="3F9FD017">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&lt;0.001</w:t>
            </w:r>
          </w:p>
        </w:tc>
      </w:tr>
      <w:tr w14:paraId="6601C1F5">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497187FB">
            <w:pPr>
              <w:spacing w:before="0" w:after="0" w:line="240" w:lineRule="auto"/>
              <w:jc w:val="left"/>
              <w:rPr>
                <w:rFonts w:hint="default" w:ascii="Times New Roman" w:hAnsi="Times New Roman" w:eastAsia="宋体" w:cs="Times New Roman"/>
                <w:b w:val="0"/>
                <w:color w:val="000000"/>
                <w:sz w:val="24"/>
                <w:szCs w:val="24"/>
                <w:highlight w:val="none"/>
                <w:lang w:eastAsia="zh-CN"/>
              </w:rPr>
            </w:pPr>
            <w:r>
              <w:rPr>
                <w:rFonts w:hint="default" w:ascii="Times New Roman" w:hAnsi="Times New Roman" w:eastAsia="Times New Roman" w:cs="Times New Roman"/>
                <w:b w:val="0"/>
                <w:color w:val="000000"/>
                <w:sz w:val="24"/>
                <w:szCs w:val="24"/>
                <w:highlight w:val="none"/>
              </w:rPr>
              <w:t xml:space="preserve">Antiplatelet, </w:t>
            </w:r>
            <w:r>
              <w:rPr>
                <w:rFonts w:hint="default" w:ascii="Times New Roman" w:hAnsi="Times New Roman" w:eastAsia="宋体" w:cs="Times New Roman"/>
                <w:b w:val="0"/>
                <w:color w:val="000000"/>
                <w:sz w:val="24"/>
                <w:szCs w:val="24"/>
                <w:highlight w:val="none"/>
                <w:lang w:eastAsia="zh-CN"/>
              </w:rPr>
              <w:t>n (%)</w:t>
            </w:r>
          </w:p>
        </w:tc>
        <w:tc>
          <w:tcPr>
            <w:tcW w:w="1662" w:type="dxa"/>
            <w:tcBorders>
              <w:top w:val="nil"/>
              <w:left w:val="nil"/>
              <w:bottom w:val="nil"/>
              <w:right w:val="nil"/>
            </w:tcBorders>
            <w:shd w:val="clear" w:color="auto" w:fill="FFFFFF"/>
            <w:vAlign w:val="center"/>
          </w:tcPr>
          <w:p w14:paraId="0A29A5E7">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9 (8.8%)</w:t>
            </w:r>
          </w:p>
        </w:tc>
        <w:tc>
          <w:tcPr>
            <w:tcW w:w="1662" w:type="dxa"/>
            <w:tcBorders>
              <w:top w:val="nil"/>
              <w:left w:val="nil"/>
              <w:bottom w:val="nil"/>
              <w:right w:val="nil"/>
            </w:tcBorders>
            <w:shd w:val="clear" w:color="auto" w:fill="FFFFFF"/>
            <w:vAlign w:val="center"/>
          </w:tcPr>
          <w:p w14:paraId="37E1CB76">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 (3%)</w:t>
            </w:r>
          </w:p>
        </w:tc>
        <w:tc>
          <w:tcPr>
            <w:tcW w:w="1662" w:type="dxa"/>
            <w:tcBorders>
              <w:top w:val="nil"/>
              <w:left w:val="nil"/>
              <w:bottom w:val="nil"/>
              <w:right w:val="nil"/>
            </w:tcBorders>
            <w:shd w:val="clear" w:color="auto" w:fill="FFFFFF"/>
            <w:vAlign w:val="center"/>
          </w:tcPr>
          <w:p w14:paraId="6B54A954">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11 (11%)</w:t>
            </w:r>
          </w:p>
        </w:tc>
        <w:tc>
          <w:tcPr>
            <w:tcW w:w="1662" w:type="dxa"/>
            <w:tcBorders>
              <w:top w:val="nil"/>
              <w:left w:val="nil"/>
              <w:bottom w:val="nil"/>
              <w:right w:val="nil"/>
            </w:tcBorders>
            <w:shd w:val="clear" w:color="auto" w:fill="FFFFFF"/>
            <w:vAlign w:val="center"/>
          </w:tcPr>
          <w:p w14:paraId="61E07EA7">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7 (6.9%)</w:t>
            </w:r>
          </w:p>
        </w:tc>
        <w:tc>
          <w:tcPr>
            <w:tcW w:w="1662" w:type="dxa"/>
            <w:tcBorders>
              <w:top w:val="nil"/>
              <w:left w:val="nil"/>
              <w:bottom w:val="nil"/>
              <w:right w:val="nil"/>
            </w:tcBorders>
            <w:shd w:val="clear" w:color="auto" w:fill="FFFFFF"/>
            <w:vAlign w:val="center"/>
          </w:tcPr>
          <w:p w14:paraId="512588E0">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0.165</w:t>
            </w:r>
          </w:p>
        </w:tc>
      </w:tr>
      <w:tr w14:paraId="350813DC">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7097DCB5">
            <w:pPr>
              <w:spacing w:before="0" w:after="0" w:line="240" w:lineRule="auto"/>
              <w:jc w:val="left"/>
              <w:rPr>
                <w:rFonts w:hint="default" w:ascii="Times New Roman" w:hAnsi="Times New Roman" w:eastAsia="宋体" w:cs="Times New Roman"/>
                <w:b w:val="0"/>
                <w:color w:val="000000"/>
                <w:sz w:val="24"/>
                <w:szCs w:val="24"/>
                <w:highlight w:val="none"/>
                <w:lang w:eastAsia="zh-CN"/>
              </w:rPr>
            </w:pPr>
            <w:r>
              <w:rPr>
                <w:rFonts w:hint="default" w:ascii="Times New Roman" w:hAnsi="Times New Roman" w:eastAsia="Times New Roman" w:cs="Times New Roman"/>
                <w:b w:val="0"/>
                <w:color w:val="000000"/>
                <w:sz w:val="24"/>
                <w:szCs w:val="24"/>
                <w:highlight w:val="none"/>
              </w:rPr>
              <w:t xml:space="preserve">Diuretic, </w:t>
            </w:r>
            <w:r>
              <w:rPr>
                <w:rFonts w:hint="default" w:ascii="Times New Roman" w:hAnsi="Times New Roman" w:eastAsia="宋体" w:cs="Times New Roman"/>
                <w:b w:val="0"/>
                <w:color w:val="000000"/>
                <w:sz w:val="24"/>
                <w:szCs w:val="24"/>
                <w:highlight w:val="none"/>
                <w:lang w:eastAsia="zh-CN"/>
              </w:rPr>
              <w:t>n (%)</w:t>
            </w:r>
          </w:p>
        </w:tc>
        <w:tc>
          <w:tcPr>
            <w:tcW w:w="1662" w:type="dxa"/>
            <w:tcBorders>
              <w:top w:val="nil"/>
              <w:left w:val="nil"/>
              <w:bottom w:val="nil"/>
              <w:right w:val="nil"/>
            </w:tcBorders>
            <w:shd w:val="clear" w:color="auto" w:fill="FFFFFF"/>
            <w:vAlign w:val="center"/>
          </w:tcPr>
          <w:p w14:paraId="01E091B4">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48 (47.1%)</w:t>
            </w:r>
          </w:p>
        </w:tc>
        <w:tc>
          <w:tcPr>
            <w:tcW w:w="1662" w:type="dxa"/>
            <w:tcBorders>
              <w:top w:val="nil"/>
              <w:left w:val="nil"/>
              <w:bottom w:val="nil"/>
              <w:right w:val="nil"/>
            </w:tcBorders>
            <w:shd w:val="clear" w:color="auto" w:fill="FFFFFF"/>
            <w:vAlign w:val="center"/>
          </w:tcPr>
          <w:p w14:paraId="02DEACD8">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38 (37.6%)</w:t>
            </w:r>
          </w:p>
        </w:tc>
        <w:tc>
          <w:tcPr>
            <w:tcW w:w="1662" w:type="dxa"/>
            <w:tcBorders>
              <w:top w:val="nil"/>
              <w:left w:val="nil"/>
              <w:bottom w:val="nil"/>
              <w:right w:val="nil"/>
            </w:tcBorders>
            <w:shd w:val="clear" w:color="auto" w:fill="FFFFFF"/>
            <w:vAlign w:val="center"/>
          </w:tcPr>
          <w:p w14:paraId="36D97769">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32 (32%)</w:t>
            </w:r>
          </w:p>
        </w:tc>
        <w:tc>
          <w:tcPr>
            <w:tcW w:w="1662" w:type="dxa"/>
            <w:tcBorders>
              <w:top w:val="nil"/>
              <w:left w:val="nil"/>
              <w:bottom w:val="nil"/>
              <w:right w:val="nil"/>
            </w:tcBorders>
            <w:shd w:val="clear" w:color="auto" w:fill="FFFFFF"/>
            <w:vAlign w:val="center"/>
          </w:tcPr>
          <w:p w14:paraId="0D925B67">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37 (36.6%)</w:t>
            </w:r>
          </w:p>
        </w:tc>
        <w:tc>
          <w:tcPr>
            <w:tcW w:w="1662" w:type="dxa"/>
            <w:tcBorders>
              <w:top w:val="nil"/>
              <w:left w:val="nil"/>
              <w:bottom w:val="nil"/>
              <w:right w:val="nil"/>
            </w:tcBorders>
            <w:shd w:val="clear" w:color="auto" w:fill="FFFFFF"/>
            <w:vAlign w:val="center"/>
          </w:tcPr>
          <w:p w14:paraId="59F03D00">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0.053</w:t>
            </w:r>
          </w:p>
        </w:tc>
      </w:tr>
      <w:tr w14:paraId="4C2D04CA">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4278C056">
            <w:pPr>
              <w:spacing w:before="0" w:after="0" w:line="240" w:lineRule="auto"/>
              <w:jc w:val="left"/>
              <w:rPr>
                <w:rFonts w:hint="default" w:ascii="Times New Roman" w:hAnsi="Times New Roman" w:eastAsia="宋体" w:cs="Times New Roman"/>
                <w:b w:val="0"/>
                <w:color w:val="000000"/>
                <w:sz w:val="24"/>
                <w:szCs w:val="24"/>
                <w:highlight w:val="none"/>
                <w:lang w:eastAsia="zh-CN"/>
              </w:rPr>
            </w:pPr>
            <w:r>
              <w:rPr>
                <w:rFonts w:hint="default" w:ascii="Times New Roman" w:hAnsi="Times New Roman" w:eastAsia="Times New Roman" w:cs="Times New Roman"/>
                <w:b w:val="0"/>
                <w:color w:val="000000"/>
                <w:sz w:val="24"/>
                <w:szCs w:val="24"/>
                <w:highlight w:val="none"/>
              </w:rPr>
              <w:t xml:space="preserve">Anticoagulant, </w:t>
            </w:r>
            <w:r>
              <w:rPr>
                <w:rFonts w:hint="default" w:ascii="Times New Roman" w:hAnsi="Times New Roman" w:eastAsia="宋体" w:cs="Times New Roman"/>
                <w:b w:val="0"/>
                <w:color w:val="000000"/>
                <w:sz w:val="24"/>
                <w:szCs w:val="24"/>
                <w:highlight w:val="none"/>
                <w:lang w:eastAsia="zh-CN"/>
              </w:rPr>
              <w:t>n (%)</w:t>
            </w:r>
          </w:p>
        </w:tc>
        <w:tc>
          <w:tcPr>
            <w:tcW w:w="1662" w:type="dxa"/>
            <w:tcBorders>
              <w:top w:val="nil"/>
              <w:left w:val="nil"/>
              <w:bottom w:val="nil"/>
              <w:right w:val="nil"/>
            </w:tcBorders>
            <w:shd w:val="clear" w:color="auto" w:fill="FFFFFF"/>
            <w:vAlign w:val="center"/>
          </w:tcPr>
          <w:p w14:paraId="5EB2CC30">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101 (99%)</w:t>
            </w:r>
          </w:p>
        </w:tc>
        <w:tc>
          <w:tcPr>
            <w:tcW w:w="1662" w:type="dxa"/>
            <w:tcBorders>
              <w:top w:val="nil"/>
              <w:left w:val="nil"/>
              <w:bottom w:val="nil"/>
              <w:right w:val="nil"/>
            </w:tcBorders>
            <w:shd w:val="clear" w:color="auto" w:fill="FFFFFF"/>
            <w:vAlign w:val="center"/>
          </w:tcPr>
          <w:p w14:paraId="429C926E">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101 (100%)</w:t>
            </w:r>
          </w:p>
        </w:tc>
        <w:tc>
          <w:tcPr>
            <w:tcW w:w="1662" w:type="dxa"/>
            <w:tcBorders>
              <w:top w:val="nil"/>
              <w:left w:val="nil"/>
              <w:bottom w:val="nil"/>
              <w:right w:val="nil"/>
            </w:tcBorders>
            <w:shd w:val="clear" w:color="auto" w:fill="FFFFFF"/>
            <w:vAlign w:val="center"/>
          </w:tcPr>
          <w:p w14:paraId="7A860426">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100 (100%)</w:t>
            </w:r>
          </w:p>
        </w:tc>
        <w:tc>
          <w:tcPr>
            <w:tcW w:w="1662" w:type="dxa"/>
            <w:tcBorders>
              <w:top w:val="nil"/>
              <w:left w:val="nil"/>
              <w:bottom w:val="nil"/>
              <w:right w:val="nil"/>
            </w:tcBorders>
            <w:shd w:val="clear" w:color="auto" w:fill="FFFFFF"/>
            <w:vAlign w:val="center"/>
          </w:tcPr>
          <w:p w14:paraId="72CF657A">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101 (100%)</w:t>
            </w:r>
          </w:p>
        </w:tc>
        <w:tc>
          <w:tcPr>
            <w:tcW w:w="1662" w:type="dxa"/>
            <w:tcBorders>
              <w:top w:val="nil"/>
              <w:left w:val="nil"/>
              <w:bottom w:val="nil"/>
              <w:right w:val="nil"/>
            </w:tcBorders>
            <w:shd w:val="clear" w:color="auto" w:fill="FFFFFF"/>
            <w:vAlign w:val="center"/>
          </w:tcPr>
          <w:p w14:paraId="5EEDB125">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w:t>
            </w:r>
          </w:p>
        </w:tc>
      </w:tr>
      <w:tr w14:paraId="330CD3C5">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192A48DE">
            <w:pPr>
              <w:spacing w:before="0" w:after="0" w:line="240" w:lineRule="auto"/>
              <w:jc w:val="left"/>
              <w:rPr>
                <w:rFonts w:hint="default" w:ascii="Times New Roman" w:hAnsi="Times New Roman" w:eastAsia="宋体" w:cs="Times New Roman"/>
                <w:b w:val="0"/>
                <w:color w:val="000000"/>
                <w:sz w:val="24"/>
                <w:szCs w:val="24"/>
                <w:highlight w:val="none"/>
                <w:lang w:eastAsia="zh-CN"/>
              </w:rPr>
            </w:pPr>
            <w:r>
              <w:rPr>
                <w:rFonts w:hint="default" w:ascii="Times New Roman" w:hAnsi="Times New Roman" w:eastAsia="Times New Roman" w:cs="Times New Roman"/>
                <w:b w:val="0"/>
                <w:color w:val="000000"/>
                <w:sz w:val="24"/>
                <w:szCs w:val="24"/>
                <w:highlight w:val="none"/>
              </w:rPr>
              <w:t xml:space="preserve">β-Blocker, </w:t>
            </w:r>
            <w:r>
              <w:rPr>
                <w:rFonts w:hint="default" w:ascii="Times New Roman" w:hAnsi="Times New Roman" w:eastAsia="宋体" w:cs="Times New Roman"/>
                <w:b w:val="0"/>
                <w:color w:val="000000"/>
                <w:sz w:val="24"/>
                <w:szCs w:val="24"/>
                <w:highlight w:val="none"/>
                <w:lang w:eastAsia="zh-CN"/>
              </w:rPr>
              <w:t>n (%)</w:t>
            </w:r>
          </w:p>
        </w:tc>
        <w:tc>
          <w:tcPr>
            <w:tcW w:w="1662" w:type="dxa"/>
            <w:tcBorders>
              <w:top w:val="nil"/>
              <w:left w:val="nil"/>
              <w:bottom w:val="nil"/>
              <w:right w:val="nil"/>
            </w:tcBorders>
            <w:shd w:val="clear" w:color="auto" w:fill="FFFFFF"/>
            <w:vAlign w:val="center"/>
          </w:tcPr>
          <w:p w14:paraId="1C7188A9">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72 (70.6%)</w:t>
            </w:r>
          </w:p>
        </w:tc>
        <w:tc>
          <w:tcPr>
            <w:tcW w:w="1662" w:type="dxa"/>
            <w:tcBorders>
              <w:top w:val="nil"/>
              <w:left w:val="nil"/>
              <w:bottom w:val="nil"/>
              <w:right w:val="nil"/>
            </w:tcBorders>
            <w:shd w:val="clear" w:color="auto" w:fill="FFFFFF"/>
            <w:vAlign w:val="center"/>
          </w:tcPr>
          <w:p w14:paraId="2EDD53D3">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64 (63.4%)</w:t>
            </w:r>
          </w:p>
        </w:tc>
        <w:tc>
          <w:tcPr>
            <w:tcW w:w="1662" w:type="dxa"/>
            <w:tcBorders>
              <w:top w:val="nil"/>
              <w:left w:val="nil"/>
              <w:bottom w:val="nil"/>
              <w:right w:val="nil"/>
            </w:tcBorders>
            <w:shd w:val="clear" w:color="auto" w:fill="FFFFFF"/>
            <w:vAlign w:val="center"/>
          </w:tcPr>
          <w:p w14:paraId="55C63A5C">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63 (63%)</w:t>
            </w:r>
          </w:p>
        </w:tc>
        <w:tc>
          <w:tcPr>
            <w:tcW w:w="1662" w:type="dxa"/>
            <w:tcBorders>
              <w:top w:val="nil"/>
              <w:left w:val="nil"/>
              <w:bottom w:val="nil"/>
              <w:right w:val="nil"/>
            </w:tcBorders>
            <w:shd w:val="clear" w:color="auto" w:fill="FFFFFF"/>
            <w:vAlign w:val="center"/>
          </w:tcPr>
          <w:p w14:paraId="099FB2BD">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63 (62.4%)</w:t>
            </w:r>
          </w:p>
        </w:tc>
        <w:tc>
          <w:tcPr>
            <w:tcW w:w="1662" w:type="dxa"/>
            <w:tcBorders>
              <w:top w:val="nil"/>
              <w:left w:val="nil"/>
              <w:bottom w:val="nil"/>
              <w:right w:val="nil"/>
            </w:tcBorders>
            <w:shd w:val="clear" w:color="auto" w:fill="FFFFFF"/>
            <w:vAlign w:val="center"/>
          </w:tcPr>
          <w:p w14:paraId="7430E434">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0.574</w:t>
            </w:r>
          </w:p>
        </w:tc>
      </w:tr>
      <w:tr w14:paraId="3C898746">
        <w:tblPrEx>
          <w:tblCellMar>
            <w:top w:w="0" w:type="dxa"/>
            <w:left w:w="108" w:type="dxa"/>
            <w:bottom w:w="0" w:type="dxa"/>
            <w:right w:w="108" w:type="dxa"/>
          </w:tblCellMar>
        </w:tblPrEx>
        <w:trPr>
          <w:jc w:val="center"/>
        </w:trPr>
        <w:tc>
          <w:tcPr>
            <w:tcW w:w="1662" w:type="dxa"/>
            <w:tcBorders>
              <w:top w:val="nil"/>
              <w:left w:val="nil"/>
              <w:bottom w:val="nil"/>
              <w:right w:val="nil"/>
            </w:tcBorders>
            <w:shd w:val="clear" w:color="auto" w:fill="FFFFFF"/>
            <w:vAlign w:val="center"/>
          </w:tcPr>
          <w:p w14:paraId="61C48319">
            <w:pPr>
              <w:spacing w:before="0" w:after="0" w:line="240" w:lineRule="auto"/>
              <w:jc w:val="left"/>
              <w:rPr>
                <w:rFonts w:hint="default" w:ascii="Times New Roman" w:hAnsi="Times New Roman" w:eastAsia="宋体" w:cs="Times New Roman"/>
                <w:b w:val="0"/>
                <w:color w:val="000000"/>
                <w:sz w:val="24"/>
                <w:szCs w:val="24"/>
                <w:highlight w:val="none"/>
                <w:lang w:eastAsia="zh-CN"/>
              </w:rPr>
            </w:pPr>
            <w:r>
              <w:rPr>
                <w:rFonts w:hint="default" w:ascii="Times New Roman" w:hAnsi="Times New Roman" w:eastAsia="Times New Roman" w:cs="Times New Roman"/>
                <w:b w:val="0"/>
                <w:color w:val="000000"/>
                <w:sz w:val="24"/>
                <w:szCs w:val="24"/>
                <w:highlight w:val="none"/>
              </w:rPr>
              <w:t xml:space="preserve">ACEI or ARB, </w:t>
            </w:r>
            <w:r>
              <w:rPr>
                <w:rFonts w:hint="default" w:ascii="Times New Roman" w:hAnsi="Times New Roman" w:eastAsia="宋体" w:cs="Times New Roman"/>
                <w:b w:val="0"/>
                <w:color w:val="000000"/>
                <w:sz w:val="24"/>
                <w:szCs w:val="24"/>
                <w:highlight w:val="none"/>
                <w:lang w:eastAsia="zh-CN"/>
              </w:rPr>
              <w:t>n (%)</w:t>
            </w:r>
          </w:p>
        </w:tc>
        <w:tc>
          <w:tcPr>
            <w:tcW w:w="1662" w:type="dxa"/>
            <w:tcBorders>
              <w:top w:val="nil"/>
              <w:left w:val="nil"/>
              <w:bottom w:val="nil"/>
              <w:right w:val="nil"/>
            </w:tcBorders>
            <w:shd w:val="clear" w:color="auto" w:fill="FFFFFF"/>
            <w:vAlign w:val="center"/>
          </w:tcPr>
          <w:p w14:paraId="5F40A9F5">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54 (52.9%)</w:t>
            </w:r>
          </w:p>
        </w:tc>
        <w:tc>
          <w:tcPr>
            <w:tcW w:w="1662" w:type="dxa"/>
            <w:tcBorders>
              <w:top w:val="nil"/>
              <w:left w:val="nil"/>
              <w:bottom w:val="nil"/>
              <w:right w:val="nil"/>
            </w:tcBorders>
            <w:shd w:val="clear" w:color="auto" w:fill="FFFFFF"/>
            <w:vAlign w:val="center"/>
          </w:tcPr>
          <w:p w14:paraId="0E91D540">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 xml:space="preserve">48 (47.5%) </w:t>
            </w:r>
          </w:p>
        </w:tc>
        <w:tc>
          <w:tcPr>
            <w:tcW w:w="1662" w:type="dxa"/>
            <w:tcBorders>
              <w:top w:val="nil"/>
              <w:left w:val="nil"/>
              <w:bottom w:val="nil"/>
              <w:right w:val="nil"/>
            </w:tcBorders>
            <w:shd w:val="clear" w:color="auto" w:fill="FFFFFF"/>
            <w:vAlign w:val="center"/>
          </w:tcPr>
          <w:p w14:paraId="4E3A1169">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42 (42%)</w:t>
            </w:r>
          </w:p>
        </w:tc>
        <w:tc>
          <w:tcPr>
            <w:tcW w:w="1662" w:type="dxa"/>
            <w:tcBorders>
              <w:top w:val="nil"/>
              <w:left w:val="nil"/>
              <w:bottom w:val="nil"/>
              <w:right w:val="nil"/>
            </w:tcBorders>
            <w:shd w:val="clear" w:color="auto" w:fill="FFFFFF"/>
            <w:vAlign w:val="center"/>
          </w:tcPr>
          <w:p w14:paraId="483B095B">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51 (50.5%)</w:t>
            </w:r>
          </w:p>
        </w:tc>
        <w:tc>
          <w:tcPr>
            <w:tcW w:w="1662" w:type="dxa"/>
            <w:tcBorders>
              <w:top w:val="nil"/>
              <w:left w:val="nil"/>
              <w:bottom w:val="nil"/>
              <w:right w:val="nil"/>
            </w:tcBorders>
            <w:shd w:val="clear" w:color="auto" w:fill="FFFFFF"/>
            <w:vAlign w:val="center"/>
          </w:tcPr>
          <w:p w14:paraId="2BE52673">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0.658</w:t>
            </w:r>
          </w:p>
        </w:tc>
      </w:tr>
      <w:tr w14:paraId="7471AC00">
        <w:tblPrEx>
          <w:tblCellMar>
            <w:top w:w="0" w:type="dxa"/>
            <w:left w:w="108" w:type="dxa"/>
            <w:bottom w:w="0" w:type="dxa"/>
            <w:right w:w="108" w:type="dxa"/>
          </w:tblCellMar>
        </w:tblPrEx>
        <w:trPr>
          <w:jc w:val="center"/>
        </w:trPr>
        <w:tc>
          <w:tcPr>
            <w:tcW w:w="1662" w:type="dxa"/>
            <w:tcBorders>
              <w:top w:val="nil"/>
              <w:left w:val="nil"/>
              <w:bottom w:val="single" w:color="000000" w:sz="12" w:space="0"/>
              <w:right w:val="nil"/>
            </w:tcBorders>
            <w:shd w:val="clear" w:color="auto" w:fill="FFFFFF"/>
            <w:vAlign w:val="center"/>
          </w:tcPr>
          <w:p w14:paraId="0C9CD972">
            <w:pPr>
              <w:spacing w:before="0" w:after="0" w:line="240" w:lineRule="auto"/>
              <w:jc w:val="left"/>
              <w:rPr>
                <w:rFonts w:hint="default" w:ascii="Times New Roman" w:hAnsi="Times New Roman" w:eastAsia="宋体" w:cs="Times New Roman"/>
                <w:b w:val="0"/>
                <w:color w:val="000000"/>
                <w:sz w:val="24"/>
                <w:szCs w:val="24"/>
                <w:highlight w:val="none"/>
                <w:lang w:eastAsia="zh-CN"/>
              </w:rPr>
            </w:pPr>
            <w:r>
              <w:rPr>
                <w:rFonts w:hint="default" w:ascii="Times New Roman" w:hAnsi="Times New Roman" w:eastAsia="Times New Roman" w:cs="Times New Roman"/>
                <w:b w:val="0"/>
                <w:color w:val="000000"/>
                <w:sz w:val="24"/>
                <w:szCs w:val="24"/>
                <w:highlight w:val="none"/>
              </w:rPr>
              <w:t xml:space="preserve">CCBs, </w:t>
            </w:r>
            <w:r>
              <w:rPr>
                <w:rFonts w:hint="default" w:ascii="Times New Roman" w:hAnsi="Times New Roman" w:eastAsia="宋体" w:cs="Times New Roman"/>
                <w:b w:val="0"/>
                <w:color w:val="000000"/>
                <w:sz w:val="24"/>
                <w:szCs w:val="24"/>
                <w:highlight w:val="none"/>
                <w:lang w:eastAsia="zh-CN"/>
              </w:rPr>
              <w:t>n (%)</w:t>
            </w:r>
          </w:p>
        </w:tc>
        <w:tc>
          <w:tcPr>
            <w:tcW w:w="1662" w:type="dxa"/>
            <w:tcBorders>
              <w:top w:val="nil"/>
              <w:left w:val="nil"/>
              <w:bottom w:val="single" w:color="000000" w:sz="12" w:space="0"/>
              <w:right w:val="nil"/>
            </w:tcBorders>
            <w:shd w:val="clear" w:color="auto" w:fill="FFFFFF"/>
            <w:vAlign w:val="center"/>
          </w:tcPr>
          <w:p w14:paraId="78C7A43A">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41 (40.2%)</w:t>
            </w:r>
          </w:p>
        </w:tc>
        <w:tc>
          <w:tcPr>
            <w:tcW w:w="1662" w:type="dxa"/>
            <w:tcBorders>
              <w:top w:val="nil"/>
              <w:left w:val="nil"/>
              <w:bottom w:val="single" w:color="000000" w:sz="12" w:space="0"/>
              <w:right w:val="nil"/>
            </w:tcBorders>
            <w:shd w:val="clear" w:color="auto" w:fill="FFFFFF"/>
            <w:vAlign w:val="center"/>
          </w:tcPr>
          <w:p w14:paraId="36D3E10D">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41 (40.6%)</w:t>
            </w:r>
          </w:p>
        </w:tc>
        <w:tc>
          <w:tcPr>
            <w:tcW w:w="1662" w:type="dxa"/>
            <w:tcBorders>
              <w:top w:val="nil"/>
              <w:left w:val="nil"/>
              <w:bottom w:val="single" w:color="000000" w:sz="12" w:space="0"/>
              <w:right w:val="nil"/>
            </w:tcBorders>
            <w:shd w:val="clear" w:color="auto" w:fill="FFFFFF"/>
            <w:vAlign w:val="center"/>
          </w:tcPr>
          <w:p w14:paraId="68489841">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48 (48%)</w:t>
            </w:r>
          </w:p>
        </w:tc>
        <w:tc>
          <w:tcPr>
            <w:tcW w:w="1662" w:type="dxa"/>
            <w:tcBorders>
              <w:top w:val="nil"/>
              <w:left w:val="nil"/>
              <w:bottom w:val="single" w:color="000000" w:sz="12" w:space="0"/>
              <w:right w:val="nil"/>
            </w:tcBorders>
            <w:shd w:val="clear" w:color="auto" w:fill="FFFFFF"/>
            <w:vAlign w:val="center"/>
          </w:tcPr>
          <w:p w14:paraId="7E434103">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45 (44.6%)</w:t>
            </w:r>
          </w:p>
        </w:tc>
        <w:tc>
          <w:tcPr>
            <w:tcW w:w="1662" w:type="dxa"/>
            <w:tcBorders>
              <w:top w:val="nil"/>
              <w:left w:val="nil"/>
              <w:bottom w:val="single" w:color="000000" w:sz="12" w:space="0"/>
              <w:right w:val="nil"/>
            </w:tcBorders>
            <w:shd w:val="clear" w:color="auto" w:fill="FFFFFF"/>
            <w:vAlign w:val="center"/>
          </w:tcPr>
          <w:p w14:paraId="5E675A3A">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0.645</w:t>
            </w:r>
          </w:p>
        </w:tc>
      </w:tr>
    </w:tbl>
    <w:p w14:paraId="10D1307E">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Continuous variables are presented as the median (interquartile range), and categorical variables are presented as n (%). Comparisons across LDL-C quartiles were performed using the Kruskal–Wallis test for continuous variables, the chi-square test for categorical variables, and Fisher’s exact test when expected cell counts were small. LDL-C quartiles were defined as follows: Q1, 0.55–1.88 mmol/L; Q2, 1.88–2.35 mmol/L; Q3, 2.35–2.90 mmol/L; and Q4, 2.90–4.82 mmol/L.</w:t>
      </w:r>
    </w:p>
    <w:p w14:paraId="213B19B8">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b/>
          <w:bCs/>
          <w:kern w:val="2"/>
          <w:sz w:val="24"/>
          <w:szCs w:val="24"/>
          <w:highlight w:val="none"/>
          <w:lang w:val="en-US" w:eastAsia="zh-CN" w:bidi="ar"/>
        </w:rPr>
        <w:t>Abbreviations:</w:t>
      </w:r>
      <w:r>
        <w:rPr>
          <w:rFonts w:hint="default" w:ascii="Times New Roman" w:hAnsi="Times New Roman" w:eastAsia="宋体" w:cs="Times New Roman"/>
          <w:kern w:val="2"/>
          <w:sz w:val="24"/>
          <w:szCs w:val="24"/>
          <w:highlight w:val="none"/>
          <w:lang w:val="en-US" w:eastAsia="zh-CN" w:bidi="ar"/>
        </w:rPr>
        <w:t xml:space="preserve"> LDL-C, low-density lipoprotein cholesterol; LVAs, left atrial low-voltage areas; HDL-C, high-density lipoprotein cholesterol; TSH, thyroid-stimulating hormone; T3, triiodothyronine; T4, thyroxine; eGFR, estimated glomerular filtration rate; COPD, chronic obstructive pulmonary disease; OSAS, obstructive sleep apnea syndrome; ACEI, angiotensin-converting enzyme inhibitor; ARB, angiotensin receptor blocker; CCBs, calcium channel blockers.</w:t>
      </w:r>
    </w:p>
    <w:p w14:paraId="6D2275A7">
      <w:pPr>
        <w:keepNext w:val="0"/>
        <w:keepLines w:val="0"/>
        <w:widowControl/>
        <w:suppressLineNumbers w:val="0"/>
        <w:jc w:val="left"/>
        <w:rPr>
          <w:rFonts w:hint="default" w:ascii="Times New Roman" w:hAnsi="Times New Roman" w:eastAsia="宋体" w:cs="Times New Roman"/>
          <w:kern w:val="2"/>
          <w:sz w:val="24"/>
          <w:szCs w:val="24"/>
          <w:highlight w:val="none"/>
          <w:lang w:val="en-US" w:eastAsia="zh-CN" w:bidi="ar"/>
        </w:rPr>
      </w:pPr>
    </w:p>
    <w:p w14:paraId="4B1F2D78">
      <w:pPr>
        <w:spacing w:line="480" w:lineRule="auto"/>
        <w:rPr>
          <w:rFonts w:hint="default" w:ascii="Times New Roman" w:hAnsi="Times New Roman" w:cs="Times New Roman" w:eastAsiaTheme="minorEastAsia"/>
          <w:b w:val="0"/>
          <w:bCs w:val="0"/>
          <w:kern w:val="0"/>
          <w:sz w:val="24"/>
          <w:szCs w:val="24"/>
          <w:highlight w:val="none"/>
          <w:lang w:val="en-US" w:eastAsia="zh-CN" w:bidi="ar"/>
        </w:rPr>
      </w:pPr>
      <w:r>
        <w:rPr>
          <w:rFonts w:hint="default" w:ascii="Times New Roman" w:hAnsi="Times New Roman" w:cs="Times New Roman" w:eastAsiaTheme="minorEastAsia"/>
          <w:b/>
          <w:bCs/>
          <w:kern w:val="0"/>
          <w:sz w:val="24"/>
          <w:szCs w:val="24"/>
          <w:highlight w:val="none"/>
          <w:lang w:val="en-US" w:eastAsia="zh-CN" w:bidi="ar"/>
        </w:rPr>
        <w:t>Supplementary Table S6.</w:t>
      </w:r>
      <w:r>
        <w:rPr>
          <w:rFonts w:hint="default" w:ascii="Times New Roman" w:hAnsi="Times New Roman" w:cs="Times New Roman" w:eastAsiaTheme="minorEastAsia"/>
          <w:b w:val="0"/>
          <w:bCs w:val="0"/>
          <w:kern w:val="0"/>
          <w:sz w:val="24"/>
          <w:szCs w:val="24"/>
          <w:highlight w:val="none"/>
          <w:lang w:val="en-US" w:eastAsia="zh-CN" w:bidi="ar"/>
        </w:rPr>
        <w:t xml:space="preserve"> Multivariable logistic regression analyses of LDL-C quartiles in relation to the presence of left atrial low-voltage areas.</w:t>
      </w:r>
    </w:p>
    <w:tbl>
      <w:tblPr>
        <w:tblStyle w:val="8"/>
        <w:tblW w:w="85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758"/>
        <w:gridCol w:w="1423"/>
        <w:gridCol w:w="825"/>
        <w:gridCol w:w="1424"/>
        <w:gridCol w:w="825"/>
        <w:gridCol w:w="1424"/>
        <w:gridCol w:w="825"/>
      </w:tblGrid>
      <w:tr w14:paraId="43322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1758" w:type="dxa"/>
            <w:vMerge w:val="restart"/>
            <w:tcBorders>
              <w:top w:val="single" w:color="000000" w:sz="12" w:space="0"/>
              <w:left w:val="nil"/>
              <w:bottom w:val="nil"/>
              <w:right w:val="nil"/>
            </w:tcBorders>
            <w:shd w:val="clear" w:color="auto" w:fill="FFFFFF"/>
            <w:vAlign w:val="center"/>
          </w:tcPr>
          <w:p w14:paraId="4A608581">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b/>
                <w:i w:val="0"/>
                <w:iCs w:val="0"/>
                <w:color w:val="08090C"/>
                <w:sz w:val="24"/>
                <w:szCs w:val="24"/>
                <w:highlight w:val="none"/>
                <w:u w:val="none"/>
              </w:rPr>
            </w:pPr>
            <w:r>
              <w:rPr>
                <w:rFonts w:hint="default" w:ascii="Times New Roman" w:hAnsi="Times New Roman" w:eastAsia="微软雅黑" w:cs="Times New Roman"/>
                <w:b/>
                <w:i w:val="0"/>
                <w:iCs w:val="0"/>
                <w:color w:val="08090C"/>
                <w:kern w:val="0"/>
                <w:sz w:val="24"/>
                <w:szCs w:val="24"/>
                <w:highlight w:val="none"/>
                <w:u w:val="none"/>
                <w:lang w:val="en-US" w:eastAsia="zh-CN" w:bidi="ar"/>
              </w:rPr>
              <w:t>LDL-C Range</w:t>
            </w:r>
          </w:p>
        </w:tc>
        <w:tc>
          <w:tcPr>
            <w:tcW w:w="2248" w:type="dxa"/>
            <w:gridSpan w:val="2"/>
            <w:tcBorders>
              <w:top w:val="single" w:color="000000" w:sz="12" w:space="0"/>
              <w:left w:val="nil"/>
              <w:bottom w:val="dotDash" w:color="auto" w:sz="4" w:space="0"/>
              <w:right w:val="nil"/>
            </w:tcBorders>
            <w:shd w:val="clear" w:color="auto" w:fill="FFFFFF" w:themeFill="background1"/>
            <w:vAlign w:val="center"/>
          </w:tcPr>
          <w:p w14:paraId="77CC032C">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b/>
                <w:i w:val="0"/>
                <w:iCs w:val="0"/>
                <w:color w:val="08090C"/>
                <w:sz w:val="24"/>
                <w:szCs w:val="24"/>
                <w:highlight w:val="none"/>
                <w:u w:val="none"/>
                <w:lang w:val="en-US"/>
              </w:rPr>
            </w:pPr>
            <w:r>
              <w:rPr>
                <w:rFonts w:hint="default" w:ascii="Times New Roman" w:hAnsi="Times New Roman" w:eastAsia="微软雅黑" w:cs="Times New Roman"/>
                <w:b/>
                <w:i w:val="0"/>
                <w:iCs w:val="0"/>
                <w:color w:val="08090C"/>
                <w:kern w:val="0"/>
                <w:sz w:val="24"/>
                <w:szCs w:val="24"/>
                <w:highlight w:val="none"/>
                <w:u w:val="none"/>
                <w:lang w:val="en-US" w:eastAsia="zh-CN" w:bidi="ar"/>
              </w:rPr>
              <w:t>Model 1b</w:t>
            </w:r>
          </w:p>
        </w:tc>
        <w:tc>
          <w:tcPr>
            <w:tcW w:w="2249" w:type="dxa"/>
            <w:gridSpan w:val="2"/>
            <w:tcBorders>
              <w:top w:val="single" w:color="000000" w:sz="12" w:space="0"/>
              <w:left w:val="nil"/>
              <w:bottom w:val="dotDash" w:color="auto" w:sz="4" w:space="0"/>
              <w:right w:val="nil"/>
            </w:tcBorders>
            <w:shd w:val="clear" w:color="auto" w:fill="FFFFFF" w:themeFill="background1"/>
            <w:vAlign w:val="center"/>
          </w:tcPr>
          <w:p w14:paraId="0AD2BC9E">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b/>
                <w:i w:val="0"/>
                <w:iCs w:val="0"/>
                <w:color w:val="08090C"/>
                <w:sz w:val="24"/>
                <w:szCs w:val="24"/>
                <w:highlight w:val="none"/>
                <w:u w:val="none"/>
                <w:lang w:val="en-US"/>
              </w:rPr>
            </w:pPr>
            <w:r>
              <w:rPr>
                <w:rFonts w:hint="default" w:ascii="Times New Roman" w:hAnsi="Times New Roman" w:eastAsia="微软雅黑" w:cs="Times New Roman"/>
                <w:b/>
                <w:i w:val="0"/>
                <w:iCs w:val="0"/>
                <w:color w:val="08090C"/>
                <w:kern w:val="0"/>
                <w:sz w:val="24"/>
                <w:szCs w:val="24"/>
                <w:highlight w:val="none"/>
                <w:u w:val="none"/>
                <w:lang w:val="en-US" w:eastAsia="zh-CN" w:bidi="ar"/>
              </w:rPr>
              <w:t>Model 2b</w:t>
            </w:r>
          </w:p>
        </w:tc>
        <w:tc>
          <w:tcPr>
            <w:tcW w:w="2249" w:type="dxa"/>
            <w:gridSpan w:val="2"/>
            <w:tcBorders>
              <w:top w:val="single" w:color="000000" w:sz="12" w:space="0"/>
              <w:left w:val="nil"/>
              <w:bottom w:val="dotDash" w:color="auto" w:sz="4" w:space="0"/>
              <w:right w:val="nil"/>
            </w:tcBorders>
            <w:shd w:val="clear" w:color="auto" w:fill="FFFFFF" w:themeFill="background1"/>
            <w:vAlign w:val="center"/>
          </w:tcPr>
          <w:p w14:paraId="5A0FA7AD">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b/>
                <w:i w:val="0"/>
                <w:iCs w:val="0"/>
                <w:color w:val="08090C"/>
                <w:sz w:val="24"/>
                <w:szCs w:val="24"/>
                <w:highlight w:val="none"/>
                <w:u w:val="none"/>
                <w:lang w:val="en-US"/>
              </w:rPr>
            </w:pPr>
            <w:r>
              <w:rPr>
                <w:rFonts w:hint="default" w:ascii="Times New Roman" w:hAnsi="Times New Roman" w:eastAsia="微软雅黑" w:cs="Times New Roman"/>
                <w:b/>
                <w:i w:val="0"/>
                <w:iCs w:val="0"/>
                <w:color w:val="08090C"/>
                <w:kern w:val="0"/>
                <w:sz w:val="24"/>
                <w:szCs w:val="24"/>
                <w:highlight w:val="none"/>
                <w:u w:val="none"/>
                <w:lang w:val="en-US" w:eastAsia="zh-CN" w:bidi="ar"/>
              </w:rPr>
              <w:t>Model 3b</w:t>
            </w:r>
          </w:p>
        </w:tc>
      </w:tr>
      <w:tr w14:paraId="39DAE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758" w:type="dxa"/>
            <w:vMerge w:val="continue"/>
            <w:tcBorders>
              <w:top w:val="single" w:color="000000" w:sz="12" w:space="0"/>
              <w:left w:val="nil"/>
              <w:bottom w:val="single" w:color="auto" w:sz="4" w:space="0"/>
              <w:right w:val="nil"/>
            </w:tcBorders>
            <w:shd w:val="clear" w:color="auto" w:fill="FFFFFF"/>
            <w:vAlign w:val="center"/>
          </w:tcPr>
          <w:p w14:paraId="6F75FF3B">
            <w:pPr>
              <w:snapToGrid w:val="0"/>
              <w:ind w:left="0" w:leftChars="0" w:right="0" w:rightChars="0" w:firstLine="0" w:firstLineChars="0"/>
              <w:jc w:val="center"/>
              <w:rPr>
                <w:rFonts w:hint="default" w:ascii="Times New Roman" w:hAnsi="Times New Roman" w:eastAsia="微软雅黑" w:cs="Times New Roman"/>
                <w:b/>
                <w:i w:val="0"/>
                <w:iCs w:val="0"/>
                <w:color w:val="08090C"/>
                <w:sz w:val="24"/>
                <w:szCs w:val="24"/>
                <w:highlight w:val="none"/>
                <w:u w:val="none"/>
              </w:rPr>
            </w:pPr>
          </w:p>
        </w:tc>
        <w:tc>
          <w:tcPr>
            <w:tcW w:w="1423" w:type="dxa"/>
            <w:tcBorders>
              <w:top w:val="dotDash" w:color="auto" w:sz="4" w:space="0"/>
              <w:left w:val="nil"/>
              <w:bottom w:val="single" w:color="auto" w:sz="4" w:space="0"/>
              <w:right w:val="nil"/>
            </w:tcBorders>
            <w:shd w:val="clear" w:color="auto" w:fill="FFFFFF"/>
            <w:vAlign w:val="center"/>
          </w:tcPr>
          <w:p w14:paraId="5F259414">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b/>
                <w:i w:val="0"/>
                <w:iCs w:val="0"/>
                <w:color w:val="08090C"/>
                <w:sz w:val="24"/>
                <w:szCs w:val="24"/>
                <w:highlight w:val="none"/>
                <w:u w:val="none"/>
              </w:rPr>
            </w:pPr>
            <w:r>
              <w:rPr>
                <w:rFonts w:hint="default" w:ascii="Times New Roman" w:hAnsi="Times New Roman" w:eastAsia="微软雅黑" w:cs="Times New Roman"/>
                <w:b/>
                <w:i w:val="0"/>
                <w:iCs w:val="0"/>
                <w:color w:val="08090C"/>
                <w:kern w:val="0"/>
                <w:sz w:val="24"/>
                <w:szCs w:val="24"/>
                <w:highlight w:val="none"/>
                <w:u w:val="none"/>
                <w:lang w:val="en-US" w:eastAsia="zh-CN" w:bidi="ar"/>
              </w:rPr>
              <w:t>OR (95% CI)</w:t>
            </w:r>
          </w:p>
        </w:tc>
        <w:tc>
          <w:tcPr>
            <w:tcW w:w="825" w:type="dxa"/>
            <w:tcBorders>
              <w:top w:val="dotDash" w:color="auto" w:sz="4" w:space="0"/>
              <w:left w:val="nil"/>
              <w:bottom w:val="single" w:color="auto" w:sz="4" w:space="0"/>
              <w:right w:val="nil"/>
            </w:tcBorders>
            <w:shd w:val="clear" w:color="auto" w:fill="FFFFFF"/>
            <w:vAlign w:val="center"/>
          </w:tcPr>
          <w:p w14:paraId="064DC7DE">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b/>
                <w:i w:val="0"/>
                <w:iCs w:val="0"/>
                <w:color w:val="08090C"/>
                <w:sz w:val="24"/>
                <w:szCs w:val="24"/>
                <w:highlight w:val="none"/>
                <w:u w:val="none"/>
              </w:rPr>
            </w:pPr>
            <w:r>
              <w:rPr>
                <w:rFonts w:hint="default" w:ascii="Times New Roman" w:hAnsi="Times New Roman" w:eastAsia="微软雅黑" w:cs="Times New Roman"/>
                <w:b/>
                <w:i/>
                <w:iCs/>
                <w:color w:val="08090C"/>
                <w:sz w:val="24"/>
                <w:szCs w:val="24"/>
                <w:highlight w:val="none"/>
                <w:u w:val="none"/>
              </w:rPr>
              <w:t>P</w:t>
            </w:r>
            <w:r>
              <w:rPr>
                <w:rFonts w:hint="default" w:ascii="Times New Roman" w:hAnsi="Times New Roman" w:eastAsia="微软雅黑" w:cs="Times New Roman"/>
                <w:b/>
                <w:i w:val="0"/>
                <w:iCs w:val="0"/>
                <w:color w:val="08090C"/>
                <w:sz w:val="24"/>
                <w:szCs w:val="24"/>
                <w:highlight w:val="none"/>
                <w:u w:val="none"/>
              </w:rPr>
              <w:t xml:space="preserve"> </w:t>
            </w:r>
            <w:r>
              <w:rPr>
                <w:rFonts w:hint="default" w:ascii="Times New Roman" w:hAnsi="Times New Roman" w:eastAsia="微软雅黑" w:cs="Times New Roman"/>
                <w:b/>
                <w:i w:val="0"/>
                <w:iCs w:val="0"/>
                <w:color w:val="08090C"/>
                <w:sz w:val="24"/>
                <w:szCs w:val="24"/>
                <w:highlight w:val="none"/>
                <w:u w:val="none"/>
                <w:lang w:val="en-US" w:eastAsia="zh-CN"/>
              </w:rPr>
              <w:t>v</w:t>
            </w:r>
            <w:r>
              <w:rPr>
                <w:rFonts w:hint="default" w:ascii="Times New Roman" w:hAnsi="Times New Roman" w:eastAsia="微软雅黑" w:cs="Times New Roman"/>
                <w:b/>
                <w:i w:val="0"/>
                <w:iCs w:val="0"/>
                <w:color w:val="08090C"/>
                <w:sz w:val="24"/>
                <w:szCs w:val="24"/>
                <w:highlight w:val="none"/>
                <w:u w:val="none"/>
              </w:rPr>
              <w:t>alue</w:t>
            </w:r>
          </w:p>
        </w:tc>
        <w:tc>
          <w:tcPr>
            <w:tcW w:w="1424" w:type="dxa"/>
            <w:tcBorders>
              <w:top w:val="dotDash" w:color="auto" w:sz="4" w:space="0"/>
              <w:left w:val="nil"/>
              <w:bottom w:val="single" w:color="auto" w:sz="4" w:space="0"/>
              <w:right w:val="nil"/>
            </w:tcBorders>
            <w:shd w:val="clear" w:color="auto" w:fill="FFFFFF"/>
            <w:vAlign w:val="center"/>
          </w:tcPr>
          <w:p w14:paraId="5B76615F">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b/>
                <w:i w:val="0"/>
                <w:iCs w:val="0"/>
                <w:color w:val="08090C"/>
                <w:sz w:val="24"/>
                <w:szCs w:val="24"/>
                <w:highlight w:val="none"/>
                <w:u w:val="none"/>
              </w:rPr>
            </w:pPr>
            <w:r>
              <w:rPr>
                <w:rFonts w:hint="default" w:ascii="Times New Roman" w:hAnsi="Times New Roman" w:eastAsia="微软雅黑" w:cs="Times New Roman"/>
                <w:b/>
                <w:i w:val="0"/>
                <w:iCs w:val="0"/>
                <w:color w:val="08090C"/>
                <w:kern w:val="0"/>
                <w:sz w:val="24"/>
                <w:szCs w:val="24"/>
                <w:highlight w:val="none"/>
                <w:u w:val="none"/>
                <w:lang w:val="en-US" w:eastAsia="zh-CN" w:bidi="ar"/>
              </w:rPr>
              <w:t>OR (95% CI)</w:t>
            </w:r>
          </w:p>
        </w:tc>
        <w:tc>
          <w:tcPr>
            <w:tcW w:w="825" w:type="dxa"/>
            <w:tcBorders>
              <w:top w:val="dotDash" w:color="auto" w:sz="4" w:space="0"/>
              <w:left w:val="nil"/>
              <w:bottom w:val="single" w:color="auto" w:sz="4" w:space="0"/>
              <w:right w:val="nil"/>
            </w:tcBorders>
            <w:shd w:val="clear" w:color="auto" w:fill="FFFFFF"/>
            <w:vAlign w:val="center"/>
          </w:tcPr>
          <w:p w14:paraId="176C5851">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b/>
                <w:i w:val="0"/>
                <w:iCs w:val="0"/>
                <w:color w:val="08090C"/>
                <w:sz w:val="24"/>
                <w:szCs w:val="24"/>
                <w:highlight w:val="none"/>
                <w:u w:val="none"/>
              </w:rPr>
            </w:pPr>
            <w:r>
              <w:rPr>
                <w:rFonts w:hint="default" w:ascii="Times New Roman" w:hAnsi="Times New Roman" w:eastAsia="微软雅黑" w:cs="Times New Roman"/>
                <w:b/>
                <w:i/>
                <w:iCs/>
                <w:color w:val="08090C"/>
                <w:sz w:val="24"/>
                <w:szCs w:val="24"/>
                <w:highlight w:val="none"/>
                <w:u w:val="none"/>
              </w:rPr>
              <w:t>P</w:t>
            </w:r>
            <w:r>
              <w:rPr>
                <w:rFonts w:hint="default" w:ascii="Times New Roman" w:hAnsi="Times New Roman" w:eastAsia="微软雅黑" w:cs="Times New Roman"/>
                <w:b/>
                <w:i w:val="0"/>
                <w:iCs w:val="0"/>
                <w:color w:val="08090C"/>
                <w:sz w:val="24"/>
                <w:szCs w:val="24"/>
                <w:highlight w:val="none"/>
                <w:u w:val="none"/>
              </w:rPr>
              <w:t xml:space="preserve"> </w:t>
            </w:r>
            <w:r>
              <w:rPr>
                <w:rFonts w:hint="default" w:ascii="Times New Roman" w:hAnsi="Times New Roman" w:eastAsia="微软雅黑" w:cs="Times New Roman"/>
                <w:b/>
                <w:i w:val="0"/>
                <w:iCs w:val="0"/>
                <w:color w:val="08090C"/>
                <w:sz w:val="24"/>
                <w:szCs w:val="24"/>
                <w:highlight w:val="none"/>
                <w:u w:val="none"/>
                <w:lang w:val="en-US" w:eastAsia="zh-CN"/>
              </w:rPr>
              <w:t>v</w:t>
            </w:r>
            <w:r>
              <w:rPr>
                <w:rFonts w:hint="default" w:ascii="Times New Roman" w:hAnsi="Times New Roman" w:eastAsia="微软雅黑" w:cs="Times New Roman"/>
                <w:b/>
                <w:i w:val="0"/>
                <w:iCs w:val="0"/>
                <w:color w:val="08090C"/>
                <w:sz w:val="24"/>
                <w:szCs w:val="24"/>
                <w:highlight w:val="none"/>
                <w:u w:val="none"/>
              </w:rPr>
              <w:t>alue</w:t>
            </w:r>
          </w:p>
        </w:tc>
        <w:tc>
          <w:tcPr>
            <w:tcW w:w="1424" w:type="dxa"/>
            <w:tcBorders>
              <w:top w:val="dotDash" w:color="auto" w:sz="4" w:space="0"/>
              <w:left w:val="nil"/>
              <w:bottom w:val="single" w:color="auto" w:sz="4" w:space="0"/>
              <w:right w:val="nil"/>
            </w:tcBorders>
            <w:shd w:val="clear" w:color="auto" w:fill="FFFFFF"/>
            <w:vAlign w:val="center"/>
          </w:tcPr>
          <w:p w14:paraId="04AECE84">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b/>
                <w:i w:val="0"/>
                <w:iCs w:val="0"/>
                <w:color w:val="08090C"/>
                <w:sz w:val="24"/>
                <w:szCs w:val="24"/>
                <w:highlight w:val="none"/>
                <w:u w:val="none"/>
              </w:rPr>
            </w:pPr>
            <w:r>
              <w:rPr>
                <w:rFonts w:hint="default" w:ascii="Times New Roman" w:hAnsi="Times New Roman" w:eastAsia="微软雅黑" w:cs="Times New Roman"/>
                <w:b/>
                <w:i w:val="0"/>
                <w:iCs w:val="0"/>
                <w:color w:val="08090C"/>
                <w:kern w:val="0"/>
                <w:sz w:val="24"/>
                <w:szCs w:val="24"/>
                <w:highlight w:val="none"/>
                <w:u w:val="none"/>
                <w:lang w:val="en-US" w:eastAsia="zh-CN" w:bidi="ar"/>
              </w:rPr>
              <w:t>OR (95% CI)</w:t>
            </w:r>
          </w:p>
        </w:tc>
        <w:tc>
          <w:tcPr>
            <w:tcW w:w="825" w:type="dxa"/>
            <w:tcBorders>
              <w:top w:val="dotDash" w:color="auto" w:sz="4" w:space="0"/>
              <w:left w:val="nil"/>
              <w:bottom w:val="single" w:color="auto" w:sz="4" w:space="0"/>
              <w:right w:val="nil"/>
            </w:tcBorders>
            <w:shd w:val="clear" w:color="auto" w:fill="FFFFFF"/>
            <w:vAlign w:val="center"/>
          </w:tcPr>
          <w:p w14:paraId="44B704E1">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b/>
                <w:i w:val="0"/>
                <w:iCs w:val="0"/>
                <w:color w:val="08090C"/>
                <w:sz w:val="24"/>
                <w:szCs w:val="24"/>
                <w:highlight w:val="none"/>
                <w:u w:val="none"/>
              </w:rPr>
            </w:pPr>
            <w:r>
              <w:rPr>
                <w:rFonts w:hint="default" w:ascii="Times New Roman" w:hAnsi="Times New Roman" w:eastAsia="微软雅黑" w:cs="Times New Roman"/>
                <w:b/>
                <w:i/>
                <w:iCs/>
                <w:color w:val="08090C"/>
                <w:sz w:val="24"/>
                <w:szCs w:val="24"/>
                <w:highlight w:val="none"/>
                <w:u w:val="none"/>
              </w:rPr>
              <w:t>P</w:t>
            </w:r>
            <w:r>
              <w:rPr>
                <w:rFonts w:hint="default" w:ascii="Times New Roman" w:hAnsi="Times New Roman" w:eastAsia="微软雅黑" w:cs="Times New Roman"/>
                <w:b/>
                <w:i w:val="0"/>
                <w:iCs w:val="0"/>
                <w:color w:val="08090C"/>
                <w:sz w:val="24"/>
                <w:szCs w:val="24"/>
                <w:highlight w:val="none"/>
                <w:u w:val="none"/>
              </w:rPr>
              <w:t xml:space="preserve"> </w:t>
            </w:r>
            <w:r>
              <w:rPr>
                <w:rFonts w:hint="default" w:ascii="Times New Roman" w:hAnsi="Times New Roman" w:eastAsia="微软雅黑" w:cs="Times New Roman"/>
                <w:b/>
                <w:i w:val="0"/>
                <w:iCs w:val="0"/>
                <w:color w:val="08090C"/>
                <w:sz w:val="24"/>
                <w:szCs w:val="24"/>
                <w:highlight w:val="none"/>
                <w:u w:val="none"/>
                <w:lang w:val="en-US" w:eastAsia="zh-CN"/>
              </w:rPr>
              <w:t>v</w:t>
            </w:r>
            <w:r>
              <w:rPr>
                <w:rFonts w:hint="default" w:ascii="Times New Roman" w:hAnsi="Times New Roman" w:eastAsia="微软雅黑" w:cs="Times New Roman"/>
                <w:b/>
                <w:i w:val="0"/>
                <w:iCs w:val="0"/>
                <w:color w:val="08090C"/>
                <w:sz w:val="24"/>
                <w:szCs w:val="24"/>
                <w:highlight w:val="none"/>
                <w:u w:val="none"/>
              </w:rPr>
              <w:t>alue</w:t>
            </w:r>
          </w:p>
        </w:tc>
      </w:tr>
      <w:tr w14:paraId="58B8E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758" w:type="dxa"/>
            <w:tcBorders>
              <w:top w:val="single" w:color="auto" w:sz="4" w:space="0"/>
              <w:left w:val="nil"/>
              <w:bottom w:val="nil"/>
              <w:right w:val="nil"/>
            </w:tcBorders>
            <w:shd w:val="clear" w:color="auto" w:fill="FFFFFF"/>
            <w:vAlign w:val="center"/>
          </w:tcPr>
          <w:p w14:paraId="5C9F6DBE">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Q1(0.55-1.8</w:t>
            </w:r>
            <w:r>
              <w:rPr>
                <w:rFonts w:hint="default" w:ascii="Times New Roman" w:hAnsi="Times New Roman" w:cs="Times New Roman"/>
                <w:sz w:val="24"/>
                <w:szCs w:val="24"/>
                <w:highlight w:val="none"/>
                <w:lang w:val="en-US" w:eastAsia="zh-CN"/>
              </w:rPr>
              <w:t>8</w:t>
            </w:r>
            <w:r>
              <w:rPr>
                <w:rFonts w:hint="default" w:ascii="Times New Roman" w:hAnsi="Times New Roman" w:cs="Times New Roman"/>
                <w:sz w:val="24"/>
                <w:szCs w:val="24"/>
                <w:highlight w:val="none"/>
              </w:rPr>
              <w:t xml:space="preserve"> mmol/L)</w:t>
            </w:r>
          </w:p>
        </w:tc>
        <w:tc>
          <w:tcPr>
            <w:tcW w:w="1423" w:type="dxa"/>
            <w:tcBorders>
              <w:top w:val="single" w:color="auto" w:sz="4" w:space="0"/>
              <w:left w:val="nil"/>
              <w:bottom w:val="nil"/>
              <w:right w:val="nil"/>
            </w:tcBorders>
            <w:shd w:val="clear" w:color="auto" w:fill="FFFFFF"/>
            <w:vAlign w:val="center"/>
          </w:tcPr>
          <w:p w14:paraId="5FF24EA2">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0.92 (0.50-1.66)</w:t>
            </w:r>
          </w:p>
        </w:tc>
        <w:tc>
          <w:tcPr>
            <w:tcW w:w="825" w:type="dxa"/>
            <w:tcBorders>
              <w:top w:val="single" w:color="auto" w:sz="4" w:space="0"/>
              <w:left w:val="nil"/>
              <w:bottom w:val="nil"/>
              <w:right w:val="nil"/>
            </w:tcBorders>
            <w:shd w:val="clear" w:color="auto" w:fill="FFFFFF"/>
            <w:vAlign w:val="center"/>
          </w:tcPr>
          <w:p w14:paraId="23858B0E">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0.773</w:t>
            </w:r>
          </w:p>
        </w:tc>
        <w:tc>
          <w:tcPr>
            <w:tcW w:w="1424" w:type="dxa"/>
            <w:tcBorders>
              <w:top w:val="single" w:color="auto" w:sz="4" w:space="0"/>
              <w:left w:val="nil"/>
              <w:bottom w:val="nil"/>
              <w:right w:val="nil"/>
            </w:tcBorders>
            <w:shd w:val="clear" w:color="auto" w:fill="FFFFFF"/>
            <w:vAlign w:val="center"/>
          </w:tcPr>
          <w:p w14:paraId="57285B4C">
            <w:pPr>
              <w:jc w:val="center"/>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0.93 (0.50-1.72)</w:t>
            </w:r>
          </w:p>
        </w:tc>
        <w:tc>
          <w:tcPr>
            <w:tcW w:w="825" w:type="dxa"/>
            <w:tcBorders>
              <w:top w:val="single" w:color="auto" w:sz="4" w:space="0"/>
              <w:left w:val="nil"/>
              <w:bottom w:val="nil"/>
              <w:right w:val="nil"/>
            </w:tcBorders>
            <w:shd w:val="clear" w:color="auto" w:fill="FFFFFF"/>
            <w:vAlign w:val="center"/>
          </w:tcPr>
          <w:p w14:paraId="2AD5F585">
            <w:pPr>
              <w:jc w:val="center"/>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0.815</w:t>
            </w:r>
          </w:p>
        </w:tc>
        <w:tc>
          <w:tcPr>
            <w:tcW w:w="1424" w:type="dxa"/>
            <w:tcBorders>
              <w:top w:val="single" w:color="auto" w:sz="4" w:space="0"/>
              <w:left w:val="nil"/>
              <w:bottom w:val="nil"/>
              <w:right w:val="nil"/>
            </w:tcBorders>
            <w:shd w:val="clear" w:color="auto" w:fill="FFFFFF"/>
            <w:vAlign w:val="center"/>
          </w:tcPr>
          <w:p w14:paraId="69153666">
            <w:pPr>
              <w:jc w:val="center"/>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0.91 (0.48-1.69)</w:t>
            </w:r>
          </w:p>
        </w:tc>
        <w:tc>
          <w:tcPr>
            <w:tcW w:w="825" w:type="dxa"/>
            <w:tcBorders>
              <w:top w:val="single" w:color="auto" w:sz="4" w:space="0"/>
              <w:left w:val="nil"/>
              <w:bottom w:val="nil"/>
              <w:right w:val="nil"/>
            </w:tcBorders>
            <w:shd w:val="clear" w:color="auto" w:fill="FFFFFF"/>
            <w:vAlign w:val="center"/>
          </w:tcPr>
          <w:p w14:paraId="71B696C4">
            <w:pPr>
              <w:jc w:val="center"/>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0.757</w:t>
            </w:r>
          </w:p>
        </w:tc>
      </w:tr>
      <w:tr w14:paraId="02C8D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758" w:type="dxa"/>
            <w:tcBorders>
              <w:top w:val="nil"/>
              <w:left w:val="nil"/>
              <w:bottom w:val="nil"/>
              <w:right w:val="nil"/>
            </w:tcBorders>
            <w:shd w:val="clear" w:color="auto" w:fill="FFFFFF"/>
            <w:vAlign w:val="center"/>
          </w:tcPr>
          <w:p w14:paraId="1576D26A">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Q2(1.88-2.3</w:t>
            </w:r>
            <w:r>
              <w:rPr>
                <w:rFonts w:hint="default" w:ascii="Times New Roman" w:hAnsi="Times New Roman" w:cs="Times New Roman"/>
                <w:sz w:val="24"/>
                <w:szCs w:val="24"/>
                <w:highlight w:val="none"/>
                <w:lang w:val="en-US" w:eastAsia="zh-CN"/>
              </w:rPr>
              <w:t>5</w:t>
            </w:r>
            <w:r>
              <w:rPr>
                <w:rFonts w:hint="default" w:ascii="Times New Roman" w:hAnsi="Times New Roman" w:cs="Times New Roman"/>
                <w:sz w:val="24"/>
                <w:szCs w:val="24"/>
                <w:highlight w:val="none"/>
              </w:rPr>
              <w:t xml:space="preserve"> mmol/L)</w:t>
            </w:r>
          </w:p>
        </w:tc>
        <w:tc>
          <w:tcPr>
            <w:tcW w:w="1423" w:type="dxa"/>
            <w:tcBorders>
              <w:top w:val="nil"/>
              <w:left w:val="nil"/>
              <w:bottom w:val="nil"/>
              <w:right w:val="nil"/>
            </w:tcBorders>
            <w:shd w:val="clear" w:color="auto" w:fill="FFFFFF"/>
            <w:vAlign w:val="center"/>
          </w:tcPr>
          <w:p w14:paraId="75DB350A">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Ref</w:t>
            </w:r>
          </w:p>
        </w:tc>
        <w:tc>
          <w:tcPr>
            <w:tcW w:w="825" w:type="dxa"/>
            <w:tcBorders>
              <w:top w:val="nil"/>
              <w:left w:val="nil"/>
              <w:bottom w:val="nil"/>
              <w:right w:val="nil"/>
            </w:tcBorders>
            <w:shd w:val="clear" w:color="auto" w:fill="FFFFFF"/>
            <w:vAlign w:val="center"/>
          </w:tcPr>
          <w:p w14:paraId="06EC0D5B">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Ref</w:t>
            </w:r>
          </w:p>
        </w:tc>
        <w:tc>
          <w:tcPr>
            <w:tcW w:w="1424" w:type="dxa"/>
            <w:tcBorders>
              <w:top w:val="nil"/>
              <w:left w:val="nil"/>
              <w:bottom w:val="nil"/>
              <w:right w:val="nil"/>
            </w:tcBorders>
            <w:shd w:val="clear" w:color="auto" w:fill="FFFFFF"/>
            <w:vAlign w:val="center"/>
          </w:tcPr>
          <w:p w14:paraId="0622E830">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Ref</w:t>
            </w:r>
          </w:p>
        </w:tc>
        <w:tc>
          <w:tcPr>
            <w:tcW w:w="825" w:type="dxa"/>
            <w:tcBorders>
              <w:top w:val="nil"/>
              <w:left w:val="nil"/>
              <w:bottom w:val="nil"/>
              <w:right w:val="nil"/>
            </w:tcBorders>
            <w:shd w:val="clear" w:color="auto" w:fill="FFFFFF"/>
            <w:vAlign w:val="center"/>
          </w:tcPr>
          <w:p w14:paraId="03DAE15F">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Ref</w:t>
            </w:r>
          </w:p>
        </w:tc>
        <w:tc>
          <w:tcPr>
            <w:tcW w:w="1424" w:type="dxa"/>
            <w:tcBorders>
              <w:top w:val="nil"/>
              <w:left w:val="nil"/>
              <w:bottom w:val="nil"/>
              <w:right w:val="nil"/>
            </w:tcBorders>
            <w:shd w:val="clear" w:color="auto" w:fill="FFFFFF"/>
            <w:vAlign w:val="center"/>
          </w:tcPr>
          <w:p w14:paraId="44E306DF">
            <w:pPr>
              <w:jc w:val="center"/>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Ref</w:t>
            </w:r>
          </w:p>
        </w:tc>
        <w:tc>
          <w:tcPr>
            <w:tcW w:w="825" w:type="dxa"/>
            <w:tcBorders>
              <w:top w:val="nil"/>
              <w:left w:val="nil"/>
              <w:bottom w:val="nil"/>
              <w:right w:val="nil"/>
            </w:tcBorders>
            <w:shd w:val="clear" w:color="auto" w:fill="FFFFFF"/>
            <w:vAlign w:val="center"/>
          </w:tcPr>
          <w:p w14:paraId="513F5ED7">
            <w:pPr>
              <w:jc w:val="center"/>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Ref</w:t>
            </w:r>
          </w:p>
        </w:tc>
      </w:tr>
      <w:tr w14:paraId="3DE69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758" w:type="dxa"/>
            <w:tcBorders>
              <w:top w:val="nil"/>
              <w:left w:val="nil"/>
              <w:bottom w:val="nil"/>
              <w:right w:val="nil"/>
            </w:tcBorders>
            <w:shd w:val="clear" w:color="auto" w:fill="FFFFFF"/>
            <w:vAlign w:val="center"/>
          </w:tcPr>
          <w:p w14:paraId="30798A30">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Q3(2.35-2.</w:t>
            </w:r>
            <w:r>
              <w:rPr>
                <w:rFonts w:hint="default" w:ascii="Times New Roman" w:hAnsi="Times New Roman" w:cs="Times New Roman"/>
                <w:sz w:val="24"/>
                <w:szCs w:val="24"/>
                <w:highlight w:val="none"/>
                <w:lang w:val="en-US" w:eastAsia="zh-CN"/>
              </w:rPr>
              <w:t>90</w:t>
            </w:r>
            <w:r>
              <w:rPr>
                <w:rFonts w:hint="default" w:ascii="Times New Roman" w:hAnsi="Times New Roman" w:cs="Times New Roman"/>
                <w:sz w:val="24"/>
                <w:szCs w:val="24"/>
                <w:highlight w:val="none"/>
              </w:rPr>
              <w:t xml:space="preserve"> mmol/L)</w:t>
            </w:r>
          </w:p>
        </w:tc>
        <w:tc>
          <w:tcPr>
            <w:tcW w:w="1423" w:type="dxa"/>
            <w:tcBorders>
              <w:top w:val="nil"/>
              <w:left w:val="nil"/>
              <w:bottom w:val="nil"/>
              <w:right w:val="nil"/>
            </w:tcBorders>
            <w:shd w:val="clear" w:color="auto" w:fill="FFFFFF"/>
            <w:vAlign w:val="center"/>
          </w:tcPr>
          <w:p w14:paraId="7DB2361D">
            <w:pPr>
              <w:jc w:val="center"/>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0.54 (0.30-0.97)</w:t>
            </w:r>
          </w:p>
        </w:tc>
        <w:tc>
          <w:tcPr>
            <w:tcW w:w="825" w:type="dxa"/>
            <w:tcBorders>
              <w:top w:val="nil"/>
              <w:left w:val="nil"/>
              <w:bottom w:val="nil"/>
              <w:right w:val="nil"/>
            </w:tcBorders>
            <w:shd w:val="clear" w:color="auto" w:fill="FFFFFF"/>
            <w:vAlign w:val="center"/>
          </w:tcPr>
          <w:p w14:paraId="4E63A140">
            <w:pPr>
              <w:jc w:val="center"/>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0.039</w:t>
            </w:r>
          </w:p>
        </w:tc>
        <w:tc>
          <w:tcPr>
            <w:tcW w:w="1424" w:type="dxa"/>
            <w:tcBorders>
              <w:top w:val="nil"/>
              <w:left w:val="nil"/>
              <w:bottom w:val="nil"/>
              <w:right w:val="nil"/>
            </w:tcBorders>
            <w:shd w:val="clear" w:color="auto" w:fill="FFFFFF"/>
            <w:vAlign w:val="center"/>
          </w:tcPr>
          <w:p w14:paraId="3AC92CD8">
            <w:pPr>
              <w:jc w:val="center"/>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0.51 (0.28-0.94)</w:t>
            </w:r>
          </w:p>
        </w:tc>
        <w:tc>
          <w:tcPr>
            <w:tcW w:w="825" w:type="dxa"/>
            <w:tcBorders>
              <w:top w:val="nil"/>
              <w:left w:val="nil"/>
              <w:bottom w:val="nil"/>
              <w:right w:val="nil"/>
            </w:tcBorders>
            <w:shd w:val="clear" w:color="auto" w:fill="FFFFFF"/>
            <w:vAlign w:val="center"/>
          </w:tcPr>
          <w:p w14:paraId="490BC320">
            <w:pPr>
              <w:jc w:val="center"/>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0.030</w:t>
            </w:r>
          </w:p>
        </w:tc>
        <w:tc>
          <w:tcPr>
            <w:tcW w:w="1424" w:type="dxa"/>
            <w:tcBorders>
              <w:top w:val="nil"/>
              <w:left w:val="nil"/>
              <w:bottom w:val="nil"/>
              <w:right w:val="nil"/>
            </w:tcBorders>
            <w:shd w:val="clear" w:color="auto" w:fill="FFFFFF"/>
            <w:vAlign w:val="center"/>
          </w:tcPr>
          <w:p w14:paraId="54448CA0">
            <w:pPr>
              <w:jc w:val="center"/>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0.53 (0.29-0.97)</w:t>
            </w:r>
          </w:p>
        </w:tc>
        <w:tc>
          <w:tcPr>
            <w:tcW w:w="825" w:type="dxa"/>
            <w:tcBorders>
              <w:top w:val="nil"/>
              <w:left w:val="nil"/>
              <w:bottom w:val="nil"/>
              <w:right w:val="nil"/>
            </w:tcBorders>
            <w:shd w:val="clear" w:color="auto" w:fill="FFFFFF"/>
            <w:vAlign w:val="center"/>
          </w:tcPr>
          <w:p w14:paraId="3F9BB2DF">
            <w:pPr>
              <w:jc w:val="center"/>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0.041</w:t>
            </w:r>
          </w:p>
        </w:tc>
      </w:tr>
      <w:tr w14:paraId="332A4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758" w:type="dxa"/>
            <w:tcBorders>
              <w:top w:val="nil"/>
              <w:left w:val="nil"/>
              <w:bottom w:val="single" w:color="000000" w:sz="12" w:space="0"/>
              <w:right w:val="nil"/>
            </w:tcBorders>
            <w:shd w:val="clear" w:color="auto" w:fill="FFFFFF"/>
            <w:vAlign w:val="center"/>
          </w:tcPr>
          <w:p w14:paraId="176AA814">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Q4(2.90-4.82 mmol/L)</w:t>
            </w:r>
          </w:p>
        </w:tc>
        <w:tc>
          <w:tcPr>
            <w:tcW w:w="1423" w:type="dxa"/>
            <w:tcBorders>
              <w:top w:val="nil"/>
              <w:left w:val="nil"/>
              <w:bottom w:val="single" w:color="000000" w:sz="12" w:space="0"/>
              <w:right w:val="nil"/>
            </w:tcBorders>
            <w:shd w:val="clear" w:color="auto" w:fill="FFFFFF"/>
            <w:vAlign w:val="center"/>
          </w:tcPr>
          <w:p w14:paraId="1ADB2B0C">
            <w:pPr>
              <w:jc w:val="center"/>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0.53 (0.29-0.95)</w:t>
            </w:r>
          </w:p>
        </w:tc>
        <w:tc>
          <w:tcPr>
            <w:tcW w:w="825" w:type="dxa"/>
            <w:tcBorders>
              <w:top w:val="nil"/>
              <w:left w:val="nil"/>
              <w:bottom w:val="single" w:color="000000" w:sz="12" w:space="0"/>
              <w:right w:val="nil"/>
            </w:tcBorders>
            <w:shd w:val="clear" w:color="auto" w:fill="FFFFFF"/>
            <w:vAlign w:val="center"/>
          </w:tcPr>
          <w:p w14:paraId="44E4D92B">
            <w:pPr>
              <w:jc w:val="center"/>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0.034</w:t>
            </w:r>
          </w:p>
        </w:tc>
        <w:tc>
          <w:tcPr>
            <w:tcW w:w="1424" w:type="dxa"/>
            <w:tcBorders>
              <w:top w:val="nil"/>
              <w:left w:val="nil"/>
              <w:bottom w:val="single" w:color="000000" w:sz="12" w:space="0"/>
              <w:right w:val="nil"/>
            </w:tcBorders>
            <w:shd w:val="clear" w:color="auto" w:fill="FFFFFF"/>
            <w:vAlign w:val="center"/>
          </w:tcPr>
          <w:p w14:paraId="64D94DBF">
            <w:pPr>
              <w:jc w:val="center"/>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0.52 (0.28-0.95)</w:t>
            </w:r>
          </w:p>
        </w:tc>
        <w:tc>
          <w:tcPr>
            <w:tcW w:w="825" w:type="dxa"/>
            <w:tcBorders>
              <w:top w:val="nil"/>
              <w:left w:val="nil"/>
              <w:bottom w:val="single" w:color="000000" w:sz="12" w:space="0"/>
              <w:right w:val="nil"/>
            </w:tcBorders>
            <w:shd w:val="clear" w:color="auto" w:fill="FFFFFF"/>
            <w:vAlign w:val="center"/>
          </w:tcPr>
          <w:p w14:paraId="626C9372">
            <w:pPr>
              <w:jc w:val="center"/>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0.033</w:t>
            </w:r>
          </w:p>
        </w:tc>
        <w:tc>
          <w:tcPr>
            <w:tcW w:w="1424" w:type="dxa"/>
            <w:tcBorders>
              <w:top w:val="nil"/>
              <w:left w:val="nil"/>
              <w:bottom w:val="single" w:color="000000" w:sz="12" w:space="0"/>
              <w:right w:val="nil"/>
            </w:tcBorders>
            <w:shd w:val="clear" w:color="auto" w:fill="FFFFFF"/>
            <w:vAlign w:val="center"/>
          </w:tcPr>
          <w:p w14:paraId="7CD29818">
            <w:pPr>
              <w:jc w:val="center"/>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0.50 (0.27-0.93)</w:t>
            </w:r>
          </w:p>
        </w:tc>
        <w:tc>
          <w:tcPr>
            <w:tcW w:w="825" w:type="dxa"/>
            <w:tcBorders>
              <w:top w:val="nil"/>
              <w:left w:val="nil"/>
              <w:bottom w:val="single" w:color="000000" w:sz="12" w:space="0"/>
              <w:right w:val="nil"/>
            </w:tcBorders>
            <w:shd w:val="clear" w:color="auto" w:fill="FFFFFF"/>
            <w:vAlign w:val="center"/>
          </w:tcPr>
          <w:p w14:paraId="4FA67863">
            <w:pPr>
              <w:jc w:val="center"/>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0.029</w:t>
            </w:r>
          </w:p>
        </w:tc>
      </w:tr>
    </w:tbl>
    <w:p w14:paraId="735C5429">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LDL-C was categorized into quartiles according to its distribution in the study population, and the second quartile (Q2) was used as the reference group. The outcome variable was the presence of LVAs identified by three-dimensional electroanatomical mapping during catheter ablation. The reference category was used for model parameterization only and should not be interpreted as indicating a biologically or clinically preferred LDL-C range.</w:t>
      </w:r>
    </w:p>
    <w:p w14:paraId="133AA311">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Model 1b: Adjusted for age and sex.</w:t>
      </w:r>
      <w:r>
        <w:rPr>
          <w:rFonts w:hint="default" w:ascii="Times New Roman" w:hAnsi="Times New Roman" w:eastAsia="宋体" w:cs="Times New Roman"/>
          <w:kern w:val="2"/>
          <w:sz w:val="24"/>
          <w:szCs w:val="24"/>
          <w:highlight w:val="none"/>
          <w:lang w:val="en-US" w:eastAsia="zh-CN" w:bidi="ar"/>
        </w:rPr>
        <w:br w:type="textWrapping"/>
      </w:r>
      <w:r>
        <w:rPr>
          <w:rFonts w:hint="default" w:ascii="Times New Roman" w:hAnsi="Times New Roman" w:eastAsia="宋体" w:cs="Times New Roman"/>
          <w:kern w:val="2"/>
          <w:sz w:val="24"/>
          <w:szCs w:val="24"/>
          <w:highlight w:val="none"/>
          <w:lang w:val="en-US" w:eastAsia="zh-CN" w:bidi="ar"/>
        </w:rPr>
        <w:t>Model 2b: Adjusted for age, sex, BMI, T3, hypertension, coronary artery disease, heart failure, diabetes, stroke, and COPD.</w:t>
      </w:r>
      <w:r>
        <w:rPr>
          <w:rFonts w:hint="default" w:ascii="Times New Roman" w:hAnsi="Times New Roman" w:eastAsia="宋体" w:cs="Times New Roman"/>
          <w:kern w:val="2"/>
          <w:sz w:val="24"/>
          <w:szCs w:val="24"/>
          <w:highlight w:val="none"/>
          <w:lang w:val="en-US" w:eastAsia="zh-CN" w:bidi="ar"/>
        </w:rPr>
        <w:br w:type="textWrapping"/>
      </w:r>
      <w:r>
        <w:rPr>
          <w:rFonts w:hint="default" w:ascii="Times New Roman" w:hAnsi="Times New Roman" w:eastAsia="宋体" w:cs="Times New Roman"/>
          <w:kern w:val="2"/>
          <w:sz w:val="24"/>
          <w:szCs w:val="24"/>
          <w:highlight w:val="none"/>
          <w:lang w:val="en-US" w:eastAsia="zh-CN" w:bidi="ar"/>
        </w:rPr>
        <w:t>Model 3b: Adjusted for age, sex, BMI, T3, hypertension, coronary artery disease, heart failure, diabetes, stroke, COPD, hyperlipidemia, triglycerides, HDL-C, and statin use.</w:t>
      </w:r>
    </w:p>
    <w:p w14:paraId="1FBE064E">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b/>
          <w:bCs/>
          <w:kern w:val="2"/>
          <w:sz w:val="24"/>
          <w:szCs w:val="24"/>
          <w:highlight w:val="none"/>
          <w:lang w:val="en-US" w:eastAsia="zh-CN" w:bidi="ar"/>
        </w:rPr>
        <w:t>Abbreviations:</w:t>
      </w:r>
      <w:r>
        <w:rPr>
          <w:rFonts w:hint="default" w:ascii="Times New Roman" w:hAnsi="Times New Roman" w:eastAsia="宋体" w:cs="Times New Roman"/>
          <w:kern w:val="2"/>
          <w:sz w:val="24"/>
          <w:szCs w:val="24"/>
          <w:highlight w:val="none"/>
          <w:lang w:val="en-US" w:eastAsia="zh-CN" w:bidi="ar"/>
        </w:rPr>
        <w:t xml:space="preserve"> LDL-C, low-density lipoprotein cholesterol; LVAs, left atrial low-voltage areas; OR, odds ratio; CI, confidence interval; BMI, body mass index; T3, triiodothyronine; COPD, chronic obstructive pulmonary disease; HDL-C, high-density lipoprotein cholesterol.</w:t>
      </w:r>
      <w:r>
        <w:rPr>
          <w:rFonts w:hint="default" w:ascii="Times New Roman" w:hAnsi="Times New Roman" w:eastAsia="宋体" w:cs="Times New Roman"/>
          <w:kern w:val="2"/>
          <w:sz w:val="24"/>
          <w:szCs w:val="24"/>
          <w:highlight w:val="none"/>
          <w:lang w:val="en-US" w:eastAsia="zh-CN" w:bidi="ar"/>
        </w:rPr>
        <w:br w:type="textWrapping"/>
      </w:r>
    </w:p>
    <w:p w14:paraId="65FEC550">
      <w:pPr>
        <w:keepNext w:val="0"/>
        <w:keepLines w:val="0"/>
        <w:widowControl/>
        <w:suppressLineNumbers w:val="0"/>
        <w:jc w:val="left"/>
        <w:rPr>
          <w:rFonts w:hint="default" w:ascii="Times New Roman" w:hAnsi="Times New Roman" w:eastAsia="宋体" w:cs="Times New Roman"/>
          <w:kern w:val="2"/>
          <w:sz w:val="24"/>
          <w:szCs w:val="24"/>
          <w:highlight w:val="none"/>
          <w:lang w:val="en-US" w:eastAsia="zh-CN" w:bidi="ar"/>
        </w:rPr>
      </w:pPr>
    </w:p>
    <w:p w14:paraId="3B0DDE9A">
      <w:pPr>
        <w:spacing w:before="80" w:after="0" w:line="240" w:lineRule="auto"/>
        <w:rPr>
          <w:rFonts w:hint="default" w:ascii="Times New Roman" w:hAnsi="Times New Roman" w:eastAsia="Times New Roman" w:cs="Times New Roman"/>
          <w:sz w:val="24"/>
          <w:szCs w:val="24"/>
          <w:highlight w:val="none"/>
        </w:rPr>
        <w:sectPr>
          <w:footerReference r:id="rId3" w:type="default"/>
          <w:pgSz w:w="11906" w:h="16838"/>
          <w:pgMar w:top="1440" w:right="1800" w:bottom="1440" w:left="1800" w:header="851" w:footer="992" w:gutter="0"/>
          <w:lnNumType w:countBy="1" w:restart="continuous"/>
          <w:cols w:space="425" w:num="1"/>
          <w:docGrid w:type="lines" w:linePitch="312" w:charSpace="0"/>
          <mc:AlternateContent>
            <mc:Choice Requires="wpsCustomData">
              <wpsCustomData:blankLineNoLineNum/>
            </mc:Choice>
          </mc:AlternateContent>
        </w:sectPr>
      </w:pPr>
    </w:p>
    <w:p w14:paraId="5F5EB6B5">
      <w:pPr>
        <w:spacing w:line="480" w:lineRule="auto"/>
        <w:rPr>
          <w:rFonts w:hint="default" w:ascii="Times New Roman" w:hAnsi="Times New Roman" w:cs="Times New Roman"/>
          <w:b w:val="0"/>
          <w:bCs w:val="0"/>
          <w:kern w:val="0"/>
          <w:sz w:val="24"/>
          <w:szCs w:val="24"/>
          <w:highlight w:val="none"/>
          <w:lang w:val="en-US" w:eastAsia="zh-CN" w:bidi="ar"/>
        </w:rPr>
      </w:pPr>
      <w:r>
        <w:rPr>
          <w:rFonts w:hint="default" w:ascii="Times New Roman" w:hAnsi="Times New Roman" w:cs="Times New Roman" w:eastAsiaTheme="minorEastAsia"/>
          <w:b/>
          <w:bCs/>
          <w:kern w:val="0"/>
          <w:sz w:val="24"/>
          <w:szCs w:val="24"/>
          <w:highlight w:val="none"/>
          <w:lang w:val="en-US" w:eastAsia="zh-CN" w:bidi="ar"/>
        </w:rPr>
        <w:t>Supplementary Table S7.</w:t>
      </w:r>
      <w:r>
        <w:rPr>
          <w:rFonts w:hint="default" w:ascii="Times New Roman" w:hAnsi="Times New Roman" w:cs="Times New Roman" w:eastAsiaTheme="minorEastAsia"/>
          <w:b w:val="0"/>
          <w:bCs w:val="0"/>
          <w:kern w:val="0"/>
          <w:sz w:val="24"/>
          <w:szCs w:val="24"/>
          <w:highlight w:val="none"/>
          <w:lang w:val="en-US" w:eastAsia="zh-CN" w:bidi="ar"/>
        </w:rPr>
        <w:t xml:space="preserve"> Incrementally adjusted Cox regression analyses of LDL-C quartiles and postablation recurrence</w:t>
      </w:r>
      <w:r>
        <w:rPr>
          <w:rFonts w:hint="default" w:ascii="Times New Roman" w:hAnsi="Times New Roman" w:cs="Times New Roman"/>
          <w:b w:val="0"/>
          <w:bCs w:val="0"/>
          <w:kern w:val="0"/>
          <w:sz w:val="24"/>
          <w:szCs w:val="24"/>
          <w:highlight w:val="none"/>
          <w:lang w:val="en-US" w:eastAsia="zh-CN" w:bidi="ar"/>
        </w:rPr>
        <w:t>.</w:t>
      </w:r>
    </w:p>
    <w:tbl>
      <w:tblPr>
        <w:tblStyle w:val="8"/>
        <w:tblW w:w="147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autofit"/>
        <w:tblCellMar>
          <w:top w:w="0" w:type="dxa"/>
          <w:left w:w="108" w:type="dxa"/>
          <w:bottom w:w="0" w:type="dxa"/>
          <w:right w:w="108" w:type="dxa"/>
        </w:tblCellMar>
      </w:tblPr>
      <w:tblGrid>
        <w:gridCol w:w="1483"/>
        <w:gridCol w:w="1336"/>
        <w:gridCol w:w="876"/>
        <w:gridCol w:w="1336"/>
        <w:gridCol w:w="876"/>
        <w:gridCol w:w="1336"/>
        <w:gridCol w:w="876"/>
        <w:gridCol w:w="1336"/>
        <w:gridCol w:w="877"/>
        <w:gridCol w:w="1336"/>
        <w:gridCol w:w="877"/>
        <w:gridCol w:w="1336"/>
        <w:gridCol w:w="877"/>
      </w:tblGrid>
      <w:tr w14:paraId="59AA0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0" w:hRule="atLeast"/>
          <w:tblHeader/>
          <w:jc w:val="center"/>
        </w:trPr>
        <w:tc>
          <w:tcPr>
            <w:tcW w:w="1438" w:type="dxa"/>
            <w:tcBorders>
              <w:top w:val="single" w:color="000000" w:sz="8" w:space="0"/>
            </w:tcBorders>
            <w:shd w:val="clear" w:color="auto" w:fill="FFFFFF" w:themeFill="background1"/>
            <w:vAlign w:val="center"/>
          </w:tcPr>
          <w:p w14:paraId="3F0CFEDC">
            <w:pPr>
              <w:snapToGrid w:val="0"/>
              <w:ind w:left="0" w:leftChars="0" w:right="0" w:rightChars="0" w:firstLine="0" w:firstLineChars="0"/>
              <w:jc w:val="center"/>
              <w:rPr>
                <w:rFonts w:hint="default" w:ascii="Times New Roman" w:hAnsi="Times New Roman" w:eastAsia="黑体" w:cs="Times New Roman"/>
                <w:b/>
                <w:sz w:val="24"/>
                <w:szCs w:val="24"/>
                <w:highlight w:val="none"/>
              </w:rPr>
            </w:pPr>
            <w:r>
              <w:rPr>
                <w:rFonts w:hint="default" w:ascii="Times New Roman" w:hAnsi="Times New Roman" w:eastAsia="黑体" w:cs="Times New Roman"/>
                <w:b/>
                <w:sz w:val="24"/>
                <w:szCs w:val="24"/>
                <w:highlight w:val="none"/>
              </w:rPr>
              <w:t>LDL-C quartile</w:t>
            </w:r>
          </w:p>
        </w:tc>
        <w:tc>
          <w:tcPr>
            <w:tcW w:w="893" w:type="dxa"/>
            <w:gridSpan w:val="2"/>
            <w:tcBorders>
              <w:top w:val="single" w:color="000000" w:sz="8" w:space="0"/>
              <w:bottom w:val="single" w:color="auto" w:sz="4" w:space="0"/>
            </w:tcBorders>
            <w:shd w:val="clear" w:color="auto" w:fill="FFFFFF" w:themeFill="background1"/>
            <w:vAlign w:val="center"/>
          </w:tcPr>
          <w:p w14:paraId="7F58AFCE">
            <w:pPr>
              <w:snapToGrid w:val="0"/>
              <w:ind w:left="0" w:leftChars="0" w:right="0" w:rightChars="0" w:firstLine="0" w:firstLineChars="0"/>
              <w:jc w:val="center"/>
              <w:rPr>
                <w:rFonts w:hint="default" w:ascii="Times New Roman" w:hAnsi="Times New Roman" w:eastAsia="黑体" w:cs="Times New Roman"/>
                <w:b/>
                <w:sz w:val="24"/>
                <w:szCs w:val="24"/>
                <w:highlight w:val="none"/>
              </w:rPr>
            </w:pPr>
            <w:r>
              <w:rPr>
                <w:rFonts w:hint="default" w:ascii="Times New Roman" w:hAnsi="Times New Roman" w:eastAsia="黑体" w:cs="Times New Roman"/>
                <w:b/>
                <w:sz w:val="24"/>
                <w:szCs w:val="24"/>
                <w:highlight w:val="none"/>
              </w:rPr>
              <w:t>Model 1</w:t>
            </w:r>
          </w:p>
        </w:tc>
        <w:tc>
          <w:tcPr>
            <w:tcW w:w="893" w:type="dxa"/>
            <w:gridSpan w:val="2"/>
            <w:tcBorders>
              <w:top w:val="single" w:color="000000" w:sz="8" w:space="0"/>
              <w:bottom w:val="single" w:color="auto" w:sz="4" w:space="0"/>
            </w:tcBorders>
            <w:shd w:val="clear" w:color="auto" w:fill="FFFFFF" w:themeFill="background1"/>
            <w:vAlign w:val="center"/>
          </w:tcPr>
          <w:p w14:paraId="1BB67FCC">
            <w:pPr>
              <w:snapToGrid w:val="0"/>
              <w:ind w:left="0" w:leftChars="0" w:right="0" w:rightChars="0" w:firstLine="0" w:firstLineChars="0"/>
              <w:jc w:val="center"/>
              <w:rPr>
                <w:rFonts w:hint="default" w:ascii="Times New Roman" w:hAnsi="Times New Roman" w:eastAsia="黑体" w:cs="Times New Roman"/>
                <w:b/>
                <w:sz w:val="24"/>
                <w:szCs w:val="24"/>
                <w:highlight w:val="none"/>
              </w:rPr>
            </w:pPr>
            <w:r>
              <w:rPr>
                <w:rFonts w:hint="default" w:ascii="Times New Roman" w:hAnsi="Times New Roman" w:eastAsia="黑体" w:cs="Times New Roman"/>
                <w:b/>
                <w:sz w:val="24"/>
                <w:szCs w:val="24"/>
                <w:highlight w:val="none"/>
              </w:rPr>
              <w:t>Model 2</w:t>
            </w:r>
          </w:p>
        </w:tc>
        <w:tc>
          <w:tcPr>
            <w:tcW w:w="893" w:type="dxa"/>
            <w:gridSpan w:val="2"/>
            <w:tcBorders>
              <w:top w:val="single" w:color="000000" w:sz="8" w:space="0"/>
              <w:bottom w:val="single" w:color="auto" w:sz="4" w:space="0"/>
            </w:tcBorders>
            <w:shd w:val="clear" w:color="auto" w:fill="FFFFFF" w:themeFill="background1"/>
            <w:vAlign w:val="center"/>
          </w:tcPr>
          <w:p w14:paraId="79636925">
            <w:pPr>
              <w:snapToGrid w:val="0"/>
              <w:ind w:left="0" w:leftChars="0" w:right="0" w:rightChars="0" w:firstLine="0" w:firstLineChars="0"/>
              <w:jc w:val="center"/>
              <w:rPr>
                <w:rFonts w:hint="default" w:ascii="Times New Roman" w:hAnsi="Times New Roman" w:eastAsia="黑体" w:cs="Times New Roman"/>
                <w:b/>
                <w:sz w:val="24"/>
                <w:szCs w:val="24"/>
                <w:highlight w:val="none"/>
              </w:rPr>
            </w:pPr>
            <w:r>
              <w:rPr>
                <w:rFonts w:hint="default" w:ascii="Times New Roman" w:hAnsi="Times New Roman" w:eastAsia="黑体" w:cs="Times New Roman"/>
                <w:b/>
                <w:sz w:val="24"/>
                <w:szCs w:val="24"/>
                <w:highlight w:val="none"/>
              </w:rPr>
              <w:t>Model 3</w:t>
            </w:r>
          </w:p>
        </w:tc>
        <w:tc>
          <w:tcPr>
            <w:tcW w:w="893" w:type="dxa"/>
            <w:gridSpan w:val="2"/>
            <w:tcBorders>
              <w:top w:val="single" w:color="000000" w:sz="8" w:space="0"/>
              <w:bottom w:val="single" w:color="auto" w:sz="4" w:space="0"/>
            </w:tcBorders>
            <w:shd w:val="clear" w:color="auto" w:fill="FFFFFF" w:themeFill="background1"/>
            <w:vAlign w:val="center"/>
          </w:tcPr>
          <w:p w14:paraId="3FDC9B84">
            <w:pPr>
              <w:snapToGrid w:val="0"/>
              <w:ind w:left="0" w:leftChars="0" w:right="0" w:rightChars="0" w:firstLine="0" w:firstLineChars="0"/>
              <w:jc w:val="center"/>
              <w:rPr>
                <w:rFonts w:hint="default" w:ascii="Times New Roman" w:hAnsi="Times New Roman" w:eastAsia="黑体" w:cs="Times New Roman"/>
                <w:b/>
                <w:sz w:val="24"/>
                <w:szCs w:val="24"/>
                <w:highlight w:val="none"/>
              </w:rPr>
            </w:pPr>
            <w:r>
              <w:rPr>
                <w:rFonts w:hint="default" w:ascii="Times New Roman" w:hAnsi="Times New Roman" w:eastAsia="黑体" w:cs="Times New Roman"/>
                <w:b/>
                <w:sz w:val="24"/>
                <w:szCs w:val="24"/>
                <w:highlight w:val="none"/>
              </w:rPr>
              <w:t>Model 4</w:t>
            </w:r>
          </w:p>
        </w:tc>
        <w:tc>
          <w:tcPr>
            <w:tcW w:w="893" w:type="dxa"/>
            <w:gridSpan w:val="2"/>
            <w:tcBorders>
              <w:top w:val="single" w:color="000000" w:sz="8" w:space="0"/>
              <w:bottom w:val="single" w:color="auto" w:sz="4" w:space="0"/>
            </w:tcBorders>
            <w:shd w:val="clear" w:color="auto" w:fill="FFFFFF" w:themeFill="background1"/>
            <w:vAlign w:val="center"/>
          </w:tcPr>
          <w:p w14:paraId="2762F28D">
            <w:pPr>
              <w:snapToGrid w:val="0"/>
              <w:ind w:left="0" w:leftChars="0" w:right="0" w:rightChars="0" w:firstLine="0" w:firstLineChars="0"/>
              <w:jc w:val="center"/>
              <w:rPr>
                <w:rFonts w:hint="default" w:ascii="Times New Roman" w:hAnsi="Times New Roman" w:eastAsia="黑体" w:cs="Times New Roman"/>
                <w:b/>
                <w:sz w:val="24"/>
                <w:szCs w:val="24"/>
                <w:highlight w:val="none"/>
              </w:rPr>
            </w:pPr>
            <w:r>
              <w:rPr>
                <w:rFonts w:hint="default" w:ascii="Times New Roman" w:hAnsi="Times New Roman" w:eastAsia="黑体" w:cs="Times New Roman"/>
                <w:b/>
                <w:sz w:val="24"/>
                <w:szCs w:val="24"/>
                <w:highlight w:val="none"/>
              </w:rPr>
              <w:t>Model 5</w:t>
            </w:r>
          </w:p>
        </w:tc>
        <w:tc>
          <w:tcPr>
            <w:tcW w:w="893" w:type="dxa"/>
            <w:gridSpan w:val="2"/>
            <w:tcBorders>
              <w:top w:val="single" w:color="000000" w:sz="8" w:space="0"/>
              <w:bottom w:val="single" w:color="auto" w:sz="4" w:space="0"/>
            </w:tcBorders>
            <w:shd w:val="clear" w:color="auto" w:fill="FFFFFF" w:themeFill="background1"/>
            <w:vAlign w:val="center"/>
          </w:tcPr>
          <w:p w14:paraId="3242ABAD">
            <w:pPr>
              <w:snapToGrid w:val="0"/>
              <w:ind w:left="0" w:leftChars="0" w:right="0" w:rightChars="0" w:firstLine="0" w:firstLineChars="0"/>
              <w:jc w:val="center"/>
              <w:rPr>
                <w:rFonts w:hint="default" w:ascii="Times New Roman" w:hAnsi="Times New Roman" w:eastAsia="黑体" w:cs="Times New Roman"/>
                <w:b/>
                <w:sz w:val="24"/>
                <w:szCs w:val="24"/>
                <w:highlight w:val="none"/>
              </w:rPr>
            </w:pPr>
            <w:r>
              <w:rPr>
                <w:rFonts w:hint="default" w:ascii="Times New Roman" w:hAnsi="Times New Roman" w:eastAsia="黑体" w:cs="Times New Roman"/>
                <w:b/>
                <w:sz w:val="24"/>
                <w:szCs w:val="24"/>
                <w:highlight w:val="none"/>
              </w:rPr>
              <w:t>Model 6</w:t>
            </w:r>
          </w:p>
        </w:tc>
      </w:tr>
      <w:tr w14:paraId="3521C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438" w:type="dxa"/>
            <w:tcBorders>
              <w:bottom w:val="single" w:color="000000" w:sz="8" w:space="0"/>
            </w:tcBorders>
            <w:shd w:val="clear" w:color="auto" w:fill="FFFFFF" w:themeFill="background1"/>
            <w:vAlign w:val="center"/>
          </w:tcPr>
          <w:p w14:paraId="3B60C600">
            <w:pPr>
              <w:snapToGrid w:val="0"/>
              <w:ind w:left="0" w:leftChars="0" w:right="0" w:rightChars="0" w:firstLine="0" w:firstLineChars="0"/>
              <w:jc w:val="center"/>
              <w:rPr>
                <w:rFonts w:hint="default" w:ascii="Times New Roman" w:hAnsi="Times New Roman" w:eastAsia="黑体" w:cs="Times New Roman"/>
                <w:b/>
                <w:sz w:val="24"/>
                <w:szCs w:val="24"/>
                <w:highlight w:val="none"/>
              </w:rPr>
            </w:pPr>
            <w:r>
              <w:rPr>
                <w:rFonts w:hint="default" w:ascii="Times New Roman" w:hAnsi="Times New Roman" w:eastAsia="黑体" w:cs="Times New Roman"/>
                <w:b/>
                <w:sz w:val="24"/>
                <w:szCs w:val="24"/>
                <w:highlight w:val="none"/>
              </w:rPr>
              <w:t>Comparison</w:t>
            </w:r>
          </w:p>
        </w:tc>
        <w:tc>
          <w:tcPr>
            <w:tcW w:w="1327" w:type="dxa"/>
            <w:tcBorders>
              <w:top w:val="single" w:color="auto" w:sz="4" w:space="0"/>
              <w:bottom w:val="single" w:color="000000" w:sz="8" w:space="0"/>
            </w:tcBorders>
            <w:shd w:val="clear" w:color="auto" w:fill="FFFFFF" w:themeFill="background1"/>
            <w:vAlign w:val="center"/>
          </w:tcPr>
          <w:p w14:paraId="017E19F0">
            <w:pPr>
              <w:snapToGrid w:val="0"/>
              <w:ind w:left="0" w:leftChars="0" w:right="0" w:rightChars="0" w:firstLine="0" w:firstLineChars="0"/>
              <w:jc w:val="center"/>
              <w:rPr>
                <w:rFonts w:hint="default" w:ascii="Times New Roman" w:hAnsi="Times New Roman" w:eastAsia="黑体" w:cs="Times New Roman"/>
                <w:b/>
                <w:sz w:val="24"/>
                <w:szCs w:val="24"/>
                <w:highlight w:val="none"/>
              </w:rPr>
            </w:pPr>
            <w:r>
              <w:rPr>
                <w:rFonts w:hint="default" w:ascii="Times New Roman" w:hAnsi="Times New Roman" w:eastAsia="黑体" w:cs="Times New Roman"/>
                <w:b/>
                <w:sz w:val="24"/>
                <w:szCs w:val="24"/>
                <w:highlight w:val="none"/>
              </w:rPr>
              <w:t>HR (95%</w:t>
            </w:r>
            <w:r>
              <w:rPr>
                <w:rFonts w:hint="default" w:ascii="Times New Roman" w:hAnsi="Times New Roman" w:eastAsia="黑体" w:cs="Times New Roman"/>
                <w:b/>
                <w:sz w:val="24"/>
                <w:szCs w:val="24"/>
                <w:highlight w:val="none"/>
                <w:lang w:val="en-US" w:eastAsia="zh-CN"/>
              </w:rPr>
              <w:t xml:space="preserve"> </w:t>
            </w:r>
            <w:r>
              <w:rPr>
                <w:rFonts w:hint="default" w:ascii="Times New Roman" w:hAnsi="Times New Roman" w:eastAsia="黑体" w:cs="Times New Roman"/>
                <w:b/>
                <w:sz w:val="24"/>
                <w:szCs w:val="24"/>
                <w:highlight w:val="none"/>
              </w:rPr>
              <w:t>CI)</w:t>
            </w:r>
          </w:p>
        </w:tc>
        <w:tc>
          <w:tcPr>
            <w:tcW w:w="893" w:type="dxa"/>
            <w:tcBorders>
              <w:top w:val="single" w:color="auto" w:sz="4" w:space="0"/>
              <w:bottom w:val="single" w:color="000000" w:sz="8" w:space="0"/>
            </w:tcBorders>
            <w:shd w:val="clear" w:color="auto" w:fill="FFFFFF" w:themeFill="background1"/>
            <w:vAlign w:val="center"/>
          </w:tcPr>
          <w:p w14:paraId="08B018CD">
            <w:pPr>
              <w:snapToGrid w:val="0"/>
              <w:ind w:left="0" w:leftChars="0" w:right="0" w:rightChars="0" w:firstLine="0" w:firstLineChars="0"/>
              <w:jc w:val="center"/>
              <w:rPr>
                <w:rFonts w:hint="default" w:ascii="Times New Roman" w:hAnsi="Times New Roman" w:eastAsia="黑体" w:cs="Times New Roman"/>
                <w:b/>
                <w:sz w:val="24"/>
                <w:szCs w:val="24"/>
                <w:highlight w:val="none"/>
              </w:rPr>
            </w:pPr>
            <w:r>
              <w:rPr>
                <w:rFonts w:hint="default" w:ascii="Times New Roman" w:hAnsi="Times New Roman" w:eastAsia="黑体" w:cs="Times New Roman"/>
                <w:b/>
                <w:i/>
                <w:iCs/>
                <w:sz w:val="24"/>
                <w:szCs w:val="24"/>
                <w:highlight w:val="none"/>
              </w:rPr>
              <w:t>P</w:t>
            </w:r>
            <w:r>
              <w:rPr>
                <w:rFonts w:hint="default" w:ascii="Times New Roman" w:hAnsi="Times New Roman" w:eastAsia="黑体" w:cs="Times New Roman"/>
                <w:b/>
                <w:sz w:val="24"/>
                <w:szCs w:val="24"/>
                <w:highlight w:val="none"/>
              </w:rPr>
              <w:t xml:space="preserve"> </w:t>
            </w:r>
            <w:r>
              <w:rPr>
                <w:rFonts w:hint="default" w:ascii="Times New Roman" w:hAnsi="Times New Roman" w:eastAsia="黑体" w:cs="Times New Roman"/>
                <w:b/>
                <w:sz w:val="24"/>
                <w:szCs w:val="24"/>
                <w:highlight w:val="none"/>
                <w:lang w:val="en-US" w:eastAsia="zh-CN"/>
              </w:rPr>
              <w:t>v</w:t>
            </w:r>
            <w:r>
              <w:rPr>
                <w:rFonts w:hint="default" w:ascii="Times New Roman" w:hAnsi="Times New Roman" w:eastAsia="黑体" w:cs="Times New Roman"/>
                <w:b/>
                <w:sz w:val="24"/>
                <w:szCs w:val="24"/>
                <w:highlight w:val="none"/>
              </w:rPr>
              <w:t>alue</w:t>
            </w:r>
          </w:p>
        </w:tc>
        <w:tc>
          <w:tcPr>
            <w:tcW w:w="1327" w:type="dxa"/>
            <w:tcBorders>
              <w:top w:val="single" w:color="auto" w:sz="4" w:space="0"/>
              <w:bottom w:val="single" w:color="000000" w:sz="8" w:space="0"/>
            </w:tcBorders>
            <w:shd w:val="clear" w:color="auto" w:fill="FFFFFF" w:themeFill="background1"/>
            <w:vAlign w:val="center"/>
          </w:tcPr>
          <w:p w14:paraId="572C7DF5">
            <w:pPr>
              <w:snapToGrid w:val="0"/>
              <w:ind w:left="0" w:leftChars="0" w:right="0" w:rightChars="0" w:firstLine="0" w:firstLineChars="0"/>
              <w:jc w:val="center"/>
              <w:rPr>
                <w:rFonts w:hint="default" w:ascii="Times New Roman" w:hAnsi="Times New Roman" w:eastAsia="黑体" w:cs="Times New Roman"/>
                <w:b/>
                <w:sz w:val="24"/>
                <w:szCs w:val="24"/>
                <w:highlight w:val="none"/>
              </w:rPr>
            </w:pPr>
            <w:r>
              <w:rPr>
                <w:rFonts w:hint="default" w:ascii="Times New Roman" w:hAnsi="Times New Roman" w:eastAsia="黑体" w:cs="Times New Roman"/>
                <w:b/>
                <w:sz w:val="24"/>
                <w:szCs w:val="24"/>
                <w:highlight w:val="none"/>
              </w:rPr>
              <w:t>HR (95% CI)</w:t>
            </w:r>
          </w:p>
        </w:tc>
        <w:tc>
          <w:tcPr>
            <w:tcW w:w="893" w:type="dxa"/>
            <w:tcBorders>
              <w:top w:val="single" w:color="auto" w:sz="4" w:space="0"/>
              <w:bottom w:val="single" w:color="000000" w:sz="8" w:space="0"/>
            </w:tcBorders>
            <w:shd w:val="clear" w:color="auto" w:fill="FFFFFF" w:themeFill="background1"/>
            <w:vAlign w:val="center"/>
          </w:tcPr>
          <w:p w14:paraId="4B78F38D">
            <w:pPr>
              <w:snapToGrid w:val="0"/>
              <w:ind w:left="0" w:leftChars="0" w:right="0" w:rightChars="0" w:firstLine="0" w:firstLineChars="0"/>
              <w:jc w:val="center"/>
              <w:rPr>
                <w:rFonts w:hint="default" w:ascii="Times New Roman" w:hAnsi="Times New Roman" w:eastAsia="黑体" w:cs="Times New Roman"/>
                <w:b/>
                <w:sz w:val="24"/>
                <w:szCs w:val="24"/>
                <w:highlight w:val="none"/>
              </w:rPr>
            </w:pPr>
            <w:r>
              <w:rPr>
                <w:rFonts w:hint="default" w:ascii="Times New Roman" w:hAnsi="Times New Roman" w:eastAsia="黑体" w:cs="Times New Roman"/>
                <w:b/>
                <w:i/>
                <w:iCs/>
                <w:sz w:val="24"/>
                <w:szCs w:val="24"/>
                <w:highlight w:val="none"/>
              </w:rPr>
              <w:t>P</w:t>
            </w:r>
            <w:r>
              <w:rPr>
                <w:rFonts w:hint="default" w:ascii="Times New Roman" w:hAnsi="Times New Roman" w:eastAsia="黑体" w:cs="Times New Roman"/>
                <w:b/>
                <w:sz w:val="24"/>
                <w:szCs w:val="24"/>
                <w:highlight w:val="none"/>
              </w:rPr>
              <w:t xml:space="preserve"> </w:t>
            </w:r>
            <w:r>
              <w:rPr>
                <w:rFonts w:hint="default" w:ascii="Times New Roman" w:hAnsi="Times New Roman" w:eastAsia="黑体" w:cs="Times New Roman"/>
                <w:b/>
                <w:sz w:val="24"/>
                <w:szCs w:val="24"/>
                <w:highlight w:val="none"/>
                <w:lang w:val="en-US" w:eastAsia="zh-CN"/>
              </w:rPr>
              <w:t>v</w:t>
            </w:r>
            <w:r>
              <w:rPr>
                <w:rFonts w:hint="default" w:ascii="Times New Roman" w:hAnsi="Times New Roman" w:eastAsia="黑体" w:cs="Times New Roman"/>
                <w:b/>
                <w:sz w:val="24"/>
                <w:szCs w:val="24"/>
                <w:highlight w:val="none"/>
              </w:rPr>
              <w:t>alue</w:t>
            </w:r>
          </w:p>
        </w:tc>
        <w:tc>
          <w:tcPr>
            <w:tcW w:w="1327" w:type="dxa"/>
            <w:tcBorders>
              <w:top w:val="single" w:color="auto" w:sz="4" w:space="0"/>
              <w:bottom w:val="single" w:color="000000" w:sz="8" w:space="0"/>
            </w:tcBorders>
            <w:shd w:val="clear" w:color="auto" w:fill="FFFFFF" w:themeFill="background1"/>
            <w:vAlign w:val="center"/>
          </w:tcPr>
          <w:p w14:paraId="2009B67A">
            <w:pPr>
              <w:snapToGrid w:val="0"/>
              <w:ind w:left="0" w:leftChars="0" w:right="0" w:rightChars="0" w:firstLine="0" w:firstLineChars="0"/>
              <w:jc w:val="center"/>
              <w:rPr>
                <w:rFonts w:hint="default" w:ascii="Times New Roman" w:hAnsi="Times New Roman" w:eastAsia="黑体" w:cs="Times New Roman"/>
                <w:b/>
                <w:sz w:val="24"/>
                <w:szCs w:val="24"/>
                <w:highlight w:val="none"/>
              </w:rPr>
            </w:pPr>
            <w:r>
              <w:rPr>
                <w:rFonts w:hint="default" w:ascii="Times New Roman" w:hAnsi="Times New Roman" w:eastAsia="黑体" w:cs="Times New Roman"/>
                <w:b/>
                <w:sz w:val="24"/>
                <w:szCs w:val="24"/>
                <w:highlight w:val="none"/>
              </w:rPr>
              <w:t>HR (95% CI)</w:t>
            </w:r>
          </w:p>
        </w:tc>
        <w:tc>
          <w:tcPr>
            <w:tcW w:w="893" w:type="dxa"/>
            <w:tcBorders>
              <w:top w:val="single" w:color="auto" w:sz="4" w:space="0"/>
              <w:bottom w:val="single" w:color="000000" w:sz="8" w:space="0"/>
            </w:tcBorders>
            <w:shd w:val="clear" w:color="auto" w:fill="FFFFFF" w:themeFill="background1"/>
            <w:vAlign w:val="center"/>
          </w:tcPr>
          <w:p w14:paraId="07AB0FA9">
            <w:pPr>
              <w:snapToGrid w:val="0"/>
              <w:ind w:left="0" w:leftChars="0" w:right="0" w:rightChars="0" w:firstLine="0" w:firstLineChars="0"/>
              <w:jc w:val="center"/>
              <w:rPr>
                <w:rFonts w:hint="default" w:ascii="Times New Roman" w:hAnsi="Times New Roman" w:eastAsia="黑体" w:cs="Times New Roman"/>
                <w:b/>
                <w:sz w:val="24"/>
                <w:szCs w:val="24"/>
                <w:highlight w:val="none"/>
              </w:rPr>
            </w:pPr>
            <w:r>
              <w:rPr>
                <w:rFonts w:hint="default" w:ascii="Times New Roman" w:hAnsi="Times New Roman" w:eastAsia="黑体" w:cs="Times New Roman"/>
                <w:b/>
                <w:i/>
                <w:iCs/>
                <w:sz w:val="24"/>
                <w:szCs w:val="24"/>
                <w:highlight w:val="none"/>
              </w:rPr>
              <w:t>P</w:t>
            </w:r>
            <w:r>
              <w:rPr>
                <w:rFonts w:hint="default" w:ascii="Times New Roman" w:hAnsi="Times New Roman" w:eastAsia="黑体" w:cs="Times New Roman"/>
                <w:b/>
                <w:sz w:val="24"/>
                <w:szCs w:val="24"/>
                <w:highlight w:val="none"/>
              </w:rPr>
              <w:t xml:space="preserve"> </w:t>
            </w:r>
            <w:r>
              <w:rPr>
                <w:rFonts w:hint="default" w:ascii="Times New Roman" w:hAnsi="Times New Roman" w:eastAsia="黑体" w:cs="Times New Roman"/>
                <w:b/>
                <w:sz w:val="24"/>
                <w:szCs w:val="24"/>
                <w:highlight w:val="none"/>
                <w:lang w:val="en-US" w:eastAsia="zh-CN"/>
              </w:rPr>
              <w:t>v</w:t>
            </w:r>
            <w:r>
              <w:rPr>
                <w:rFonts w:hint="default" w:ascii="Times New Roman" w:hAnsi="Times New Roman" w:eastAsia="黑体" w:cs="Times New Roman"/>
                <w:b/>
                <w:sz w:val="24"/>
                <w:szCs w:val="24"/>
                <w:highlight w:val="none"/>
              </w:rPr>
              <w:t>alue</w:t>
            </w:r>
          </w:p>
        </w:tc>
        <w:tc>
          <w:tcPr>
            <w:tcW w:w="1327" w:type="dxa"/>
            <w:tcBorders>
              <w:top w:val="single" w:color="auto" w:sz="4" w:space="0"/>
              <w:bottom w:val="single" w:color="000000" w:sz="8" w:space="0"/>
            </w:tcBorders>
            <w:shd w:val="clear" w:color="auto" w:fill="FFFFFF" w:themeFill="background1"/>
            <w:vAlign w:val="center"/>
          </w:tcPr>
          <w:p w14:paraId="7202F1FE">
            <w:pPr>
              <w:snapToGrid w:val="0"/>
              <w:ind w:left="0" w:leftChars="0" w:right="0" w:rightChars="0" w:firstLine="0" w:firstLineChars="0"/>
              <w:jc w:val="center"/>
              <w:rPr>
                <w:rFonts w:hint="default" w:ascii="Times New Roman" w:hAnsi="Times New Roman" w:eastAsia="黑体" w:cs="Times New Roman"/>
                <w:b/>
                <w:sz w:val="24"/>
                <w:szCs w:val="24"/>
                <w:highlight w:val="none"/>
              </w:rPr>
            </w:pPr>
            <w:r>
              <w:rPr>
                <w:rFonts w:hint="default" w:ascii="Times New Roman" w:hAnsi="Times New Roman" w:eastAsia="黑体" w:cs="Times New Roman"/>
                <w:b/>
                <w:sz w:val="24"/>
                <w:szCs w:val="24"/>
                <w:highlight w:val="none"/>
              </w:rPr>
              <w:t>HR (95% CI)</w:t>
            </w:r>
          </w:p>
        </w:tc>
        <w:tc>
          <w:tcPr>
            <w:tcW w:w="893" w:type="dxa"/>
            <w:tcBorders>
              <w:top w:val="single" w:color="auto" w:sz="4" w:space="0"/>
              <w:bottom w:val="single" w:color="000000" w:sz="8" w:space="0"/>
            </w:tcBorders>
            <w:shd w:val="clear" w:color="auto" w:fill="FFFFFF" w:themeFill="background1"/>
            <w:vAlign w:val="center"/>
          </w:tcPr>
          <w:p w14:paraId="25EC9640">
            <w:pPr>
              <w:snapToGrid w:val="0"/>
              <w:ind w:left="0" w:leftChars="0" w:right="0" w:rightChars="0" w:firstLine="0" w:firstLineChars="0"/>
              <w:jc w:val="center"/>
              <w:rPr>
                <w:rFonts w:hint="default" w:ascii="Times New Roman" w:hAnsi="Times New Roman" w:eastAsia="黑体" w:cs="Times New Roman"/>
                <w:b/>
                <w:sz w:val="24"/>
                <w:szCs w:val="24"/>
                <w:highlight w:val="none"/>
              </w:rPr>
            </w:pPr>
            <w:r>
              <w:rPr>
                <w:rFonts w:hint="default" w:ascii="Times New Roman" w:hAnsi="Times New Roman" w:eastAsia="黑体" w:cs="Times New Roman"/>
                <w:b/>
                <w:i/>
                <w:iCs/>
                <w:sz w:val="24"/>
                <w:szCs w:val="24"/>
                <w:highlight w:val="none"/>
              </w:rPr>
              <w:t>P</w:t>
            </w:r>
            <w:r>
              <w:rPr>
                <w:rFonts w:hint="default" w:ascii="Times New Roman" w:hAnsi="Times New Roman" w:eastAsia="黑体" w:cs="Times New Roman"/>
                <w:b/>
                <w:sz w:val="24"/>
                <w:szCs w:val="24"/>
                <w:highlight w:val="none"/>
              </w:rPr>
              <w:t xml:space="preserve"> </w:t>
            </w:r>
            <w:r>
              <w:rPr>
                <w:rFonts w:hint="default" w:ascii="Times New Roman" w:hAnsi="Times New Roman" w:eastAsia="黑体" w:cs="Times New Roman"/>
                <w:b/>
                <w:sz w:val="24"/>
                <w:szCs w:val="24"/>
                <w:highlight w:val="none"/>
                <w:lang w:val="en-US" w:eastAsia="zh-CN"/>
              </w:rPr>
              <w:t>v</w:t>
            </w:r>
            <w:r>
              <w:rPr>
                <w:rFonts w:hint="default" w:ascii="Times New Roman" w:hAnsi="Times New Roman" w:eastAsia="黑体" w:cs="Times New Roman"/>
                <w:b/>
                <w:sz w:val="24"/>
                <w:szCs w:val="24"/>
                <w:highlight w:val="none"/>
              </w:rPr>
              <w:t>alue</w:t>
            </w:r>
          </w:p>
        </w:tc>
        <w:tc>
          <w:tcPr>
            <w:tcW w:w="1327" w:type="dxa"/>
            <w:tcBorders>
              <w:top w:val="single" w:color="auto" w:sz="4" w:space="0"/>
              <w:bottom w:val="single" w:color="000000" w:sz="8" w:space="0"/>
            </w:tcBorders>
            <w:shd w:val="clear" w:color="auto" w:fill="FFFFFF" w:themeFill="background1"/>
            <w:vAlign w:val="center"/>
          </w:tcPr>
          <w:p w14:paraId="4E23A277">
            <w:pPr>
              <w:snapToGrid w:val="0"/>
              <w:ind w:left="0" w:leftChars="0" w:right="0" w:rightChars="0" w:firstLine="0" w:firstLineChars="0"/>
              <w:jc w:val="center"/>
              <w:rPr>
                <w:rFonts w:hint="default" w:ascii="Times New Roman" w:hAnsi="Times New Roman" w:eastAsia="黑体" w:cs="Times New Roman"/>
                <w:b/>
                <w:sz w:val="24"/>
                <w:szCs w:val="24"/>
                <w:highlight w:val="none"/>
              </w:rPr>
            </w:pPr>
            <w:r>
              <w:rPr>
                <w:rFonts w:hint="default" w:ascii="Times New Roman" w:hAnsi="Times New Roman" w:eastAsia="黑体" w:cs="Times New Roman"/>
                <w:b/>
                <w:sz w:val="24"/>
                <w:szCs w:val="24"/>
                <w:highlight w:val="none"/>
              </w:rPr>
              <w:t>HR (95% CI)</w:t>
            </w:r>
          </w:p>
        </w:tc>
        <w:tc>
          <w:tcPr>
            <w:tcW w:w="893" w:type="dxa"/>
            <w:tcBorders>
              <w:top w:val="single" w:color="auto" w:sz="4" w:space="0"/>
              <w:bottom w:val="single" w:color="000000" w:sz="8" w:space="0"/>
            </w:tcBorders>
            <w:shd w:val="clear" w:color="auto" w:fill="FFFFFF" w:themeFill="background1"/>
            <w:vAlign w:val="center"/>
          </w:tcPr>
          <w:p w14:paraId="629B4FB2">
            <w:pPr>
              <w:snapToGrid w:val="0"/>
              <w:ind w:left="0" w:leftChars="0" w:right="0" w:rightChars="0" w:firstLine="0" w:firstLineChars="0"/>
              <w:jc w:val="center"/>
              <w:rPr>
                <w:rFonts w:hint="default" w:ascii="Times New Roman" w:hAnsi="Times New Roman" w:eastAsia="黑体" w:cs="Times New Roman"/>
                <w:b/>
                <w:sz w:val="24"/>
                <w:szCs w:val="24"/>
                <w:highlight w:val="none"/>
              </w:rPr>
            </w:pPr>
            <w:r>
              <w:rPr>
                <w:rFonts w:hint="default" w:ascii="Times New Roman" w:hAnsi="Times New Roman" w:eastAsia="黑体" w:cs="Times New Roman"/>
                <w:b/>
                <w:i/>
                <w:iCs/>
                <w:sz w:val="24"/>
                <w:szCs w:val="24"/>
                <w:highlight w:val="none"/>
              </w:rPr>
              <w:t>P</w:t>
            </w:r>
            <w:r>
              <w:rPr>
                <w:rFonts w:hint="default" w:ascii="Times New Roman" w:hAnsi="Times New Roman" w:eastAsia="黑体" w:cs="Times New Roman"/>
                <w:b/>
                <w:sz w:val="24"/>
                <w:szCs w:val="24"/>
                <w:highlight w:val="none"/>
              </w:rPr>
              <w:t xml:space="preserve"> </w:t>
            </w:r>
            <w:r>
              <w:rPr>
                <w:rFonts w:hint="default" w:ascii="Times New Roman" w:hAnsi="Times New Roman" w:eastAsia="黑体" w:cs="Times New Roman"/>
                <w:b/>
                <w:sz w:val="24"/>
                <w:szCs w:val="24"/>
                <w:highlight w:val="none"/>
                <w:lang w:val="en-US" w:eastAsia="zh-CN"/>
              </w:rPr>
              <w:t>v</w:t>
            </w:r>
            <w:r>
              <w:rPr>
                <w:rFonts w:hint="default" w:ascii="Times New Roman" w:hAnsi="Times New Roman" w:eastAsia="黑体" w:cs="Times New Roman"/>
                <w:b/>
                <w:sz w:val="24"/>
                <w:szCs w:val="24"/>
                <w:highlight w:val="none"/>
              </w:rPr>
              <w:t>alue</w:t>
            </w:r>
          </w:p>
        </w:tc>
        <w:tc>
          <w:tcPr>
            <w:tcW w:w="1327" w:type="dxa"/>
            <w:tcBorders>
              <w:top w:val="single" w:color="auto" w:sz="4" w:space="0"/>
              <w:bottom w:val="single" w:color="000000" w:sz="8" w:space="0"/>
            </w:tcBorders>
            <w:shd w:val="clear" w:color="auto" w:fill="FFFFFF" w:themeFill="background1"/>
            <w:vAlign w:val="center"/>
          </w:tcPr>
          <w:p w14:paraId="636546B8">
            <w:pPr>
              <w:snapToGrid w:val="0"/>
              <w:ind w:left="0" w:leftChars="0" w:right="0" w:rightChars="0" w:firstLine="0" w:firstLineChars="0"/>
              <w:jc w:val="center"/>
              <w:rPr>
                <w:rFonts w:hint="default" w:ascii="Times New Roman" w:hAnsi="Times New Roman" w:eastAsia="黑体" w:cs="Times New Roman"/>
                <w:b/>
                <w:sz w:val="24"/>
                <w:szCs w:val="24"/>
                <w:highlight w:val="none"/>
              </w:rPr>
            </w:pPr>
            <w:r>
              <w:rPr>
                <w:rFonts w:hint="default" w:ascii="Times New Roman" w:hAnsi="Times New Roman" w:eastAsia="黑体" w:cs="Times New Roman"/>
                <w:b/>
                <w:sz w:val="24"/>
                <w:szCs w:val="24"/>
                <w:highlight w:val="none"/>
              </w:rPr>
              <w:t>HR (95% CI)</w:t>
            </w:r>
          </w:p>
        </w:tc>
        <w:tc>
          <w:tcPr>
            <w:tcW w:w="893" w:type="dxa"/>
            <w:tcBorders>
              <w:top w:val="single" w:color="auto" w:sz="4" w:space="0"/>
              <w:bottom w:val="single" w:color="000000" w:sz="8" w:space="0"/>
            </w:tcBorders>
            <w:shd w:val="clear" w:color="auto" w:fill="FFFFFF" w:themeFill="background1"/>
            <w:vAlign w:val="center"/>
          </w:tcPr>
          <w:p w14:paraId="54E83801">
            <w:pPr>
              <w:snapToGrid w:val="0"/>
              <w:ind w:left="0" w:leftChars="0" w:right="0" w:rightChars="0" w:firstLine="0" w:firstLineChars="0"/>
              <w:jc w:val="center"/>
              <w:rPr>
                <w:rFonts w:hint="default" w:ascii="Times New Roman" w:hAnsi="Times New Roman" w:eastAsia="黑体" w:cs="Times New Roman"/>
                <w:b/>
                <w:sz w:val="24"/>
                <w:szCs w:val="24"/>
                <w:highlight w:val="none"/>
              </w:rPr>
            </w:pPr>
            <w:r>
              <w:rPr>
                <w:rFonts w:hint="default" w:ascii="Times New Roman" w:hAnsi="Times New Roman" w:eastAsia="黑体" w:cs="Times New Roman"/>
                <w:b/>
                <w:i/>
                <w:iCs/>
                <w:sz w:val="24"/>
                <w:szCs w:val="24"/>
                <w:highlight w:val="none"/>
              </w:rPr>
              <w:t>P</w:t>
            </w:r>
            <w:r>
              <w:rPr>
                <w:rFonts w:hint="default" w:ascii="Times New Roman" w:hAnsi="Times New Roman" w:eastAsia="黑体" w:cs="Times New Roman"/>
                <w:b/>
                <w:sz w:val="24"/>
                <w:szCs w:val="24"/>
                <w:highlight w:val="none"/>
              </w:rPr>
              <w:t xml:space="preserve"> </w:t>
            </w:r>
            <w:r>
              <w:rPr>
                <w:rFonts w:hint="default" w:ascii="Times New Roman" w:hAnsi="Times New Roman" w:eastAsia="黑体" w:cs="Times New Roman"/>
                <w:b/>
                <w:sz w:val="24"/>
                <w:szCs w:val="24"/>
                <w:highlight w:val="none"/>
                <w:lang w:val="en-US" w:eastAsia="zh-CN"/>
              </w:rPr>
              <w:t>v</w:t>
            </w:r>
            <w:r>
              <w:rPr>
                <w:rFonts w:hint="default" w:ascii="Times New Roman" w:hAnsi="Times New Roman" w:eastAsia="黑体" w:cs="Times New Roman"/>
                <w:b/>
                <w:sz w:val="24"/>
                <w:szCs w:val="24"/>
                <w:highlight w:val="none"/>
              </w:rPr>
              <w:t>alue</w:t>
            </w:r>
          </w:p>
        </w:tc>
      </w:tr>
      <w:tr w14:paraId="2B123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438" w:type="dxa"/>
            <w:shd w:val="clear" w:color="auto" w:fill="FFFFFF" w:themeFill="background1"/>
            <w:vAlign w:val="center"/>
          </w:tcPr>
          <w:p w14:paraId="71B4E7B8">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Q1 vs Q3</w:t>
            </w:r>
          </w:p>
        </w:tc>
        <w:tc>
          <w:tcPr>
            <w:tcW w:w="1327" w:type="dxa"/>
            <w:shd w:val="clear" w:color="auto" w:fill="FFFFFF" w:themeFill="background1"/>
            <w:vAlign w:val="center"/>
          </w:tcPr>
          <w:p w14:paraId="15F80817">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1.45 (0.85–2.47)</w:t>
            </w:r>
          </w:p>
        </w:tc>
        <w:tc>
          <w:tcPr>
            <w:tcW w:w="893" w:type="dxa"/>
            <w:shd w:val="clear" w:color="auto" w:fill="FFFFFF" w:themeFill="background1"/>
            <w:vAlign w:val="center"/>
          </w:tcPr>
          <w:p w14:paraId="4E981305">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0.168</w:t>
            </w:r>
          </w:p>
        </w:tc>
        <w:tc>
          <w:tcPr>
            <w:tcW w:w="1327" w:type="dxa"/>
            <w:shd w:val="clear" w:color="auto" w:fill="FFFFFF" w:themeFill="background1"/>
            <w:vAlign w:val="center"/>
          </w:tcPr>
          <w:p w14:paraId="491AE92D">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1.46 (0.86–2.48)</w:t>
            </w:r>
          </w:p>
        </w:tc>
        <w:tc>
          <w:tcPr>
            <w:tcW w:w="893" w:type="dxa"/>
            <w:shd w:val="clear" w:color="auto" w:fill="FFFFFF" w:themeFill="background1"/>
            <w:vAlign w:val="center"/>
          </w:tcPr>
          <w:p w14:paraId="4D3A5F00">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0.161</w:t>
            </w:r>
          </w:p>
        </w:tc>
        <w:tc>
          <w:tcPr>
            <w:tcW w:w="1327" w:type="dxa"/>
            <w:shd w:val="clear" w:color="auto" w:fill="FFFFFF" w:themeFill="background1"/>
            <w:vAlign w:val="center"/>
          </w:tcPr>
          <w:p w14:paraId="5708A93F">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1.47 (0.86–2.52)</w:t>
            </w:r>
          </w:p>
        </w:tc>
        <w:tc>
          <w:tcPr>
            <w:tcW w:w="893" w:type="dxa"/>
            <w:shd w:val="clear" w:color="auto" w:fill="FFFFFF" w:themeFill="background1"/>
            <w:vAlign w:val="center"/>
          </w:tcPr>
          <w:p w14:paraId="0A9F2BE8">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0.160</w:t>
            </w:r>
          </w:p>
        </w:tc>
        <w:tc>
          <w:tcPr>
            <w:tcW w:w="1327" w:type="dxa"/>
            <w:shd w:val="clear" w:color="auto" w:fill="FFFFFF" w:themeFill="background1"/>
            <w:vAlign w:val="center"/>
          </w:tcPr>
          <w:p w14:paraId="2D0294FE">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1.39 (0.79–2.44)</w:t>
            </w:r>
          </w:p>
        </w:tc>
        <w:tc>
          <w:tcPr>
            <w:tcW w:w="893" w:type="dxa"/>
            <w:shd w:val="clear" w:color="auto" w:fill="FFFFFF" w:themeFill="background1"/>
            <w:vAlign w:val="center"/>
          </w:tcPr>
          <w:p w14:paraId="3D287687">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0.253</w:t>
            </w:r>
          </w:p>
        </w:tc>
        <w:tc>
          <w:tcPr>
            <w:tcW w:w="1327" w:type="dxa"/>
            <w:shd w:val="clear" w:color="auto" w:fill="FFFFFF" w:themeFill="background1"/>
            <w:vAlign w:val="center"/>
          </w:tcPr>
          <w:p w14:paraId="13DACF14">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1.21 (0.68–2.14)</w:t>
            </w:r>
          </w:p>
        </w:tc>
        <w:tc>
          <w:tcPr>
            <w:tcW w:w="893" w:type="dxa"/>
            <w:shd w:val="clear" w:color="auto" w:fill="FFFFFF" w:themeFill="background1"/>
            <w:vAlign w:val="center"/>
          </w:tcPr>
          <w:p w14:paraId="024FBC67">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0.512</w:t>
            </w:r>
          </w:p>
        </w:tc>
        <w:tc>
          <w:tcPr>
            <w:tcW w:w="1327" w:type="dxa"/>
            <w:shd w:val="clear" w:color="auto" w:fill="FFFFFF" w:themeFill="background1"/>
            <w:vAlign w:val="center"/>
          </w:tcPr>
          <w:p w14:paraId="04325ED9">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1.08 (0.61–1.92)</w:t>
            </w:r>
          </w:p>
        </w:tc>
        <w:tc>
          <w:tcPr>
            <w:tcW w:w="893" w:type="dxa"/>
            <w:shd w:val="clear" w:color="auto" w:fill="FFFFFF" w:themeFill="background1"/>
            <w:vAlign w:val="center"/>
          </w:tcPr>
          <w:p w14:paraId="43FED418">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0.791</w:t>
            </w:r>
          </w:p>
        </w:tc>
      </w:tr>
      <w:tr w14:paraId="3F1CD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438" w:type="dxa"/>
            <w:shd w:val="clear" w:color="auto" w:fill="FFFFFF" w:themeFill="background1"/>
            <w:vAlign w:val="center"/>
          </w:tcPr>
          <w:p w14:paraId="110ADA19">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Q2 vs Q3</w:t>
            </w:r>
          </w:p>
        </w:tc>
        <w:tc>
          <w:tcPr>
            <w:tcW w:w="1327" w:type="dxa"/>
            <w:shd w:val="clear" w:color="auto" w:fill="FFFFFF" w:themeFill="background1"/>
            <w:vAlign w:val="center"/>
          </w:tcPr>
          <w:p w14:paraId="4385EF50">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1.82 (1.10–3.02)</w:t>
            </w:r>
          </w:p>
        </w:tc>
        <w:tc>
          <w:tcPr>
            <w:tcW w:w="893" w:type="dxa"/>
            <w:shd w:val="clear" w:color="auto" w:fill="FFFFFF" w:themeFill="background1"/>
            <w:vAlign w:val="center"/>
          </w:tcPr>
          <w:p w14:paraId="3C469780">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0.021</w:t>
            </w:r>
          </w:p>
        </w:tc>
        <w:tc>
          <w:tcPr>
            <w:tcW w:w="1327" w:type="dxa"/>
            <w:shd w:val="clear" w:color="auto" w:fill="FFFFFF" w:themeFill="background1"/>
            <w:vAlign w:val="center"/>
          </w:tcPr>
          <w:p w14:paraId="271E3C6D">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1.83 (1.10–3.04)</w:t>
            </w:r>
          </w:p>
        </w:tc>
        <w:tc>
          <w:tcPr>
            <w:tcW w:w="893" w:type="dxa"/>
            <w:shd w:val="clear" w:color="auto" w:fill="FFFFFF" w:themeFill="background1"/>
            <w:vAlign w:val="center"/>
          </w:tcPr>
          <w:p w14:paraId="5354AD13">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0.020</w:t>
            </w:r>
          </w:p>
        </w:tc>
        <w:tc>
          <w:tcPr>
            <w:tcW w:w="1327" w:type="dxa"/>
            <w:shd w:val="clear" w:color="auto" w:fill="FFFFFF" w:themeFill="background1"/>
            <w:vAlign w:val="center"/>
          </w:tcPr>
          <w:p w14:paraId="6AA9380C">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1.85 (1.11–3.09)</w:t>
            </w:r>
          </w:p>
        </w:tc>
        <w:tc>
          <w:tcPr>
            <w:tcW w:w="893" w:type="dxa"/>
            <w:shd w:val="clear" w:color="auto" w:fill="FFFFFF" w:themeFill="background1"/>
            <w:vAlign w:val="center"/>
          </w:tcPr>
          <w:p w14:paraId="6BBAABED">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0.019</w:t>
            </w:r>
          </w:p>
        </w:tc>
        <w:tc>
          <w:tcPr>
            <w:tcW w:w="1327" w:type="dxa"/>
            <w:shd w:val="clear" w:color="auto" w:fill="FFFFFF" w:themeFill="background1"/>
            <w:vAlign w:val="center"/>
          </w:tcPr>
          <w:p w14:paraId="4CE1F108">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1.80 (1.07–3.01)</w:t>
            </w:r>
          </w:p>
        </w:tc>
        <w:tc>
          <w:tcPr>
            <w:tcW w:w="893" w:type="dxa"/>
            <w:shd w:val="clear" w:color="auto" w:fill="FFFFFF" w:themeFill="background1"/>
            <w:vAlign w:val="center"/>
          </w:tcPr>
          <w:p w14:paraId="06EDF27B">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0.026</w:t>
            </w:r>
          </w:p>
        </w:tc>
        <w:tc>
          <w:tcPr>
            <w:tcW w:w="1327" w:type="dxa"/>
            <w:shd w:val="clear" w:color="auto" w:fill="FFFFFF" w:themeFill="background1"/>
            <w:vAlign w:val="center"/>
          </w:tcPr>
          <w:p w14:paraId="1FC461BA">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1.48 (0.88–2.49)</w:t>
            </w:r>
          </w:p>
        </w:tc>
        <w:tc>
          <w:tcPr>
            <w:tcW w:w="893" w:type="dxa"/>
            <w:shd w:val="clear" w:color="auto" w:fill="FFFFFF" w:themeFill="background1"/>
            <w:vAlign w:val="center"/>
          </w:tcPr>
          <w:p w14:paraId="3B949BB5">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0.143</w:t>
            </w:r>
          </w:p>
        </w:tc>
        <w:tc>
          <w:tcPr>
            <w:tcW w:w="1327" w:type="dxa"/>
            <w:shd w:val="clear" w:color="auto" w:fill="FFFFFF" w:themeFill="background1"/>
            <w:vAlign w:val="center"/>
          </w:tcPr>
          <w:p w14:paraId="7A477FBE">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1.51 (0.90–2.55)</w:t>
            </w:r>
          </w:p>
        </w:tc>
        <w:tc>
          <w:tcPr>
            <w:tcW w:w="893" w:type="dxa"/>
            <w:shd w:val="clear" w:color="auto" w:fill="FFFFFF" w:themeFill="background1"/>
            <w:vAlign w:val="center"/>
          </w:tcPr>
          <w:p w14:paraId="0CBBAEA9">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0.120</w:t>
            </w:r>
          </w:p>
        </w:tc>
      </w:tr>
      <w:tr w14:paraId="3D9B3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0" w:hRule="atLeast"/>
          <w:jc w:val="center"/>
        </w:trPr>
        <w:tc>
          <w:tcPr>
            <w:tcW w:w="1438" w:type="dxa"/>
            <w:tcBorders>
              <w:bottom w:val="single" w:color="000000" w:sz="8" w:space="0"/>
            </w:tcBorders>
            <w:shd w:val="clear" w:color="auto" w:fill="FFFFFF" w:themeFill="background1"/>
            <w:vAlign w:val="center"/>
          </w:tcPr>
          <w:p w14:paraId="10CD4A65">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Q4 vs Q3</w:t>
            </w:r>
          </w:p>
        </w:tc>
        <w:tc>
          <w:tcPr>
            <w:tcW w:w="1327" w:type="dxa"/>
            <w:tcBorders>
              <w:bottom w:val="single" w:color="000000" w:sz="8" w:space="0"/>
            </w:tcBorders>
            <w:shd w:val="clear" w:color="auto" w:fill="FFFFFF" w:themeFill="background1"/>
            <w:vAlign w:val="center"/>
          </w:tcPr>
          <w:p w14:paraId="26FAFB7E">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2.07 (1.26–3.42)</w:t>
            </w:r>
          </w:p>
        </w:tc>
        <w:tc>
          <w:tcPr>
            <w:tcW w:w="893" w:type="dxa"/>
            <w:tcBorders>
              <w:bottom w:val="single" w:color="000000" w:sz="8" w:space="0"/>
            </w:tcBorders>
            <w:shd w:val="clear" w:color="auto" w:fill="FFFFFF" w:themeFill="background1"/>
            <w:vAlign w:val="center"/>
          </w:tcPr>
          <w:p w14:paraId="41740F2E">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0.004</w:t>
            </w:r>
          </w:p>
        </w:tc>
        <w:tc>
          <w:tcPr>
            <w:tcW w:w="1327" w:type="dxa"/>
            <w:tcBorders>
              <w:bottom w:val="single" w:color="000000" w:sz="8" w:space="0"/>
            </w:tcBorders>
            <w:shd w:val="clear" w:color="auto" w:fill="FFFFFF" w:themeFill="background1"/>
            <w:vAlign w:val="center"/>
          </w:tcPr>
          <w:p w14:paraId="20109391">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2.07 (1.25–3.43)</w:t>
            </w:r>
          </w:p>
        </w:tc>
        <w:tc>
          <w:tcPr>
            <w:tcW w:w="893" w:type="dxa"/>
            <w:tcBorders>
              <w:bottom w:val="single" w:color="000000" w:sz="8" w:space="0"/>
            </w:tcBorders>
            <w:shd w:val="clear" w:color="auto" w:fill="FFFFFF" w:themeFill="background1"/>
            <w:vAlign w:val="center"/>
          </w:tcPr>
          <w:p w14:paraId="215BD91D">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0.005</w:t>
            </w:r>
          </w:p>
        </w:tc>
        <w:tc>
          <w:tcPr>
            <w:tcW w:w="1327" w:type="dxa"/>
            <w:tcBorders>
              <w:bottom w:val="single" w:color="000000" w:sz="8" w:space="0"/>
            </w:tcBorders>
            <w:shd w:val="clear" w:color="auto" w:fill="FFFFFF" w:themeFill="background1"/>
            <w:vAlign w:val="center"/>
          </w:tcPr>
          <w:p w14:paraId="6B54B6D2">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2.19 (1.31–3.66)</w:t>
            </w:r>
          </w:p>
        </w:tc>
        <w:tc>
          <w:tcPr>
            <w:tcW w:w="893" w:type="dxa"/>
            <w:tcBorders>
              <w:bottom w:val="single" w:color="000000" w:sz="8" w:space="0"/>
            </w:tcBorders>
            <w:shd w:val="clear" w:color="auto" w:fill="FFFFFF" w:themeFill="background1"/>
            <w:vAlign w:val="center"/>
          </w:tcPr>
          <w:p w14:paraId="1E97BC3A">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0.003</w:t>
            </w:r>
          </w:p>
        </w:tc>
        <w:tc>
          <w:tcPr>
            <w:tcW w:w="1327" w:type="dxa"/>
            <w:tcBorders>
              <w:bottom w:val="single" w:color="000000" w:sz="8" w:space="0"/>
            </w:tcBorders>
            <w:shd w:val="clear" w:color="auto" w:fill="FFFFFF" w:themeFill="background1"/>
            <w:vAlign w:val="center"/>
          </w:tcPr>
          <w:p w14:paraId="019F1F8A">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1.90 (1.11–3.25)</w:t>
            </w:r>
          </w:p>
        </w:tc>
        <w:tc>
          <w:tcPr>
            <w:tcW w:w="893" w:type="dxa"/>
            <w:tcBorders>
              <w:bottom w:val="single" w:color="000000" w:sz="8" w:space="0"/>
            </w:tcBorders>
            <w:shd w:val="clear" w:color="auto" w:fill="FFFFFF" w:themeFill="background1"/>
            <w:vAlign w:val="center"/>
          </w:tcPr>
          <w:p w14:paraId="6EB3398F">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0.020</w:t>
            </w:r>
          </w:p>
        </w:tc>
        <w:tc>
          <w:tcPr>
            <w:tcW w:w="1327" w:type="dxa"/>
            <w:tcBorders>
              <w:bottom w:val="single" w:color="000000" w:sz="8" w:space="0"/>
            </w:tcBorders>
            <w:shd w:val="clear" w:color="auto" w:fill="FFFFFF" w:themeFill="background1"/>
            <w:vAlign w:val="center"/>
          </w:tcPr>
          <w:p w14:paraId="4C3CC3A0">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1.96 (1.15–3.35)</w:t>
            </w:r>
          </w:p>
        </w:tc>
        <w:tc>
          <w:tcPr>
            <w:tcW w:w="893" w:type="dxa"/>
            <w:tcBorders>
              <w:bottom w:val="single" w:color="000000" w:sz="8" w:space="0"/>
            </w:tcBorders>
            <w:shd w:val="clear" w:color="auto" w:fill="FFFFFF" w:themeFill="background1"/>
            <w:vAlign w:val="center"/>
          </w:tcPr>
          <w:p w14:paraId="001E8C29">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0.014</w:t>
            </w:r>
          </w:p>
        </w:tc>
        <w:tc>
          <w:tcPr>
            <w:tcW w:w="1327" w:type="dxa"/>
            <w:tcBorders>
              <w:bottom w:val="single" w:color="000000" w:sz="8" w:space="0"/>
            </w:tcBorders>
            <w:shd w:val="clear" w:color="auto" w:fill="FFFFFF" w:themeFill="background1"/>
            <w:vAlign w:val="center"/>
          </w:tcPr>
          <w:p w14:paraId="523E3AE2">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1.86 (1.08–3.18)</w:t>
            </w:r>
          </w:p>
        </w:tc>
        <w:tc>
          <w:tcPr>
            <w:tcW w:w="893" w:type="dxa"/>
            <w:tcBorders>
              <w:bottom w:val="single" w:color="000000" w:sz="8" w:space="0"/>
            </w:tcBorders>
            <w:shd w:val="clear" w:color="auto" w:fill="FFFFFF" w:themeFill="background1"/>
            <w:vAlign w:val="center"/>
          </w:tcPr>
          <w:p w14:paraId="601B7F35">
            <w:pPr>
              <w:snapToGrid w:val="0"/>
              <w:ind w:left="0" w:leftChars="0" w:right="0" w:rightChars="0" w:firstLine="0" w:firstLineChars="0"/>
              <w:jc w:val="center"/>
              <w:rPr>
                <w:rFonts w:hint="default" w:ascii="Times New Roman" w:hAnsi="Times New Roman" w:eastAsia="黑体" w:cs="Times New Roman"/>
                <w:sz w:val="24"/>
                <w:szCs w:val="24"/>
                <w:highlight w:val="none"/>
              </w:rPr>
            </w:pPr>
            <w:r>
              <w:rPr>
                <w:rFonts w:hint="default" w:ascii="Times New Roman" w:hAnsi="Times New Roman" w:eastAsia="黑体" w:cs="Times New Roman"/>
                <w:b w:val="0"/>
                <w:sz w:val="24"/>
                <w:szCs w:val="24"/>
                <w:highlight w:val="none"/>
              </w:rPr>
              <w:t>0.024</w:t>
            </w:r>
          </w:p>
        </w:tc>
      </w:tr>
    </w:tbl>
    <w:p w14:paraId="4519A987">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 xml:space="preserve">Cox proportional hazards models were used to estimate hazard ratios for postablation recurrence across LDL-C quartiles, with Q3 (2.35–2.90 mmol/L) as the reference group. All models were based on 404 patients and 139 recurrence events. </w:t>
      </w:r>
      <w:r>
        <w:rPr>
          <w:rFonts w:hint="default" w:ascii="Times New Roman" w:hAnsi="Times New Roman" w:eastAsia="宋体" w:cs="Times New Roman"/>
          <w:sz w:val="24"/>
          <w:szCs w:val="24"/>
          <w:highlight w:val="none"/>
          <w:lang w:bidi="ar"/>
        </w:rPr>
        <w:t>The reference category was used for model parameterization only and should not be interpreted as indicating a biologically or clinically preferred LDL-C range.</w:t>
      </w:r>
    </w:p>
    <w:p w14:paraId="753039E1">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 xml:space="preserve">Model 1 was univariable. </w:t>
      </w:r>
    </w:p>
    <w:p w14:paraId="3F6661D2">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 xml:space="preserve">Model 2 was adjusted for age and sex. </w:t>
      </w:r>
    </w:p>
    <w:p w14:paraId="025DD12C">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 xml:space="preserve">Model 3 was adjusted for age, sex, BMI, atrial fibrillation duration, hypertension, diabetes, coronary artery disease, and prior stroke. </w:t>
      </w:r>
    </w:p>
    <w:p w14:paraId="490336DF">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 xml:space="preserve">Model 4 was adjusted for age, sex, BMI, atrial fibrillation duration, hypertension, diabetes, coronary artery disease, prior stroke, statin use, TG, and hyperlipidemia. </w:t>
      </w:r>
    </w:p>
    <w:p w14:paraId="3A3AB608">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 xml:space="preserve">Model 5 was adjusted for age, sex, BMI, atrial fibrillation duration, hypertension, diabetes, coronary artery disease, prior stroke, statin use, TG, hyperlipidemia, vein of Marshall ethanol infusion, substrate modification, LAD, and LVAs. </w:t>
      </w:r>
    </w:p>
    <w:p w14:paraId="5ED4962D">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Model 6 was adjusted for age, sex, BMI, atrial fibrillation duration, hypertension, diabetes, coronary artery disease, prior stroke, statin use, TG, hyperlipidemia, vein of Marshall ethanol infusion, substrate modification, LAD, LVAs, and AADs use. AADs use was defined as the use of antiarrhythmic drugs after the postablation blanking period.</w:t>
      </w:r>
    </w:p>
    <w:p w14:paraId="18E4EEB6">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b/>
          <w:bCs/>
          <w:kern w:val="2"/>
          <w:sz w:val="24"/>
          <w:szCs w:val="24"/>
          <w:highlight w:val="none"/>
          <w:lang w:val="en-US" w:eastAsia="zh-CN" w:bidi="ar"/>
        </w:rPr>
        <w:t>Abbreviations:</w:t>
      </w:r>
      <w:r>
        <w:rPr>
          <w:rFonts w:hint="default" w:ascii="Times New Roman" w:hAnsi="Times New Roman" w:eastAsia="宋体" w:cs="Times New Roman"/>
          <w:kern w:val="2"/>
          <w:sz w:val="24"/>
          <w:szCs w:val="24"/>
          <w:highlight w:val="none"/>
          <w:lang w:val="en-US" w:eastAsia="zh-CN" w:bidi="ar"/>
        </w:rPr>
        <w:t xml:space="preserve"> AADs, antiarrhythmic drugs; BMI, body mass index; CI, confidence interval; HR, hazard ratio; LAD, left atrial diameter; LDL-C, low-density lipoprotein cholesterol; LVAs, left atrial low-voltage areas; TG, triglycerides.</w:t>
      </w:r>
    </w:p>
    <w:p w14:paraId="5ED35EE4">
      <w:pPr>
        <w:spacing w:line="480" w:lineRule="auto"/>
        <w:rPr>
          <w:rFonts w:hint="default" w:ascii="Times New Roman" w:hAnsi="Times New Roman" w:cs="Times New Roman" w:eastAsiaTheme="minorEastAsia"/>
          <w:b w:val="0"/>
          <w:bCs w:val="0"/>
          <w:kern w:val="0"/>
          <w:sz w:val="24"/>
          <w:szCs w:val="24"/>
          <w:highlight w:val="none"/>
          <w:lang w:val="en-US" w:eastAsia="zh-CN" w:bidi="ar"/>
        </w:rPr>
      </w:pPr>
      <w:r>
        <w:rPr>
          <w:rFonts w:hint="default" w:ascii="Times New Roman" w:hAnsi="Times New Roman" w:cs="Times New Roman" w:eastAsiaTheme="minorEastAsia"/>
          <w:b/>
          <w:bCs/>
          <w:kern w:val="0"/>
          <w:sz w:val="24"/>
          <w:szCs w:val="24"/>
          <w:highlight w:val="none"/>
          <w:lang w:val="en-US" w:eastAsia="zh-CN" w:bidi="ar"/>
        </w:rPr>
        <w:t>Supplementary Table S8.</w:t>
      </w:r>
      <w:r>
        <w:rPr>
          <w:rFonts w:hint="default" w:ascii="Times New Roman" w:hAnsi="Times New Roman" w:cs="Times New Roman" w:eastAsiaTheme="minorEastAsia"/>
          <w:b w:val="0"/>
          <w:bCs w:val="0"/>
          <w:kern w:val="0"/>
          <w:sz w:val="24"/>
          <w:szCs w:val="24"/>
          <w:highlight w:val="none"/>
          <w:lang w:val="en-US" w:eastAsia="zh-CN" w:bidi="ar"/>
        </w:rPr>
        <w:t xml:space="preserve"> Schoenfeld Residual-Based Tests for the Proportional Hazards Assumption in Cox Models of Postablation Recurrence</w:t>
      </w:r>
    </w:p>
    <w:p w14:paraId="4BBBCFAD">
      <w:pPr>
        <w:keepNext w:val="0"/>
        <w:keepLines w:val="0"/>
        <w:widowControl/>
        <w:suppressLineNumbers w:val="0"/>
        <w:jc w:val="left"/>
        <w:rPr>
          <w:rFonts w:hint="default" w:ascii="Times New Roman" w:hAnsi="Times New Roman" w:eastAsia="宋体" w:cs="Times New Roman"/>
          <w:kern w:val="2"/>
          <w:sz w:val="24"/>
          <w:szCs w:val="24"/>
          <w:highlight w:val="none"/>
          <w:lang w:val="en-US" w:eastAsia="zh-CN" w:bidi="ar"/>
        </w:rPr>
      </w:pPr>
    </w:p>
    <w:tbl>
      <w:tblPr>
        <w:tblStyle w:val="8"/>
        <w:tblW w:w="8504" w:type="dxa"/>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700"/>
        <w:gridCol w:w="1701"/>
        <w:gridCol w:w="1701"/>
        <w:gridCol w:w="1701"/>
        <w:gridCol w:w="1701"/>
      </w:tblGrid>
      <w:tr w14:paraId="7A6FAAE2">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32" w:type="dxa"/>
            <w:tcBorders>
              <w:bottom w:val="single" w:color="000000" w:sz="4" w:space="0"/>
              <w:tl2br w:val="nil"/>
            </w:tcBorders>
            <w:shd w:val="clear" w:color="auto" w:fill="FFFFFF"/>
            <w:tcMar>
              <w:top w:w="80" w:type="dxa"/>
              <w:left w:w="100" w:type="dxa"/>
              <w:bottom w:w="80" w:type="dxa"/>
              <w:right w:w="100" w:type="dxa"/>
            </w:tcMar>
            <w:vAlign w:val="center"/>
          </w:tcPr>
          <w:p w14:paraId="779AE975">
            <w:pPr>
              <w:spacing w:before="0" w:after="0" w:line="240" w:lineRule="auto"/>
              <w:jc w:val="center"/>
              <w:rPr>
                <w:rFonts w:hint="default" w:ascii="Times New Roman" w:hAnsi="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Model</w:t>
            </w:r>
          </w:p>
        </w:tc>
        <w:tc>
          <w:tcPr>
            <w:tcW w:w="1632" w:type="dxa"/>
            <w:tcBorders>
              <w:bottom w:val="single" w:color="000000" w:sz="4" w:space="0"/>
            </w:tcBorders>
            <w:shd w:val="clear" w:color="auto" w:fill="FFFFFF"/>
            <w:tcMar>
              <w:top w:w="80" w:type="dxa"/>
              <w:left w:w="100" w:type="dxa"/>
              <w:bottom w:w="80" w:type="dxa"/>
              <w:right w:w="100" w:type="dxa"/>
            </w:tcMar>
            <w:vAlign w:val="center"/>
          </w:tcPr>
          <w:p w14:paraId="4DE69677">
            <w:pPr>
              <w:spacing w:before="0" w:after="0" w:line="240" w:lineRule="auto"/>
              <w:jc w:val="center"/>
              <w:rPr>
                <w:rFonts w:hint="default" w:ascii="Times New Roman" w:hAnsi="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Test</w:t>
            </w:r>
          </w:p>
        </w:tc>
        <w:tc>
          <w:tcPr>
            <w:tcW w:w="1632" w:type="dxa"/>
            <w:tcBorders>
              <w:bottom w:val="single" w:color="000000" w:sz="4" w:space="0"/>
            </w:tcBorders>
            <w:shd w:val="clear" w:color="auto" w:fill="FFFFFF"/>
            <w:tcMar>
              <w:top w:w="80" w:type="dxa"/>
              <w:left w:w="100" w:type="dxa"/>
              <w:bottom w:w="80" w:type="dxa"/>
              <w:right w:w="100" w:type="dxa"/>
            </w:tcMar>
            <w:vAlign w:val="center"/>
          </w:tcPr>
          <w:p w14:paraId="6657AE1F">
            <w:pPr>
              <w:spacing w:before="0" w:after="0" w:line="240" w:lineRule="auto"/>
              <w:jc w:val="center"/>
              <w:rPr>
                <w:rFonts w:hint="default" w:ascii="Times New Roman" w:hAnsi="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Chi-square</w:t>
            </w:r>
          </w:p>
        </w:tc>
        <w:tc>
          <w:tcPr>
            <w:tcW w:w="1632" w:type="dxa"/>
            <w:tcBorders>
              <w:bottom w:val="single" w:color="000000" w:sz="4" w:space="0"/>
            </w:tcBorders>
            <w:shd w:val="clear" w:color="auto" w:fill="FFFFFF"/>
            <w:tcMar>
              <w:top w:w="80" w:type="dxa"/>
              <w:left w:w="100" w:type="dxa"/>
              <w:bottom w:w="80" w:type="dxa"/>
              <w:right w:w="100" w:type="dxa"/>
            </w:tcMar>
            <w:vAlign w:val="center"/>
          </w:tcPr>
          <w:p w14:paraId="2C9ECD01">
            <w:pPr>
              <w:spacing w:before="0" w:after="0" w:line="240" w:lineRule="auto"/>
              <w:jc w:val="center"/>
              <w:rPr>
                <w:rFonts w:hint="default" w:ascii="Times New Roman" w:hAnsi="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df</w:t>
            </w:r>
          </w:p>
        </w:tc>
        <w:tc>
          <w:tcPr>
            <w:tcW w:w="1632" w:type="dxa"/>
            <w:tcBorders>
              <w:bottom w:val="single" w:color="000000" w:sz="4" w:space="0"/>
            </w:tcBorders>
            <w:shd w:val="clear" w:color="auto" w:fill="FFFFFF"/>
            <w:tcMar>
              <w:top w:w="80" w:type="dxa"/>
              <w:left w:w="100" w:type="dxa"/>
              <w:bottom w:w="80" w:type="dxa"/>
              <w:right w:w="100" w:type="dxa"/>
            </w:tcMar>
            <w:vAlign w:val="center"/>
          </w:tcPr>
          <w:p w14:paraId="5C8DA09D">
            <w:pPr>
              <w:spacing w:before="0" w:after="0" w:line="240" w:lineRule="auto"/>
              <w:jc w:val="center"/>
              <w:rPr>
                <w:rFonts w:hint="default" w:ascii="Times New Roman" w:hAnsi="Times New Roman" w:cs="Times New Roman"/>
                <w:b/>
                <w:bCs/>
                <w:color w:val="000000"/>
                <w:sz w:val="24"/>
                <w:szCs w:val="24"/>
                <w:highlight w:val="none"/>
              </w:rPr>
            </w:pPr>
            <w:r>
              <w:rPr>
                <w:rFonts w:hint="default" w:ascii="Times New Roman" w:hAnsi="Times New Roman" w:cs="Times New Roman"/>
                <w:b/>
                <w:bCs/>
                <w:i/>
                <w:iCs/>
                <w:color w:val="000000"/>
                <w:sz w:val="24"/>
                <w:szCs w:val="24"/>
                <w:highlight w:val="none"/>
              </w:rPr>
              <w:t>P</w:t>
            </w:r>
            <w:r>
              <w:rPr>
                <w:rFonts w:hint="default" w:ascii="Times New Roman" w:hAnsi="Times New Roman" w:cs="Times New Roman"/>
                <w:b/>
                <w:bCs/>
                <w:color w:val="000000"/>
                <w:sz w:val="24"/>
                <w:szCs w:val="24"/>
                <w:highlight w:val="none"/>
              </w:rPr>
              <w:t xml:space="preserve"> </w:t>
            </w:r>
            <w:r>
              <w:rPr>
                <w:rFonts w:hint="default" w:ascii="Times New Roman" w:hAnsi="Times New Roman" w:cs="Times New Roman"/>
                <w:b/>
                <w:bCs/>
                <w:color w:val="000000"/>
                <w:sz w:val="24"/>
                <w:szCs w:val="24"/>
                <w:highlight w:val="none"/>
                <w:lang w:val="en-US" w:eastAsia="zh-CN"/>
              </w:rPr>
              <w:t>v</w:t>
            </w:r>
            <w:r>
              <w:rPr>
                <w:rFonts w:hint="default" w:ascii="Times New Roman" w:hAnsi="Times New Roman" w:cs="Times New Roman"/>
                <w:b/>
                <w:bCs/>
                <w:color w:val="000000"/>
                <w:sz w:val="24"/>
                <w:szCs w:val="24"/>
                <w:highlight w:val="none"/>
              </w:rPr>
              <w:t>alue</w:t>
            </w:r>
          </w:p>
        </w:tc>
      </w:tr>
      <w:tr w14:paraId="3563D369">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32" w:type="dxa"/>
            <w:vMerge w:val="restart"/>
            <w:tcBorders>
              <w:top w:val="single" w:color="000000" w:sz="4" w:space="0"/>
            </w:tcBorders>
            <w:shd w:val="clear" w:color="auto" w:fill="FFFFFF"/>
            <w:tcMar>
              <w:top w:w="80" w:type="dxa"/>
              <w:left w:w="100" w:type="dxa"/>
              <w:bottom w:w="80" w:type="dxa"/>
              <w:right w:w="100" w:type="dxa"/>
            </w:tcMar>
            <w:vAlign w:val="center"/>
          </w:tcPr>
          <w:p w14:paraId="5B0A5B4C">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Model</w:t>
            </w:r>
            <w:r>
              <w:rPr>
                <w:rFonts w:hint="default" w:ascii="Times New Roman" w:hAnsi="Times New Roman" w:eastAsia="宋体" w:cs="Times New Roman"/>
                <w:b w:val="0"/>
                <w:color w:val="000000"/>
                <w:sz w:val="24"/>
                <w:szCs w:val="24"/>
                <w:highlight w:val="none"/>
                <w:lang w:val="en-US" w:eastAsia="zh-CN"/>
              </w:rPr>
              <w:t xml:space="preserve"> 1</w:t>
            </w:r>
          </w:p>
        </w:tc>
        <w:tc>
          <w:tcPr>
            <w:tcW w:w="1632" w:type="dxa"/>
            <w:tcBorders>
              <w:top w:val="single" w:color="000000" w:sz="4" w:space="0"/>
            </w:tcBorders>
            <w:shd w:val="clear" w:color="auto" w:fill="FFFFFF"/>
            <w:tcMar>
              <w:top w:w="80" w:type="dxa"/>
              <w:left w:w="100" w:type="dxa"/>
              <w:bottom w:w="80" w:type="dxa"/>
              <w:right w:w="100" w:type="dxa"/>
            </w:tcMar>
            <w:vAlign w:val="center"/>
          </w:tcPr>
          <w:p w14:paraId="6B543915">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LDL-C quartiles</w:t>
            </w:r>
          </w:p>
        </w:tc>
        <w:tc>
          <w:tcPr>
            <w:tcW w:w="1632" w:type="dxa"/>
            <w:tcBorders>
              <w:top w:val="single" w:color="000000" w:sz="4" w:space="0"/>
            </w:tcBorders>
            <w:shd w:val="clear" w:color="auto" w:fill="FFFFFF"/>
            <w:tcMar>
              <w:top w:w="80" w:type="dxa"/>
              <w:left w:w="100" w:type="dxa"/>
              <w:bottom w:w="80" w:type="dxa"/>
              <w:right w:w="100" w:type="dxa"/>
            </w:tcMar>
            <w:vAlign w:val="center"/>
          </w:tcPr>
          <w:p w14:paraId="3669E3A0">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4.035</w:t>
            </w:r>
          </w:p>
        </w:tc>
        <w:tc>
          <w:tcPr>
            <w:tcW w:w="1632" w:type="dxa"/>
            <w:tcBorders>
              <w:top w:val="single" w:color="000000" w:sz="4" w:space="0"/>
            </w:tcBorders>
            <w:shd w:val="clear" w:color="auto" w:fill="FFFFFF"/>
            <w:tcMar>
              <w:top w:w="80" w:type="dxa"/>
              <w:left w:w="100" w:type="dxa"/>
              <w:bottom w:w="80" w:type="dxa"/>
              <w:right w:w="100" w:type="dxa"/>
            </w:tcMar>
            <w:vAlign w:val="center"/>
          </w:tcPr>
          <w:p w14:paraId="00FDCDA2">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w:t>
            </w:r>
          </w:p>
        </w:tc>
        <w:tc>
          <w:tcPr>
            <w:tcW w:w="1632" w:type="dxa"/>
            <w:tcBorders>
              <w:top w:val="single" w:color="000000" w:sz="4" w:space="0"/>
            </w:tcBorders>
            <w:shd w:val="clear" w:color="auto" w:fill="FFFFFF"/>
            <w:tcMar>
              <w:top w:w="80" w:type="dxa"/>
              <w:left w:w="100" w:type="dxa"/>
              <w:bottom w:w="80" w:type="dxa"/>
              <w:right w:w="100" w:type="dxa"/>
            </w:tcMar>
            <w:vAlign w:val="center"/>
          </w:tcPr>
          <w:p w14:paraId="4E61BDCB">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0.258</w:t>
            </w:r>
          </w:p>
        </w:tc>
      </w:tr>
      <w:tr w14:paraId="0C8E856E">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32" w:type="dxa"/>
            <w:vMerge w:val="continue"/>
            <w:shd w:val="clear" w:color="auto" w:fill="FFFFFF"/>
            <w:tcMar>
              <w:top w:w="80" w:type="dxa"/>
              <w:left w:w="100" w:type="dxa"/>
              <w:bottom w:w="80" w:type="dxa"/>
              <w:right w:w="100" w:type="dxa"/>
            </w:tcMar>
            <w:vAlign w:val="center"/>
          </w:tcPr>
          <w:p w14:paraId="3B62976E">
            <w:pPr>
              <w:spacing w:before="0" w:after="0" w:line="240" w:lineRule="auto"/>
              <w:jc w:val="center"/>
              <w:rPr>
                <w:rFonts w:hint="default" w:ascii="Times New Roman" w:hAnsi="Times New Roman" w:cs="Times New Roman"/>
                <w:b w:val="0"/>
                <w:color w:val="000000"/>
                <w:sz w:val="24"/>
                <w:szCs w:val="24"/>
                <w:highlight w:val="none"/>
              </w:rPr>
            </w:pPr>
          </w:p>
        </w:tc>
        <w:tc>
          <w:tcPr>
            <w:tcW w:w="1632" w:type="dxa"/>
            <w:shd w:val="clear" w:color="auto" w:fill="FFFFFF"/>
            <w:tcMar>
              <w:top w:w="80" w:type="dxa"/>
              <w:left w:w="100" w:type="dxa"/>
              <w:bottom w:w="80" w:type="dxa"/>
              <w:right w:w="100" w:type="dxa"/>
            </w:tcMar>
            <w:vAlign w:val="center"/>
          </w:tcPr>
          <w:p w14:paraId="763DFC7D">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Global test</w:t>
            </w:r>
          </w:p>
        </w:tc>
        <w:tc>
          <w:tcPr>
            <w:tcW w:w="1632" w:type="dxa"/>
            <w:shd w:val="clear" w:color="auto" w:fill="FFFFFF"/>
            <w:tcMar>
              <w:top w:w="80" w:type="dxa"/>
              <w:left w:w="100" w:type="dxa"/>
              <w:bottom w:w="80" w:type="dxa"/>
              <w:right w:w="100" w:type="dxa"/>
            </w:tcMar>
            <w:vAlign w:val="center"/>
          </w:tcPr>
          <w:p w14:paraId="2985B4A5">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4.035</w:t>
            </w:r>
          </w:p>
        </w:tc>
        <w:tc>
          <w:tcPr>
            <w:tcW w:w="1632" w:type="dxa"/>
            <w:shd w:val="clear" w:color="auto" w:fill="FFFFFF"/>
            <w:tcMar>
              <w:top w:w="80" w:type="dxa"/>
              <w:left w:w="100" w:type="dxa"/>
              <w:bottom w:w="80" w:type="dxa"/>
              <w:right w:w="100" w:type="dxa"/>
            </w:tcMar>
            <w:vAlign w:val="center"/>
          </w:tcPr>
          <w:p w14:paraId="22B233A4">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w:t>
            </w:r>
          </w:p>
        </w:tc>
        <w:tc>
          <w:tcPr>
            <w:tcW w:w="1632" w:type="dxa"/>
            <w:shd w:val="clear" w:color="auto" w:fill="FFFFFF"/>
            <w:tcMar>
              <w:top w:w="80" w:type="dxa"/>
              <w:left w:w="100" w:type="dxa"/>
              <w:bottom w:w="80" w:type="dxa"/>
              <w:right w:w="100" w:type="dxa"/>
            </w:tcMar>
            <w:vAlign w:val="center"/>
          </w:tcPr>
          <w:p w14:paraId="5BC2E313">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0.258</w:t>
            </w:r>
          </w:p>
        </w:tc>
      </w:tr>
      <w:tr w14:paraId="202746C0">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32" w:type="dxa"/>
            <w:vMerge w:val="restart"/>
            <w:shd w:val="clear" w:color="auto" w:fill="FFFFFF"/>
            <w:tcMar>
              <w:top w:w="80" w:type="dxa"/>
              <w:left w:w="100" w:type="dxa"/>
              <w:bottom w:w="80" w:type="dxa"/>
              <w:right w:w="100" w:type="dxa"/>
            </w:tcMar>
            <w:vAlign w:val="center"/>
          </w:tcPr>
          <w:p w14:paraId="6F22D011">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Model 2</w:t>
            </w:r>
          </w:p>
        </w:tc>
        <w:tc>
          <w:tcPr>
            <w:tcW w:w="1632" w:type="dxa"/>
            <w:shd w:val="clear" w:color="auto" w:fill="FFFFFF"/>
            <w:tcMar>
              <w:top w:w="80" w:type="dxa"/>
              <w:left w:w="100" w:type="dxa"/>
              <w:bottom w:w="80" w:type="dxa"/>
              <w:right w:w="100" w:type="dxa"/>
            </w:tcMar>
            <w:vAlign w:val="center"/>
          </w:tcPr>
          <w:p w14:paraId="1C7E5574">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LDL-C quartiles</w:t>
            </w:r>
          </w:p>
        </w:tc>
        <w:tc>
          <w:tcPr>
            <w:tcW w:w="1632" w:type="dxa"/>
            <w:shd w:val="clear" w:color="auto" w:fill="FFFFFF"/>
            <w:tcMar>
              <w:top w:w="80" w:type="dxa"/>
              <w:left w:w="100" w:type="dxa"/>
              <w:bottom w:w="80" w:type="dxa"/>
              <w:right w:w="100" w:type="dxa"/>
            </w:tcMar>
            <w:vAlign w:val="center"/>
          </w:tcPr>
          <w:p w14:paraId="3C45CBF3">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3.923</w:t>
            </w:r>
          </w:p>
        </w:tc>
        <w:tc>
          <w:tcPr>
            <w:tcW w:w="1632" w:type="dxa"/>
            <w:shd w:val="clear" w:color="auto" w:fill="FFFFFF"/>
            <w:tcMar>
              <w:top w:w="80" w:type="dxa"/>
              <w:left w:w="100" w:type="dxa"/>
              <w:bottom w:w="80" w:type="dxa"/>
              <w:right w:w="100" w:type="dxa"/>
            </w:tcMar>
            <w:vAlign w:val="center"/>
          </w:tcPr>
          <w:p w14:paraId="4D11033E">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w:t>
            </w:r>
          </w:p>
        </w:tc>
        <w:tc>
          <w:tcPr>
            <w:tcW w:w="1632" w:type="dxa"/>
            <w:shd w:val="clear" w:color="auto" w:fill="FFFFFF"/>
            <w:tcMar>
              <w:top w:w="80" w:type="dxa"/>
              <w:left w:w="100" w:type="dxa"/>
              <w:bottom w:w="80" w:type="dxa"/>
              <w:right w:w="100" w:type="dxa"/>
            </w:tcMar>
            <w:vAlign w:val="center"/>
          </w:tcPr>
          <w:p w14:paraId="3A23AC62">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0.270</w:t>
            </w:r>
          </w:p>
        </w:tc>
      </w:tr>
      <w:tr w14:paraId="2AC55082">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32" w:type="dxa"/>
            <w:vMerge w:val="continue"/>
            <w:shd w:val="clear" w:color="auto" w:fill="FFFFFF"/>
            <w:tcMar>
              <w:top w:w="80" w:type="dxa"/>
              <w:left w:w="100" w:type="dxa"/>
              <w:bottom w:w="80" w:type="dxa"/>
              <w:right w:w="100" w:type="dxa"/>
            </w:tcMar>
            <w:vAlign w:val="center"/>
          </w:tcPr>
          <w:p w14:paraId="0EC70EAF">
            <w:pPr>
              <w:spacing w:before="0" w:after="0" w:line="240" w:lineRule="auto"/>
              <w:jc w:val="center"/>
              <w:rPr>
                <w:rFonts w:hint="default" w:ascii="Times New Roman" w:hAnsi="Times New Roman" w:cs="Times New Roman"/>
                <w:b w:val="0"/>
                <w:color w:val="000000"/>
                <w:sz w:val="24"/>
                <w:szCs w:val="24"/>
                <w:highlight w:val="none"/>
              </w:rPr>
            </w:pPr>
          </w:p>
        </w:tc>
        <w:tc>
          <w:tcPr>
            <w:tcW w:w="1632" w:type="dxa"/>
            <w:shd w:val="clear" w:color="auto" w:fill="FFFFFF"/>
            <w:tcMar>
              <w:top w:w="80" w:type="dxa"/>
              <w:left w:w="100" w:type="dxa"/>
              <w:bottom w:w="80" w:type="dxa"/>
              <w:right w:w="100" w:type="dxa"/>
            </w:tcMar>
            <w:vAlign w:val="center"/>
          </w:tcPr>
          <w:p w14:paraId="14A6EAC4">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Global test</w:t>
            </w:r>
          </w:p>
        </w:tc>
        <w:tc>
          <w:tcPr>
            <w:tcW w:w="1632" w:type="dxa"/>
            <w:shd w:val="clear" w:color="auto" w:fill="FFFFFF"/>
            <w:tcMar>
              <w:top w:w="80" w:type="dxa"/>
              <w:left w:w="100" w:type="dxa"/>
              <w:bottom w:w="80" w:type="dxa"/>
              <w:right w:w="100" w:type="dxa"/>
            </w:tcMar>
            <w:vAlign w:val="center"/>
          </w:tcPr>
          <w:p w14:paraId="11CEFB6D">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7.263</w:t>
            </w:r>
          </w:p>
        </w:tc>
        <w:tc>
          <w:tcPr>
            <w:tcW w:w="1632" w:type="dxa"/>
            <w:shd w:val="clear" w:color="auto" w:fill="FFFFFF"/>
            <w:tcMar>
              <w:top w:w="80" w:type="dxa"/>
              <w:left w:w="100" w:type="dxa"/>
              <w:bottom w:w="80" w:type="dxa"/>
              <w:right w:w="100" w:type="dxa"/>
            </w:tcMar>
            <w:vAlign w:val="center"/>
          </w:tcPr>
          <w:p w14:paraId="7F5F1C41">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5</w:t>
            </w:r>
          </w:p>
        </w:tc>
        <w:tc>
          <w:tcPr>
            <w:tcW w:w="1632" w:type="dxa"/>
            <w:shd w:val="clear" w:color="auto" w:fill="FFFFFF"/>
            <w:tcMar>
              <w:top w:w="80" w:type="dxa"/>
              <w:left w:w="100" w:type="dxa"/>
              <w:bottom w:w="80" w:type="dxa"/>
              <w:right w:w="100" w:type="dxa"/>
            </w:tcMar>
            <w:vAlign w:val="center"/>
          </w:tcPr>
          <w:p w14:paraId="5CABAD09">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0.202</w:t>
            </w:r>
          </w:p>
        </w:tc>
      </w:tr>
      <w:tr w14:paraId="3E867048">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32" w:type="dxa"/>
            <w:vMerge w:val="restart"/>
            <w:shd w:val="clear" w:color="auto" w:fill="FFFFFF"/>
            <w:tcMar>
              <w:top w:w="80" w:type="dxa"/>
              <w:left w:w="100" w:type="dxa"/>
              <w:bottom w:w="80" w:type="dxa"/>
              <w:right w:w="100" w:type="dxa"/>
            </w:tcMar>
            <w:vAlign w:val="center"/>
          </w:tcPr>
          <w:p w14:paraId="78B63E05">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Model 3</w:t>
            </w:r>
          </w:p>
        </w:tc>
        <w:tc>
          <w:tcPr>
            <w:tcW w:w="1632" w:type="dxa"/>
            <w:shd w:val="clear" w:color="auto" w:fill="FFFFFF"/>
            <w:tcMar>
              <w:top w:w="80" w:type="dxa"/>
              <w:left w:w="100" w:type="dxa"/>
              <w:bottom w:w="80" w:type="dxa"/>
              <w:right w:w="100" w:type="dxa"/>
            </w:tcMar>
            <w:vAlign w:val="center"/>
          </w:tcPr>
          <w:p w14:paraId="48033EA6">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LDL-C quartiles</w:t>
            </w:r>
          </w:p>
        </w:tc>
        <w:tc>
          <w:tcPr>
            <w:tcW w:w="1632" w:type="dxa"/>
            <w:shd w:val="clear" w:color="auto" w:fill="FFFFFF"/>
            <w:tcMar>
              <w:top w:w="80" w:type="dxa"/>
              <w:left w:w="100" w:type="dxa"/>
              <w:bottom w:w="80" w:type="dxa"/>
              <w:right w:w="100" w:type="dxa"/>
            </w:tcMar>
            <w:vAlign w:val="center"/>
          </w:tcPr>
          <w:p w14:paraId="0A60E0FD">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4.287</w:t>
            </w:r>
          </w:p>
        </w:tc>
        <w:tc>
          <w:tcPr>
            <w:tcW w:w="1632" w:type="dxa"/>
            <w:shd w:val="clear" w:color="auto" w:fill="FFFFFF"/>
            <w:tcMar>
              <w:top w:w="80" w:type="dxa"/>
              <w:left w:w="100" w:type="dxa"/>
              <w:bottom w:w="80" w:type="dxa"/>
              <w:right w:w="100" w:type="dxa"/>
            </w:tcMar>
            <w:vAlign w:val="center"/>
          </w:tcPr>
          <w:p w14:paraId="55007B2C">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w:t>
            </w:r>
          </w:p>
        </w:tc>
        <w:tc>
          <w:tcPr>
            <w:tcW w:w="1632" w:type="dxa"/>
            <w:shd w:val="clear" w:color="auto" w:fill="FFFFFF"/>
            <w:tcMar>
              <w:top w:w="80" w:type="dxa"/>
              <w:left w:w="100" w:type="dxa"/>
              <w:bottom w:w="80" w:type="dxa"/>
              <w:right w:w="100" w:type="dxa"/>
            </w:tcMar>
            <w:vAlign w:val="center"/>
          </w:tcPr>
          <w:p w14:paraId="2376C67E">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0.232</w:t>
            </w:r>
          </w:p>
        </w:tc>
      </w:tr>
      <w:tr w14:paraId="00C0FD2A">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32" w:type="dxa"/>
            <w:vMerge w:val="continue"/>
            <w:shd w:val="clear" w:color="auto" w:fill="FFFFFF"/>
            <w:tcMar>
              <w:top w:w="80" w:type="dxa"/>
              <w:left w:w="100" w:type="dxa"/>
              <w:bottom w:w="80" w:type="dxa"/>
              <w:right w:w="100" w:type="dxa"/>
            </w:tcMar>
            <w:vAlign w:val="center"/>
          </w:tcPr>
          <w:p w14:paraId="22AB3B6B">
            <w:pPr>
              <w:spacing w:before="0" w:after="0" w:line="240" w:lineRule="auto"/>
              <w:jc w:val="center"/>
              <w:rPr>
                <w:rFonts w:hint="default" w:ascii="Times New Roman" w:hAnsi="Times New Roman" w:cs="Times New Roman"/>
                <w:b w:val="0"/>
                <w:color w:val="000000"/>
                <w:sz w:val="24"/>
                <w:szCs w:val="24"/>
                <w:highlight w:val="none"/>
              </w:rPr>
            </w:pPr>
          </w:p>
        </w:tc>
        <w:tc>
          <w:tcPr>
            <w:tcW w:w="1632" w:type="dxa"/>
            <w:shd w:val="clear" w:color="auto" w:fill="FFFFFF"/>
            <w:tcMar>
              <w:top w:w="80" w:type="dxa"/>
              <w:left w:w="100" w:type="dxa"/>
              <w:bottom w:w="80" w:type="dxa"/>
              <w:right w:w="100" w:type="dxa"/>
            </w:tcMar>
            <w:vAlign w:val="center"/>
          </w:tcPr>
          <w:p w14:paraId="122D8795">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Global test</w:t>
            </w:r>
          </w:p>
        </w:tc>
        <w:tc>
          <w:tcPr>
            <w:tcW w:w="1632" w:type="dxa"/>
            <w:shd w:val="clear" w:color="auto" w:fill="FFFFFF"/>
            <w:tcMar>
              <w:top w:w="80" w:type="dxa"/>
              <w:left w:w="100" w:type="dxa"/>
              <w:bottom w:w="80" w:type="dxa"/>
              <w:right w:w="100" w:type="dxa"/>
            </w:tcMar>
            <w:vAlign w:val="center"/>
          </w:tcPr>
          <w:p w14:paraId="127F0746">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11.465</w:t>
            </w:r>
          </w:p>
        </w:tc>
        <w:tc>
          <w:tcPr>
            <w:tcW w:w="1632" w:type="dxa"/>
            <w:shd w:val="clear" w:color="auto" w:fill="FFFFFF"/>
            <w:tcMar>
              <w:top w:w="80" w:type="dxa"/>
              <w:left w:w="100" w:type="dxa"/>
              <w:bottom w:w="80" w:type="dxa"/>
              <w:right w:w="100" w:type="dxa"/>
            </w:tcMar>
            <w:vAlign w:val="center"/>
          </w:tcPr>
          <w:p w14:paraId="7240FC2E">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11</w:t>
            </w:r>
          </w:p>
        </w:tc>
        <w:tc>
          <w:tcPr>
            <w:tcW w:w="1632" w:type="dxa"/>
            <w:shd w:val="clear" w:color="auto" w:fill="FFFFFF"/>
            <w:tcMar>
              <w:top w:w="80" w:type="dxa"/>
              <w:left w:w="100" w:type="dxa"/>
              <w:bottom w:w="80" w:type="dxa"/>
              <w:right w:w="100" w:type="dxa"/>
            </w:tcMar>
            <w:vAlign w:val="center"/>
          </w:tcPr>
          <w:p w14:paraId="295F3ADF">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0.405</w:t>
            </w:r>
          </w:p>
        </w:tc>
      </w:tr>
      <w:tr w14:paraId="3BF4AC66">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32" w:type="dxa"/>
            <w:vMerge w:val="restart"/>
            <w:shd w:val="clear" w:color="auto" w:fill="FFFFFF"/>
            <w:tcMar>
              <w:top w:w="80" w:type="dxa"/>
              <w:left w:w="100" w:type="dxa"/>
              <w:bottom w:w="80" w:type="dxa"/>
              <w:right w:w="100" w:type="dxa"/>
            </w:tcMar>
            <w:vAlign w:val="center"/>
          </w:tcPr>
          <w:p w14:paraId="46030EB2">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Model 4</w:t>
            </w:r>
          </w:p>
        </w:tc>
        <w:tc>
          <w:tcPr>
            <w:tcW w:w="1632" w:type="dxa"/>
            <w:shd w:val="clear" w:color="auto" w:fill="FFFFFF"/>
            <w:tcMar>
              <w:top w:w="80" w:type="dxa"/>
              <w:left w:w="100" w:type="dxa"/>
              <w:bottom w:w="80" w:type="dxa"/>
              <w:right w:w="100" w:type="dxa"/>
            </w:tcMar>
            <w:vAlign w:val="center"/>
          </w:tcPr>
          <w:p w14:paraId="4186D3CE">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LDL-C quartiles</w:t>
            </w:r>
          </w:p>
        </w:tc>
        <w:tc>
          <w:tcPr>
            <w:tcW w:w="1632" w:type="dxa"/>
            <w:shd w:val="clear" w:color="auto" w:fill="FFFFFF"/>
            <w:tcMar>
              <w:top w:w="80" w:type="dxa"/>
              <w:left w:w="100" w:type="dxa"/>
              <w:bottom w:w="80" w:type="dxa"/>
              <w:right w:w="100" w:type="dxa"/>
            </w:tcMar>
            <w:vAlign w:val="center"/>
          </w:tcPr>
          <w:p w14:paraId="3FA0C627">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4.167</w:t>
            </w:r>
          </w:p>
        </w:tc>
        <w:tc>
          <w:tcPr>
            <w:tcW w:w="1632" w:type="dxa"/>
            <w:shd w:val="clear" w:color="auto" w:fill="FFFFFF"/>
            <w:tcMar>
              <w:top w:w="80" w:type="dxa"/>
              <w:left w:w="100" w:type="dxa"/>
              <w:bottom w:w="80" w:type="dxa"/>
              <w:right w:w="100" w:type="dxa"/>
            </w:tcMar>
            <w:vAlign w:val="center"/>
          </w:tcPr>
          <w:p w14:paraId="5E67CA3E">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w:t>
            </w:r>
          </w:p>
        </w:tc>
        <w:tc>
          <w:tcPr>
            <w:tcW w:w="1632" w:type="dxa"/>
            <w:shd w:val="clear" w:color="auto" w:fill="FFFFFF"/>
            <w:tcMar>
              <w:top w:w="80" w:type="dxa"/>
              <w:left w:w="100" w:type="dxa"/>
              <w:bottom w:w="80" w:type="dxa"/>
              <w:right w:w="100" w:type="dxa"/>
            </w:tcMar>
            <w:vAlign w:val="center"/>
          </w:tcPr>
          <w:p w14:paraId="009FD896">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0.244</w:t>
            </w:r>
          </w:p>
        </w:tc>
      </w:tr>
      <w:tr w14:paraId="4B5B9FB3">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32" w:type="dxa"/>
            <w:vMerge w:val="continue"/>
            <w:shd w:val="clear" w:color="auto" w:fill="FFFFFF"/>
            <w:tcMar>
              <w:top w:w="80" w:type="dxa"/>
              <w:left w:w="100" w:type="dxa"/>
              <w:bottom w:w="80" w:type="dxa"/>
              <w:right w:w="100" w:type="dxa"/>
            </w:tcMar>
            <w:vAlign w:val="center"/>
          </w:tcPr>
          <w:p w14:paraId="2A4E4622">
            <w:pPr>
              <w:spacing w:before="0" w:after="0" w:line="240" w:lineRule="auto"/>
              <w:jc w:val="center"/>
              <w:rPr>
                <w:rFonts w:hint="default" w:ascii="Times New Roman" w:hAnsi="Times New Roman" w:cs="Times New Roman"/>
                <w:b w:val="0"/>
                <w:color w:val="000000"/>
                <w:sz w:val="24"/>
                <w:szCs w:val="24"/>
                <w:highlight w:val="none"/>
              </w:rPr>
            </w:pPr>
          </w:p>
        </w:tc>
        <w:tc>
          <w:tcPr>
            <w:tcW w:w="1632" w:type="dxa"/>
            <w:shd w:val="clear" w:color="auto" w:fill="FFFFFF"/>
            <w:tcMar>
              <w:top w:w="80" w:type="dxa"/>
              <w:left w:w="100" w:type="dxa"/>
              <w:bottom w:w="80" w:type="dxa"/>
              <w:right w:w="100" w:type="dxa"/>
            </w:tcMar>
            <w:vAlign w:val="center"/>
          </w:tcPr>
          <w:p w14:paraId="5059946D">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Global test</w:t>
            </w:r>
          </w:p>
        </w:tc>
        <w:tc>
          <w:tcPr>
            <w:tcW w:w="1632" w:type="dxa"/>
            <w:shd w:val="clear" w:color="auto" w:fill="FFFFFF"/>
            <w:tcMar>
              <w:top w:w="80" w:type="dxa"/>
              <w:left w:w="100" w:type="dxa"/>
              <w:bottom w:w="80" w:type="dxa"/>
              <w:right w:w="100" w:type="dxa"/>
            </w:tcMar>
            <w:vAlign w:val="center"/>
          </w:tcPr>
          <w:p w14:paraId="4277BEE4">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12.123</w:t>
            </w:r>
          </w:p>
        </w:tc>
        <w:tc>
          <w:tcPr>
            <w:tcW w:w="1632" w:type="dxa"/>
            <w:shd w:val="clear" w:color="auto" w:fill="FFFFFF"/>
            <w:tcMar>
              <w:top w:w="80" w:type="dxa"/>
              <w:left w:w="100" w:type="dxa"/>
              <w:bottom w:w="80" w:type="dxa"/>
              <w:right w:w="100" w:type="dxa"/>
            </w:tcMar>
            <w:vAlign w:val="center"/>
          </w:tcPr>
          <w:p w14:paraId="29449D93">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14</w:t>
            </w:r>
          </w:p>
        </w:tc>
        <w:tc>
          <w:tcPr>
            <w:tcW w:w="1632" w:type="dxa"/>
            <w:shd w:val="clear" w:color="auto" w:fill="FFFFFF"/>
            <w:tcMar>
              <w:top w:w="80" w:type="dxa"/>
              <w:left w:w="100" w:type="dxa"/>
              <w:bottom w:w="80" w:type="dxa"/>
              <w:right w:w="100" w:type="dxa"/>
            </w:tcMar>
            <w:vAlign w:val="center"/>
          </w:tcPr>
          <w:p w14:paraId="0FAFD3D4">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0.596</w:t>
            </w:r>
          </w:p>
        </w:tc>
      </w:tr>
      <w:tr w14:paraId="2DBBF355">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32" w:type="dxa"/>
            <w:vMerge w:val="restart"/>
            <w:shd w:val="clear" w:color="auto" w:fill="FFFFFF"/>
            <w:tcMar>
              <w:top w:w="80" w:type="dxa"/>
              <w:left w:w="100" w:type="dxa"/>
              <w:bottom w:w="80" w:type="dxa"/>
              <w:right w:w="100" w:type="dxa"/>
            </w:tcMar>
            <w:vAlign w:val="center"/>
          </w:tcPr>
          <w:p w14:paraId="31EC633C">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Model 5</w:t>
            </w:r>
          </w:p>
        </w:tc>
        <w:tc>
          <w:tcPr>
            <w:tcW w:w="1632" w:type="dxa"/>
            <w:shd w:val="clear" w:color="auto" w:fill="FFFFFF"/>
            <w:tcMar>
              <w:top w:w="80" w:type="dxa"/>
              <w:left w:w="100" w:type="dxa"/>
              <w:bottom w:w="80" w:type="dxa"/>
              <w:right w:w="100" w:type="dxa"/>
            </w:tcMar>
            <w:vAlign w:val="center"/>
          </w:tcPr>
          <w:p w14:paraId="2F917370">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LDL-C quartiles</w:t>
            </w:r>
          </w:p>
        </w:tc>
        <w:tc>
          <w:tcPr>
            <w:tcW w:w="1632" w:type="dxa"/>
            <w:shd w:val="clear" w:color="auto" w:fill="FFFFFF"/>
            <w:tcMar>
              <w:top w:w="80" w:type="dxa"/>
              <w:left w:w="100" w:type="dxa"/>
              <w:bottom w:w="80" w:type="dxa"/>
              <w:right w:w="100" w:type="dxa"/>
            </w:tcMar>
            <w:vAlign w:val="center"/>
          </w:tcPr>
          <w:p w14:paraId="0528DC35">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4.008</w:t>
            </w:r>
          </w:p>
        </w:tc>
        <w:tc>
          <w:tcPr>
            <w:tcW w:w="1632" w:type="dxa"/>
            <w:shd w:val="clear" w:color="auto" w:fill="FFFFFF"/>
            <w:tcMar>
              <w:top w:w="80" w:type="dxa"/>
              <w:left w:w="100" w:type="dxa"/>
              <w:bottom w:w="80" w:type="dxa"/>
              <w:right w:w="100" w:type="dxa"/>
            </w:tcMar>
            <w:vAlign w:val="center"/>
          </w:tcPr>
          <w:p w14:paraId="16690784">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w:t>
            </w:r>
          </w:p>
        </w:tc>
        <w:tc>
          <w:tcPr>
            <w:tcW w:w="1632" w:type="dxa"/>
            <w:shd w:val="clear" w:color="auto" w:fill="FFFFFF"/>
            <w:tcMar>
              <w:top w:w="80" w:type="dxa"/>
              <w:left w:w="100" w:type="dxa"/>
              <w:bottom w:w="80" w:type="dxa"/>
              <w:right w:w="100" w:type="dxa"/>
            </w:tcMar>
            <w:vAlign w:val="center"/>
          </w:tcPr>
          <w:p w14:paraId="25BEBFA9">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0.261</w:t>
            </w:r>
          </w:p>
        </w:tc>
      </w:tr>
      <w:tr w14:paraId="737A71AD">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32" w:type="dxa"/>
            <w:vMerge w:val="continue"/>
            <w:shd w:val="clear" w:color="auto" w:fill="FFFFFF"/>
            <w:tcMar>
              <w:top w:w="80" w:type="dxa"/>
              <w:left w:w="100" w:type="dxa"/>
              <w:bottom w:w="80" w:type="dxa"/>
              <w:right w:w="100" w:type="dxa"/>
            </w:tcMar>
            <w:vAlign w:val="center"/>
          </w:tcPr>
          <w:p w14:paraId="11B2F439">
            <w:pPr>
              <w:spacing w:before="0" w:after="0" w:line="240" w:lineRule="auto"/>
              <w:jc w:val="center"/>
              <w:rPr>
                <w:rFonts w:hint="default" w:ascii="Times New Roman" w:hAnsi="Times New Roman" w:cs="Times New Roman"/>
                <w:b w:val="0"/>
                <w:color w:val="000000"/>
                <w:sz w:val="24"/>
                <w:szCs w:val="24"/>
                <w:highlight w:val="none"/>
              </w:rPr>
            </w:pPr>
          </w:p>
        </w:tc>
        <w:tc>
          <w:tcPr>
            <w:tcW w:w="1632" w:type="dxa"/>
            <w:shd w:val="clear" w:color="auto" w:fill="FFFFFF"/>
            <w:tcMar>
              <w:top w:w="80" w:type="dxa"/>
              <w:left w:w="100" w:type="dxa"/>
              <w:bottom w:w="80" w:type="dxa"/>
              <w:right w:w="100" w:type="dxa"/>
            </w:tcMar>
            <w:vAlign w:val="center"/>
          </w:tcPr>
          <w:p w14:paraId="0DD9C191">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Global test</w:t>
            </w:r>
          </w:p>
        </w:tc>
        <w:tc>
          <w:tcPr>
            <w:tcW w:w="1632" w:type="dxa"/>
            <w:shd w:val="clear" w:color="auto" w:fill="FFFFFF"/>
            <w:tcMar>
              <w:top w:w="80" w:type="dxa"/>
              <w:left w:w="100" w:type="dxa"/>
              <w:bottom w:w="80" w:type="dxa"/>
              <w:right w:w="100" w:type="dxa"/>
            </w:tcMar>
            <w:vAlign w:val="center"/>
          </w:tcPr>
          <w:p w14:paraId="5CF40CF1">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18.691</w:t>
            </w:r>
          </w:p>
        </w:tc>
        <w:tc>
          <w:tcPr>
            <w:tcW w:w="1632" w:type="dxa"/>
            <w:shd w:val="clear" w:color="auto" w:fill="FFFFFF"/>
            <w:tcMar>
              <w:top w:w="80" w:type="dxa"/>
              <w:left w:w="100" w:type="dxa"/>
              <w:bottom w:w="80" w:type="dxa"/>
              <w:right w:w="100" w:type="dxa"/>
            </w:tcMar>
            <w:vAlign w:val="center"/>
          </w:tcPr>
          <w:p w14:paraId="0ED23921">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18</w:t>
            </w:r>
          </w:p>
        </w:tc>
        <w:tc>
          <w:tcPr>
            <w:tcW w:w="1632" w:type="dxa"/>
            <w:shd w:val="clear" w:color="auto" w:fill="FFFFFF"/>
            <w:tcMar>
              <w:top w:w="80" w:type="dxa"/>
              <w:left w:w="100" w:type="dxa"/>
              <w:bottom w:w="80" w:type="dxa"/>
              <w:right w:w="100" w:type="dxa"/>
            </w:tcMar>
            <w:vAlign w:val="center"/>
          </w:tcPr>
          <w:p w14:paraId="31EFFD7E">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0.411</w:t>
            </w:r>
          </w:p>
        </w:tc>
      </w:tr>
      <w:tr w14:paraId="544D5132">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32" w:type="dxa"/>
            <w:vMerge w:val="restart"/>
            <w:shd w:val="clear" w:color="auto" w:fill="FFFFFF"/>
            <w:tcMar>
              <w:top w:w="80" w:type="dxa"/>
              <w:left w:w="100" w:type="dxa"/>
              <w:bottom w:w="80" w:type="dxa"/>
              <w:right w:w="100" w:type="dxa"/>
            </w:tcMar>
            <w:vAlign w:val="center"/>
          </w:tcPr>
          <w:p w14:paraId="1913C956">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Model 6</w:t>
            </w:r>
          </w:p>
        </w:tc>
        <w:tc>
          <w:tcPr>
            <w:tcW w:w="1632" w:type="dxa"/>
            <w:shd w:val="clear" w:color="auto" w:fill="FFFFFF"/>
            <w:tcMar>
              <w:top w:w="80" w:type="dxa"/>
              <w:left w:w="100" w:type="dxa"/>
              <w:bottom w:w="80" w:type="dxa"/>
              <w:right w:w="100" w:type="dxa"/>
            </w:tcMar>
            <w:vAlign w:val="center"/>
          </w:tcPr>
          <w:p w14:paraId="113D30EB">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LDL-C quartiles</w:t>
            </w:r>
          </w:p>
        </w:tc>
        <w:tc>
          <w:tcPr>
            <w:tcW w:w="1632" w:type="dxa"/>
            <w:shd w:val="clear" w:color="auto" w:fill="FFFFFF"/>
            <w:tcMar>
              <w:top w:w="80" w:type="dxa"/>
              <w:left w:w="100" w:type="dxa"/>
              <w:bottom w:w="80" w:type="dxa"/>
              <w:right w:w="100" w:type="dxa"/>
            </w:tcMar>
            <w:vAlign w:val="center"/>
          </w:tcPr>
          <w:p w14:paraId="41693D1F">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3.920</w:t>
            </w:r>
          </w:p>
        </w:tc>
        <w:tc>
          <w:tcPr>
            <w:tcW w:w="1632" w:type="dxa"/>
            <w:shd w:val="clear" w:color="auto" w:fill="FFFFFF"/>
            <w:tcMar>
              <w:top w:w="80" w:type="dxa"/>
              <w:left w:w="100" w:type="dxa"/>
              <w:bottom w:w="80" w:type="dxa"/>
              <w:right w:w="100" w:type="dxa"/>
            </w:tcMar>
            <w:vAlign w:val="center"/>
          </w:tcPr>
          <w:p w14:paraId="2D9A53C5">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w:t>
            </w:r>
          </w:p>
        </w:tc>
        <w:tc>
          <w:tcPr>
            <w:tcW w:w="1632" w:type="dxa"/>
            <w:shd w:val="clear" w:color="auto" w:fill="FFFFFF"/>
            <w:tcMar>
              <w:top w:w="80" w:type="dxa"/>
              <w:left w:w="100" w:type="dxa"/>
              <w:bottom w:w="80" w:type="dxa"/>
              <w:right w:w="100" w:type="dxa"/>
            </w:tcMar>
            <w:vAlign w:val="center"/>
          </w:tcPr>
          <w:p w14:paraId="3F2F1DE2">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0.270</w:t>
            </w:r>
          </w:p>
        </w:tc>
      </w:tr>
      <w:tr w14:paraId="388CAC4F">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32" w:type="dxa"/>
            <w:vMerge w:val="continue"/>
            <w:shd w:val="clear" w:color="auto" w:fill="FFFFFF"/>
            <w:tcMar>
              <w:top w:w="80" w:type="dxa"/>
              <w:left w:w="100" w:type="dxa"/>
              <w:bottom w:w="80" w:type="dxa"/>
              <w:right w:w="100" w:type="dxa"/>
            </w:tcMar>
            <w:vAlign w:val="center"/>
          </w:tcPr>
          <w:p w14:paraId="4495A872">
            <w:pPr>
              <w:spacing w:before="0" w:after="0" w:line="240" w:lineRule="auto"/>
              <w:jc w:val="left"/>
              <w:rPr>
                <w:rFonts w:hint="default" w:ascii="Times New Roman" w:hAnsi="Times New Roman" w:cs="Times New Roman"/>
                <w:b w:val="0"/>
                <w:color w:val="000000"/>
                <w:sz w:val="24"/>
                <w:szCs w:val="24"/>
                <w:highlight w:val="none"/>
              </w:rPr>
            </w:pPr>
          </w:p>
        </w:tc>
        <w:tc>
          <w:tcPr>
            <w:tcW w:w="1632" w:type="dxa"/>
            <w:shd w:val="clear" w:color="auto" w:fill="FFFFFF"/>
            <w:tcMar>
              <w:top w:w="80" w:type="dxa"/>
              <w:left w:w="100" w:type="dxa"/>
              <w:bottom w:w="80" w:type="dxa"/>
              <w:right w:w="100" w:type="dxa"/>
            </w:tcMar>
            <w:vAlign w:val="center"/>
          </w:tcPr>
          <w:p w14:paraId="7F178FD2">
            <w:pPr>
              <w:spacing w:before="0" w:after="0" w:line="240" w:lineRule="auto"/>
              <w:jc w:val="left"/>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Global test</w:t>
            </w:r>
          </w:p>
        </w:tc>
        <w:tc>
          <w:tcPr>
            <w:tcW w:w="1632" w:type="dxa"/>
            <w:shd w:val="clear" w:color="auto" w:fill="FFFFFF"/>
            <w:tcMar>
              <w:top w:w="80" w:type="dxa"/>
              <w:left w:w="100" w:type="dxa"/>
              <w:bottom w:w="80" w:type="dxa"/>
              <w:right w:w="100" w:type="dxa"/>
            </w:tcMar>
            <w:vAlign w:val="center"/>
          </w:tcPr>
          <w:p w14:paraId="4687DAD0">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28.457</w:t>
            </w:r>
          </w:p>
        </w:tc>
        <w:tc>
          <w:tcPr>
            <w:tcW w:w="1632" w:type="dxa"/>
            <w:shd w:val="clear" w:color="auto" w:fill="FFFFFF"/>
            <w:tcMar>
              <w:top w:w="80" w:type="dxa"/>
              <w:left w:w="100" w:type="dxa"/>
              <w:bottom w:w="80" w:type="dxa"/>
              <w:right w:w="100" w:type="dxa"/>
            </w:tcMar>
            <w:vAlign w:val="center"/>
          </w:tcPr>
          <w:p w14:paraId="1B7452CB">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19</w:t>
            </w:r>
          </w:p>
        </w:tc>
        <w:tc>
          <w:tcPr>
            <w:tcW w:w="1632" w:type="dxa"/>
            <w:shd w:val="clear" w:color="auto" w:fill="FFFFFF"/>
            <w:tcMar>
              <w:top w:w="80" w:type="dxa"/>
              <w:left w:w="100" w:type="dxa"/>
              <w:bottom w:w="80" w:type="dxa"/>
              <w:right w:w="100" w:type="dxa"/>
            </w:tcMar>
            <w:vAlign w:val="center"/>
          </w:tcPr>
          <w:p w14:paraId="367CD2C2">
            <w:pPr>
              <w:spacing w:before="0" w:after="0" w:line="240" w:lineRule="auto"/>
              <w:jc w:val="center"/>
              <w:rPr>
                <w:rFonts w:hint="default" w:ascii="Times New Roman" w:hAnsi="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0.075</w:t>
            </w:r>
          </w:p>
        </w:tc>
      </w:tr>
    </w:tbl>
    <w:p w14:paraId="705588E6">
      <w:pPr>
        <w:spacing w:before="80" w:after="0" w:line="240" w:lineRule="auto"/>
        <w:rPr>
          <w:rFonts w:hint="default" w:ascii="Times New Roman" w:hAnsi="Times New Roman" w:eastAsia="Times New Roman" w:cs="Times New Roman"/>
          <w:sz w:val="24"/>
          <w:szCs w:val="24"/>
          <w:highlight w:val="none"/>
        </w:rPr>
      </w:pPr>
    </w:p>
    <w:p w14:paraId="0866D9DF">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 xml:space="preserve">Proportional hazards assumptions were assessed using Schoenfeld residual-based tests for the LDL-C quartile term and for each model globally. </w:t>
      </w:r>
      <w:r>
        <w:rPr>
          <w:rFonts w:hint="default" w:ascii="Times New Roman" w:hAnsi="Times New Roman" w:eastAsia="宋体" w:cs="Times New Roman"/>
          <w:i/>
          <w:iCs/>
          <w:kern w:val="2"/>
          <w:sz w:val="24"/>
          <w:szCs w:val="24"/>
          <w:highlight w:val="none"/>
          <w:lang w:val="en-US" w:eastAsia="zh-CN" w:bidi="ar"/>
        </w:rPr>
        <w:t>P</w:t>
      </w:r>
      <w:r>
        <w:rPr>
          <w:rFonts w:hint="default" w:ascii="Times New Roman" w:hAnsi="Times New Roman" w:eastAsia="宋体" w:cs="Times New Roman"/>
          <w:kern w:val="2"/>
          <w:sz w:val="24"/>
          <w:szCs w:val="24"/>
          <w:highlight w:val="none"/>
          <w:lang w:val="en-US" w:eastAsia="zh-CN" w:bidi="ar"/>
        </w:rPr>
        <w:t xml:space="preserve"> values &gt; 0.05 were considered to indicate no evidence of violation of the proportional hazards assumption. The global test evaluates the proportional hazards assumption for the full set of covariates included in each Cox model. Across all six models, neither the LDL-C quartile term nor the overall model showed a statistically significant departure from the proportional hazards assumption.</w:t>
      </w:r>
    </w:p>
    <w:p w14:paraId="0B466E0C">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 xml:space="preserve">Model 1 was univariable. </w:t>
      </w:r>
    </w:p>
    <w:p w14:paraId="578F28FA">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 xml:space="preserve">Model 2 was adjusted for age and sex. </w:t>
      </w:r>
    </w:p>
    <w:p w14:paraId="15B0E43C">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 xml:space="preserve">Model 3 was adjusted for age, sex, BMI, atrial fibrillation duration, hypertension, diabetes, coronary artery disease, and prior stroke. </w:t>
      </w:r>
    </w:p>
    <w:p w14:paraId="55301D66">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 xml:space="preserve">Model 4 was adjusted for age, sex, BMI, atrial fibrillation duration, hypertension, diabetes, coronary artery disease, prior stroke, statin use, TG, and hyperlipidemia. Model 5 was adjusted for age, sex, BMI, atrial fibrillation duration, hypertension, diabetes, coronary artery disease, prior stroke, statin use, TG, hyperlipidemia, vein of Marshall ethanol infusion, substrate modification, LAD, and LVAs. </w:t>
      </w:r>
    </w:p>
    <w:p w14:paraId="1F30CB19">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Model 6 was adjusted for age, sex, BMI, atrial fibrillation duration, hypertension, diabetes, coronary artery disease, prior stroke, statin use, TG, hyperlipidemia, vein of Marshall ethanol infusion, substrate modification, LAD, LVAs, and AADs use. AADs use was defined as the use of antiarrhythmic drugs after the postablation blanking period.</w:t>
      </w:r>
    </w:p>
    <w:p w14:paraId="445F1F1E">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b/>
          <w:bCs/>
          <w:kern w:val="2"/>
          <w:sz w:val="24"/>
          <w:szCs w:val="24"/>
          <w:highlight w:val="none"/>
          <w:lang w:val="en-US" w:eastAsia="zh-CN" w:bidi="ar"/>
        </w:rPr>
        <w:t>Abbreviations:</w:t>
      </w:r>
      <w:r>
        <w:rPr>
          <w:rFonts w:hint="default" w:ascii="Times New Roman" w:hAnsi="Times New Roman" w:eastAsia="宋体" w:cs="Times New Roman"/>
          <w:kern w:val="2"/>
          <w:sz w:val="24"/>
          <w:szCs w:val="24"/>
          <w:highlight w:val="none"/>
          <w:lang w:val="en-US" w:eastAsia="zh-CN" w:bidi="ar"/>
        </w:rPr>
        <w:t xml:space="preserve"> AADs, antiarrhythmic drugs; BMI, body mass index; df, degrees of freedom; LAD, left atrial diameter; LDL-C, low-density lipoprotein cholesterol; LVAs, left atrial low-voltage areas; TG, triglycerides.</w:t>
      </w:r>
    </w:p>
    <w:p w14:paraId="0CD03070">
      <w:pPr>
        <w:keepNext w:val="0"/>
        <w:keepLines w:val="0"/>
        <w:widowControl/>
        <w:suppressLineNumbers w:val="0"/>
        <w:jc w:val="left"/>
        <w:rPr>
          <w:rFonts w:hint="default" w:ascii="Times New Roman" w:hAnsi="Times New Roman" w:eastAsia="宋体" w:cs="Times New Roman"/>
          <w:kern w:val="2"/>
          <w:sz w:val="24"/>
          <w:szCs w:val="24"/>
          <w:highlight w:val="none"/>
          <w:lang w:val="en-US" w:eastAsia="zh-CN" w:bidi="ar"/>
        </w:rPr>
      </w:pPr>
    </w:p>
    <w:p w14:paraId="1D80A886">
      <w:pPr>
        <w:keepNext w:val="0"/>
        <w:keepLines w:val="0"/>
        <w:widowControl/>
        <w:suppressLineNumbers w:val="0"/>
        <w:jc w:val="left"/>
        <w:rPr>
          <w:rFonts w:hint="default" w:ascii="Times New Roman" w:hAnsi="Times New Roman" w:eastAsia="宋体" w:cs="Times New Roman"/>
          <w:kern w:val="2"/>
          <w:sz w:val="24"/>
          <w:szCs w:val="24"/>
          <w:highlight w:val="none"/>
          <w:lang w:val="en-US" w:eastAsia="zh-CN" w:bidi="ar"/>
        </w:rPr>
        <w:sectPr>
          <w:pgSz w:w="16838" w:h="23811"/>
          <w:pgMar w:top="1440" w:right="1800" w:bottom="1440" w:left="1800" w:header="851" w:footer="992" w:gutter="0"/>
          <w:lnNumType w:countBy="1" w:restart="continuous"/>
          <w:cols w:space="425" w:num="1"/>
          <w:docGrid w:type="lines" w:linePitch="312" w:charSpace="0"/>
        </w:sectPr>
      </w:pPr>
    </w:p>
    <w:p w14:paraId="070C9552">
      <w:pPr>
        <w:spacing w:line="480" w:lineRule="auto"/>
        <w:rPr>
          <w:rFonts w:hint="default" w:ascii="Times New Roman" w:hAnsi="Times New Roman" w:cs="Times New Roman"/>
          <w:b w:val="0"/>
          <w:bCs w:val="0"/>
          <w:kern w:val="0"/>
          <w:sz w:val="24"/>
          <w:szCs w:val="24"/>
          <w:highlight w:val="none"/>
          <w:lang w:val="en-US" w:eastAsia="zh-CN" w:bidi="ar"/>
        </w:rPr>
      </w:pPr>
      <w:r>
        <w:rPr>
          <w:rFonts w:hint="default" w:ascii="Times New Roman" w:hAnsi="Times New Roman" w:cs="Times New Roman" w:eastAsiaTheme="minorEastAsia"/>
          <w:b/>
          <w:bCs/>
          <w:kern w:val="0"/>
          <w:sz w:val="24"/>
          <w:szCs w:val="24"/>
          <w:highlight w:val="none"/>
          <w:lang w:val="en-US" w:eastAsia="zh-CN" w:bidi="ar"/>
        </w:rPr>
        <w:t>Supplementary Table S9.</w:t>
      </w:r>
      <w:r>
        <w:rPr>
          <w:rFonts w:hint="default" w:ascii="Times New Roman" w:hAnsi="Times New Roman" w:cs="Times New Roman" w:eastAsiaTheme="minorEastAsia"/>
          <w:b w:val="0"/>
          <w:bCs w:val="0"/>
          <w:kern w:val="0"/>
          <w:sz w:val="24"/>
          <w:szCs w:val="24"/>
          <w:highlight w:val="none"/>
          <w:lang w:val="en-US" w:eastAsia="zh-CN" w:bidi="ar"/>
        </w:rPr>
        <w:t xml:space="preserve"> Multicollinearity diagnostics for Cox regression models of postablation recurrence</w:t>
      </w:r>
      <w:r>
        <w:rPr>
          <w:rFonts w:hint="default" w:ascii="Times New Roman" w:hAnsi="Times New Roman" w:cs="Times New Roman"/>
          <w:b w:val="0"/>
          <w:bCs w:val="0"/>
          <w:kern w:val="0"/>
          <w:sz w:val="24"/>
          <w:szCs w:val="24"/>
          <w:highlight w:val="none"/>
          <w:lang w:val="en-US" w:eastAsia="zh-CN" w:bidi="ar"/>
        </w:rPr>
        <w:t>.</w:t>
      </w:r>
    </w:p>
    <w:tbl>
      <w:tblPr>
        <w:tblStyle w:val="8"/>
        <w:tblW w:w="8483" w:type="dxa"/>
        <w:jc w:val="center"/>
        <w:tblLayout w:type="autofit"/>
        <w:tblCellMar>
          <w:top w:w="0" w:type="dxa"/>
          <w:left w:w="108" w:type="dxa"/>
          <w:bottom w:w="0" w:type="dxa"/>
          <w:right w:w="108" w:type="dxa"/>
        </w:tblCellMar>
      </w:tblPr>
      <w:tblGrid>
        <w:gridCol w:w="1105"/>
        <w:gridCol w:w="1806"/>
        <w:gridCol w:w="1307"/>
        <w:gridCol w:w="1556"/>
        <w:gridCol w:w="2709"/>
      </w:tblGrid>
      <w:tr w14:paraId="63CD57D2">
        <w:trPr>
          <w:trHeight w:val="0" w:hRule="atLeast"/>
          <w:tblHeader/>
          <w:jc w:val="center"/>
        </w:trPr>
        <w:tc>
          <w:tcPr>
            <w:tcW w:w="0" w:type="auto"/>
            <w:tcBorders>
              <w:top w:val="single" w:color="000000" w:sz="12" w:space="0"/>
              <w:left w:val="nil"/>
              <w:bottom w:val="single" w:color="000000" w:sz="4" w:space="0"/>
              <w:right w:val="nil"/>
              <w:tl2br w:val="nil"/>
            </w:tcBorders>
            <w:shd w:val="clear" w:color="auto" w:fill="FFFFFF"/>
            <w:tcMar>
              <w:top w:w="80" w:type="dxa"/>
              <w:left w:w="90" w:type="dxa"/>
              <w:bottom w:w="80" w:type="dxa"/>
              <w:right w:w="90" w:type="dxa"/>
            </w:tcMar>
            <w:vAlign w:val="center"/>
          </w:tcPr>
          <w:p w14:paraId="0CEB1910">
            <w:pPr>
              <w:snapToGrid w:val="0"/>
              <w:spacing w:before="0" w:after="0"/>
              <w:ind w:left="0" w:leftChars="0" w:right="0" w:rightChars="0" w:firstLine="0" w:firstLineChars="0"/>
              <w:jc w:val="center"/>
              <w:rPr>
                <w:rFonts w:hint="default" w:ascii="Times New Roman" w:hAnsi="Times New Roman" w:eastAsia="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Model</w:t>
            </w:r>
          </w:p>
        </w:tc>
        <w:tc>
          <w:tcPr>
            <w:tcW w:w="0" w:type="auto"/>
            <w:tcBorders>
              <w:top w:val="single" w:color="000000" w:sz="12" w:space="0"/>
              <w:left w:val="nil"/>
              <w:bottom w:val="single" w:color="000000" w:sz="4" w:space="0"/>
              <w:right w:val="nil"/>
            </w:tcBorders>
            <w:shd w:val="clear" w:color="auto" w:fill="FFFFFF"/>
            <w:tcMar>
              <w:top w:w="80" w:type="dxa"/>
              <w:left w:w="90" w:type="dxa"/>
              <w:bottom w:w="80" w:type="dxa"/>
              <w:right w:w="90" w:type="dxa"/>
            </w:tcMar>
            <w:vAlign w:val="center"/>
          </w:tcPr>
          <w:p w14:paraId="5D82F62E">
            <w:pPr>
              <w:snapToGrid w:val="0"/>
              <w:spacing w:before="0" w:after="0"/>
              <w:ind w:left="0" w:leftChars="0" w:right="0" w:rightChars="0" w:firstLine="0" w:firstLineChars="0"/>
              <w:jc w:val="center"/>
              <w:rPr>
                <w:rFonts w:hint="default" w:ascii="Times New Roman" w:hAnsi="Times New Roman" w:eastAsia="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Maximum VIF</w:t>
            </w:r>
          </w:p>
        </w:tc>
        <w:tc>
          <w:tcPr>
            <w:tcW w:w="0" w:type="auto"/>
            <w:tcBorders>
              <w:top w:val="single" w:color="000000" w:sz="12" w:space="0"/>
              <w:left w:val="nil"/>
              <w:bottom w:val="single" w:color="000000" w:sz="4" w:space="0"/>
              <w:right w:val="nil"/>
            </w:tcBorders>
            <w:shd w:val="clear" w:color="auto" w:fill="FFFFFF"/>
            <w:tcMar>
              <w:top w:w="80" w:type="dxa"/>
              <w:left w:w="90" w:type="dxa"/>
              <w:bottom w:w="80" w:type="dxa"/>
              <w:right w:w="90" w:type="dxa"/>
            </w:tcMar>
            <w:vAlign w:val="center"/>
          </w:tcPr>
          <w:p w14:paraId="5F6DB5CC">
            <w:pPr>
              <w:snapToGrid w:val="0"/>
              <w:spacing w:before="0" w:after="0"/>
              <w:ind w:left="0" w:leftChars="0" w:right="0" w:rightChars="0" w:firstLine="0" w:firstLineChars="0"/>
              <w:jc w:val="center"/>
              <w:rPr>
                <w:rFonts w:hint="default" w:ascii="Times New Roman" w:hAnsi="Times New Roman" w:eastAsia="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Mean VIF</w:t>
            </w:r>
          </w:p>
        </w:tc>
        <w:tc>
          <w:tcPr>
            <w:tcW w:w="0" w:type="auto"/>
            <w:tcBorders>
              <w:top w:val="single" w:color="000000" w:sz="12" w:space="0"/>
              <w:left w:val="nil"/>
              <w:bottom w:val="single" w:color="000000" w:sz="4" w:space="0"/>
              <w:right w:val="nil"/>
            </w:tcBorders>
            <w:shd w:val="clear" w:color="auto" w:fill="FFFFFF"/>
            <w:tcMar>
              <w:top w:w="80" w:type="dxa"/>
              <w:left w:w="90" w:type="dxa"/>
              <w:bottom w:w="80" w:type="dxa"/>
              <w:right w:w="90" w:type="dxa"/>
            </w:tcMar>
            <w:vAlign w:val="center"/>
          </w:tcPr>
          <w:p w14:paraId="204DA925">
            <w:pPr>
              <w:snapToGrid w:val="0"/>
              <w:spacing w:before="0" w:after="0"/>
              <w:ind w:left="0" w:leftChars="0" w:right="0" w:rightChars="0" w:firstLine="0" w:firstLineChars="0"/>
              <w:jc w:val="center"/>
              <w:rPr>
                <w:rFonts w:hint="default" w:ascii="Times New Roman" w:hAnsi="Times New Roman" w:eastAsia="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Any VIF &gt; 5</w:t>
            </w:r>
          </w:p>
        </w:tc>
        <w:tc>
          <w:tcPr>
            <w:tcW w:w="2709" w:type="dxa"/>
            <w:tcBorders>
              <w:top w:val="single" w:color="000000" w:sz="12" w:space="0"/>
              <w:left w:val="nil"/>
              <w:bottom w:val="single" w:color="000000" w:sz="4" w:space="0"/>
              <w:right w:val="nil"/>
            </w:tcBorders>
            <w:shd w:val="clear" w:color="auto" w:fill="FFFFFF"/>
            <w:tcMar>
              <w:top w:w="80" w:type="dxa"/>
              <w:left w:w="90" w:type="dxa"/>
              <w:bottom w:w="80" w:type="dxa"/>
              <w:right w:w="90" w:type="dxa"/>
            </w:tcMar>
            <w:vAlign w:val="center"/>
          </w:tcPr>
          <w:p w14:paraId="40920BC6">
            <w:pPr>
              <w:snapToGrid w:val="0"/>
              <w:spacing w:before="0" w:after="0"/>
              <w:ind w:left="0" w:leftChars="0" w:right="0" w:rightChars="0" w:firstLine="0" w:firstLineChars="0"/>
              <w:jc w:val="center"/>
              <w:rPr>
                <w:rFonts w:hint="default" w:ascii="Times New Roman" w:hAnsi="Times New Roman" w:eastAsia="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Number of predictors</w:t>
            </w:r>
          </w:p>
        </w:tc>
      </w:tr>
      <w:tr w14:paraId="78E4C216">
        <w:tblPrEx>
          <w:tblCellMar>
            <w:top w:w="0" w:type="dxa"/>
            <w:left w:w="108" w:type="dxa"/>
            <w:bottom w:w="0" w:type="dxa"/>
            <w:right w:w="108" w:type="dxa"/>
          </w:tblCellMar>
        </w:tblPrEx>
        <w:trPr>
          <w:trHeight w:val="0" w:hRule="atLeast"/>
          <w:jc w:val="center"/>
        </w:trPr>
        <w:tc>
          <w:tcPr>
            <w:tcW w:w="0" w:type="auto"/>
            <w:tcBorders>
              <w:top w:val="single" w:color="000000" w:sz="4" w:space="0"/>
              <w:left w:val="nil"/>
              <w:bottom w:val="nil"/>
              <w:right w:val="nil"/>
            </w:tcBorders>
            <w:shd w:val="clear" w:color="auto" w:fill="FFFFFF"/>
            <w:tcMar>
              <w:top w:w="80" w:type="dxa"/>
              <w:left w:w="90" w:type="dxa"/>
              <w:bottom w:w="80" w:type="dxa"/>
              <w:right w:w="90" w:type="dxa"/>
            </w:tcMar>
            <w:vAlign w:val="center"/>
          </w:tcPr>
          <w:p w14:paraId="44273C91">
            <w:pPr>
              <w:snapToGrid w:val="0"/>
              <w:spacing w:before="0" w:after="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Model 1</w:t>
            </w:r>
          </w:p>
        </w:tc>
        <w:tc>
          <w:tcPr>
            <w:tcW w:w="0" w:type="auto"/>
            <w:tcBorders>
              <w:top w:val="single" w:color="000000" w:sz="4" w:space="0"/>
              <w:left w:val="nil"/>
              <w:bottom w:val="nil"/>
              <w:right w:val="nil"/>
            </w:tcBorders>
            <w:shd w:val="clear" w:color="auto" w:fill="FFFFFF"/>
            <w:tcMar>
              <w:top w:w="80" w:type="dxa"/>
              <w:left w:w="90" w:type="dxa"/>
              <w:bottom w:w="80" w:type="dxa"/>
              <w:right w:w="90" w:type="dxa"/>
            </w:tcMar>
            <w:vAlign w:val="center"/>
          </w:tcPr>
          <w:p w14:paraId="44CA1AB5">
            <w:pPr>
              <w:snapToGrid w:val="0"/>
              <w:spacing w:before="0" w:after="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N/A</w:t>
            </w:r>
          </w:p>
        </w:tc>
        <w:tc>
          <w:tcPr>
            <w:tcW w:w="0" w:type="auto"/>
            <w:tcBorders>
              <w:top w:val="single" w:color="000000" w:sz="4" w:space="0"/>
              <w:left w:val="nil"/>
              <w:bottom w:val="nil"/>
              <w:right w:val="nil"/>
            </w:tcBorders>
            <w:shd w:val="clear" w:color="auto" w:fill="FFFFFF"/>
            <w:tcMar>
              <w:top w:w="80" w:type="dxa"/>
              <w:left w:w="90" w:type="dxa"/>
              <w:bottom w:w="80" w:type="dxa"/>
              <w:right w:w="90" w:type="dxa"/>
            </w:tcMar>
            <w:vAlign w:val="center"/>
          </w:tcPr>
          <w:p w14:paraId="6FC85401">
            <w:pPr>
              <w:snapToGrid w:val="0"/>
              <w:spacing w:before="0" w:after="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N/A</w:t>
            </w:r>
          </w:p>
        </w:tc>
        <w:tc>
          <w:tcPr>
            <w:tcW w:w="0" w:type="auto"/>
            <w:tcBorders>
              <w:top w:val="single" w:color="000000" w:sz="4" w:space="0"/>
              <w:left w:val="nil"/>
              <w:bottom w:val="nil"/>
              <w:right w:val="nil"/>
            </w:tcBorders>
            <w:shd w:val="clear" w:color="auto" w:fill="FFFFFF"/>
            <w:tcMar>
              <w:top w:w="80" w:type="dxa"/>
              <w:left w:w="90" w:type="dxa"/>
              <w:bottom w:w="80" w:type="dxa"/>
              <w:right w:w="90" w:type="dxa"/>
            </w:tcMar>
            <w:vAlign w:val="center"/>
          </w:tcPr>
          <w:p w14:paraId="6B6407DA">
            <w:pPr>
              <w:snapToGrid w:val="0"/>
              <w:spacing w:before="0" w:after="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N/A</w:t>
            </w:r>
          </w:p>
        </w:tc>
        <w:tc>
          <w:tcPr>
            <w:tcW w:w="2709" w:type="dxa"/>
            <w:tcBorders>
              <w:top w:val="single" w:color="000000" w:sz="4" w:space="0"/>
              <w:left w:val="nil"/>
              <w:bottom w:val="nil"/>
              <w:right w:val="nil"/>
            </w:tcBorders>
            <w:shd w:val="clear" w:color="auto" w:fill="FFFFFF"/>
            <w:tcMar>
              <w:top w:w="80" w:type="dxa"/>
              <w:left w:w="90" w:type="dxa"/>
              <w:bottom w:w="80" w:type="dxa"/>
              <w:right w:w="90" w:type="dxa"/>
            </w:tcMar>
            <w:vAlign w:val="center"/>
          </w:tcPr>
          <w:p w14:paraId="73AA4A2A">
            <w:pPr>
              <w:snapToGrid w:val="0"/>
              <w:spacing w:before="0" w:after="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w:t>
            </w:r>
          </w:p>
        </w:tc>
      </w:tr>
      <w:tr w14:paraId="2C7DE822">
        <w:tblPrEx>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tcMar>
              <w:top w:w="80" w:type="dxa"/>
              <w:left w:w="90" w:type="dxa"/>
              <w:bottom w:w="80" w:type="dxa"/>
              <w:right w:w="90" w:type="dxa"/>
            </w:tcMar>
            <w:vAlign w:val="center"/>
          </w:tcPr>
          <w:p w14:paraId="5536E8E0">
            <w:pPr>
              <w:snapToGrid w:val="0"/>
              <w:spacing w:before="0" w:after="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Model 2</w:t>
            </w:r>
          </w:p>
        </w:tc>
        <w:tc>
          <w:tcPr>
            <w:tcW w:w="0" w:type="auto"/>
            <w:tcBorders>
              <w:top w:val="nil"/>
              <w:left w:val="nil"/>
              <w:bottom w:val="nil"/>
              <w:right w:val="nil"/>
            </w:tcBorders>
            <w:shd w:val="clear" w:color="auto" w:fill="FFFFFF"/>
            <w:tcMar>
              <w:top w:w="80" w:type="dxa"/>
              <w:left w:w="90" w:type="dxa"/>
              <w:bottom w:w="80" w:type="dxa"/>
              <w:right w:w="90" w:type="dxa"/>
            </w:tcMar>
            <w:vAlign w:val="center"/>
          </w:tcPr>
          <w:p w14:paraId="0B7CA42F">
            <w:pPr>
              <w:snapToGrid w:val="0"/>
              <w:spacing w:before="0" w:after="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1.53</w:t>
            </w:r>
          </w:p>
        </w:tc>
        <w:tc>
          <w:tcPr>
            <w:tcW w:w="0" w:type="auto"/>
            <w:tcBorders>
              <w:top w:val="nil"/>
              <w:left w:val="nil"/>
              <w:bottom w:val="nil"/>
              <w:right w:val="nil"/>
            </w:tcBorders>
            <w:shd w:val="clear" w:color="auto" w:fill="FFFFFF"/>
            <w:tcMar>
              <w:top w:w="80" w:type="dxa"/>
              <w:left w:w="90" w:type="dxa"/>
              <w:bottom w:w="80" w:type="dxa"/>
              <w:right w:w="90" w:type="dxa"/>
            </w:tcMar>
            <w:vAlign w:val="center"/>
          </w:tcPr>
          <w:p w14:paraId="1B128AB9">
            <w:pPr>
              <w:snapToGrid w:val="0"/>
              <w:spacing w:before="0" w:after="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1.34</w:t>
            </w:r>
          </w:p>
        </w:tc>
        <w:tc>
          <w:tcPr>
            <w:tcW w:w="0" w:type="auto"/>
            <w:tcBorders>
              <w:top w:val="nil"/>
              <w:left w:val="nil"/>
              <w:bottom w:val="nil"/>
              <w:right w:val="nil"/>
            </w:tcBorders>
            <w:shd w:val="clear" w:color="auto" w:fill="FFFFFF"/>
            <w:tcMar>
              <w:top w:w="80" w:type="dxa"/>
              <w:left w:w="90" w:type="dxa"/>
              <w:bottom w:w="80" w:type="dxa"/>
              <w:right w:w="90" w:type="dxa"/>
            </w:tcMar>
            <w:vAlign w:val="center"/>
          </w:tcPr>
          <w:p w14:paraId="1F447F33">
            <w:pPr>
              <w:snapToGrid w:val="0"/>
              <w:spacing w:before="0" w:after="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No</w:t>
            </w:r>
          </w:p>
        </w:tc>
        <w:tc>
          <w:tcPr>
            <w:tcW w:w="2709" w:type="dxa"/>
            <w:tcBorders>
              <w:top w:val="nil"/>
              <w:left w:val="nil"/>
              <w:bottom w:val="nil"/>
              <w:right w:val="nil"/>
            </w:tcBorders>
            <w:shd w:val="clear" w:color="auto" w:fill="FFFFFF"/>
            <w:tcMar>
              <w:top w:w="80" w:type="dxa"/>
              <w:left w:w="90" w:type="dxa"/>
              <w:bottom w:w="80" w:type="dxa"/>
              <w:right w:w="90" w:type="dxa"/>
            </w:tcMar>
            <w:vAlign w:val="center"/>
          </w:tcPr>
          <w:p w14:paraId="5B16EB26">
            <w:pPr>
              <w:snapToGrid w:val="0"/>
              <w:spacing w:before="0" w:after="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w:t>
            </w:r>
          </w:p>
        </w:tc>
      </w:tr>
      <w:tr w14:paraId="2FCF86BC">
        <w:tblPrEx>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tcMar>
              <w:top w:w="80" w:type="dxa"/>
              <w:left w:w="90" w:type="dxa"/>
              <w:bottom w:w="80" w:type="dxa"/>
              <w:right w:w="90" w:type="dxa"/>
            </w:tcMar>
            <w:vAlign w:val="center"/>
          </w:tcPr>
          <w:p w14:paraId="3CBA6B13">
            <w:pPr>
              <w:snapToGrid w:val="0"/>
              <w:spacing w:before="0" w:after="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Model 3</w:t>
            </w:r>
          </w:p>
        </w:tc>
        <w:tc>
          <w:tcPr>
            <w:tcW w:w="0" w:type="auto"/>
            <w:tcBorders>
              <w:top w:val="nil"/>
              <w:left w:val="nil"/>
              <w:bottom w:val="nil"/>
              <w:right w:val="nil"/>
            </w:tcBorders>
            <w:shd w:val="clear" w:color="auto" w:fill="FFFFFF"/>
            <w:tcMar>
              <w:top w:w="80" w:type="dxa"/>
              <w:left w:w="90" w:type="dxa"/>
              <w:bottom w:w="80" w:type="dxa"/>
              <w:right w:w="90" w:type="dxa"/>
            </w:tcMar>
            <w:vAlign w:val="center"/>
          </w:tcPr>
          <w:p w14:paraId="28D61B20">
            <w:pPr>
              <w:snapToGrid w:val="0"/>
              <w:spacing w:before="0" w:after="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1.57</w:t>
            </w:r>
          </w:p>
        </w:tc>
        <w:tc>
          <w:tcPr>
            <w:tcW w:w="0" w:type="auto"/>
            <w:tcBorders>
              <w:top w:val="nil"/>
              <w:left w:val="nil"/>
              <w:bottom w:val="nil"/>
              <w:right w:val="nil"/>
            </w:tcBorders>
            <w:shd w:val="clear" w:color="auto" w:fill="FFFFFF"/>
            <w:tcMar>
              <w:top w:w="80" w:type="dxa"/>
              <w:left w:w="90" w:type="dxa"/>
              <w:bottom w:w="80" w:type="dxa"/>
              <w:right w:w="90" w:type="dxa"/>
            </w:tcMar>
            <w:vAlign w:val="center"/>
          </w:tcPr>
          <w:p w14:paraId="66FDA5A9">
            <w:pPr>
              <w:snapToGrid w:val="0"/>
              <w:spacing w:before="0" w:after="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1.21</w:t>
            </w:r>
          </w:p>
        </w:tc>
        <w:tc>
          <w:tcPr>
            <w:tcW w:w="0" w:type="auto"/>
            <w:tcBorders>
              <w:top w:val="nil"/>
              <w:left w:val="nil"/>
              <w:bottom w:val="nil"/>
              <w:right w:val="nil"/>
            </w:tcBorders>
            <w:shd w:val="clear" w:color="auto" w:fill="FFFFFF"/>
            <w:tcMar>
              <w:top w:w="80" w:type="dxa"/>
              <w:left w:w="90" w:type="dxa"/>
              <w:bottom w:w="80" w:type="dxa"/>
              <w:right w:w="90" w:type="dxa"/>
            </w:tcMar>
            <w:vAlign w:val="center"/>
          </w:tcPr>
          <w:p w14:paraId="36560497">
            <w:pPr>
              <w:snapToGrid w:val="0"/>
              <w:spacing w:before="0" w:after="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No</w:t>
            </w:r>
          </w:p>
        </w:tc>
        <w:tc>
          <w:tcPr>
            <w:tcW w:w="2709" w:type="dxa"/>
            <w:tcBorders>
              <w:top w:val="nil"/>
              <w:left w:val="nil"/>
              <w:bottom w:val="nil"/>
              <w:right w:val="nil"/>
            </w:tcBorders>
            <w:shd w:val="clear" w:color="auto" w:fill="FFFFFF"/>
            <w:tcMar>
              <w:top w:w="80" w:type="dxa"/>
              <w:left w:w="90" w:type="dxa"/>
              <w:bottom w:w="80" w:type="dxa"/>
              <w:right w:w="90" w:type="dxa"/>
            </w:tcMar>
            <w:vAlign w:val="center"/>
          </w:tcPr>
          <w:p w14:paraId="4A0797BC">
            <w:pPr>
              <w:snapToGrid w:val="0"/>
              <w:spacing w:before="0" w:after="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9</w:t>
            </w:r>
          </w:p>
        </w:tc>
      </w:tr>
      <w:tr w14:paraId="7C172C1D">
        <w:tblPrEx>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tcMar>
              <w:top w:w="80" w:type="dxa"/>
              <w:left w:w="90" w:type="dxa"/>
              <w:bottom w:w="80" w:type="dxa"/>
              <w:right w:w="90" w:type="dxa"/>
            </w:tcMar>
            <w:vAlign w:val="center"/>
          </w:tcPr>
          <w:p w14:paraId="09C7C020">
            <w:pPr>
              <w:snapToGrid w:val="0"/>
              <w:spacing w:before="0" w:after="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Model 4</w:t>
            </w:r>
          </w:p>
        </w:tc>
        <w:tc>
          <w:tcPr>
            <w:tcW w:w="0" w:type="auto"/>
            <w:tcBorders>
              <w:top w:val="nil"/>
              <w:left w:val="nil"/>
              <w:bottom w:val="nil"/>
              <w:right w:val="nil"/>
            </w:tcBorders>
            <w:shd w:val="clear" w:color="auto" w:fill="FFFFFF"/>
            <w:tcMar>
              <w:top w:w="80" w:type="dxa"/>
              <w:left w:w="90" w:type="dxa"/>
              <w:bottom w:w="80" w:type="dxa"/>
              <w:right w:w="90" w:type="dxa"/>
            </w:tcMar>
            <w:vAlign w:val="center"/>
          </w:tcPr>
          <w:p w14:paraId="3F51F3B7">
            <w:pPr>
              <w:snapToGrid w:val="0"/>
              <w:spacing w:before="0" w:after="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1.73</w:t>
            </w:r>
          </w:p>
        </w:tc>
        <w:tc>
          <w:tcPr>
            <w:tcW w:w="0" w:type="auto"/>
            <w:tcBorders>
              <w:top w:val="nil"/>
              <w:left w:val="nil"/>
              <w:bottom w:val="nil"/>
              <w:right w:val="nil"/>
            </w:tcBorders>
            <w:shd w:val="clear" w:color="auto" w:fill="FFFFFF"/>
            <w:tcMar>
              <w:top w:w="80" w:type="dxa"/>
              <w:left w:w="90" w:type="dxa"/>
              <w:bottom w:w="80" w:type="dxa"/>
              <w:right w:w="90" w:type="dxa"/>
            </w:tcMar>
            <w:vAlign w:val="center"/>
          </w:tcPr>
          <w:p w14:paraId="2D3D3B3E">
            <w:pPr>
              <w:snapToGrid w:val="0"/>
              <w:spacing w:before="0" w:after="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1.28</w:t>
            </w:r>
          </w:p>
        </w:tc>
        <w:tc>
          <w:tcPr>
            <w:tcW w:w="0" w:type="auto"/>
            <w:tcBorders>
              <w:top w:val="nil"/>
              <w:left w:val="nil"/>
              <w:bottom w:val="nil"/>
              <w:right w:val="nil"/>
            </w:tcBorders>
            <w:shd w:val="clear" w:color="auto" w:fill="FFFFFF"/>
            <w:tcMar>
              <w:top w:w="80" w:type="dxa"/>
              <w:left w:w="90" w:type="dxa"/>
              <w:bottom w:w="80" w:type="dxa"/>
              <w:right w:w="90" w:type="dxa"/>
            </w:tcMar>
            <w:vAlign w:val="center"/>
          </w:tcPr>
          <w:p w14:paraId="0787EDAD">
            <w:pPr>
              <w:snapToGrid w:val="0"/>
              <w:spacing w:before="0" w:after="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No</w:t>
            </w:r>
          </w:p>
        </w:tc>
        <w:tc>
          <w:tcPr>
            <w:tcW w:w="2709" w:type="dxa"/>
            <w:tcBorders>
              <w:top w:val="nil"/>
              <w:left w:val="nil"/>
              <w:bottom w:val="nil"/>
              <w:right w:val="nil"/>
            </w:tcBorders>
            <w:shd w:val="clear" w:color="auto" w:fill="FFFFFF"/>
            <w:tcMar>
              <w:top w:w="80" w:type="dxa"/>
              <w:left w:w="90" w:type="dxa"/>
              <w:bottom w:w="80" w:type="dxa"/>
              <w:right w:w="90" w:type="dxa"/>
            </w:tcMar>
            <w:vAlign w:val="center"/>
          </w:tcPr>
          <w:p w14:paraId="4528DE39">
            <w:pPr>
              <w:snapToGrid w:val="0"/>
              <w:spacing w:before="0" w:after="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12</w:t>
            </w:r>
          </w:p>
        </w:tc>
      </w:tr>
      <w:tr w14:paraId="6EDDECC3">
        <w:tblPrEx>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tcMar>
              <w:top w:w="80" w:type="dxa"/>
              <w:left w:w="90" w:type="dxa"/>
              <w:bottom w:w="80" w:type="dxa"/>
              <w:right w:w="90" w:type="dxa"/>
            </w:tcMar>
            <w:vAlign w:val="center"/>
          </w:tcPr>
          <w:p w14:paraId="53B37217">
            <w:pPr>
              <w:snapToGrid w:val="0"/>
              <w:spacing w:before="0" w:after="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Model 5</w:t>
            </w:r>
          </w:p>
        </w:tc>
        <w:tc>
          <w:tcPr>
            <w:tcW w:w="0" w:type="auto"/>
            <w:tcBorders>
              <w:top w:val="nil"/>
              <w:left w:val="nil"/>
              <w:bottom w:val="nil"/>
              <w:right w:val="nil"/>
            </w:tcBorders>
            <w:shd w:val="clear" w:color="auto" w:fill="FFFFFF"/>
            <w:tcMar>
              <w:top w:w="80" w:type="dxa"/>
              <w:left w:w="90" w:type="dxa"/>
              <w:bottom w:w="80" w:type="dxa"/>
              <w:right w:w="90" w:type="dxa"/>
            </w:tcMar>
            <w:vAlign w:val="center"/>
          </w:tcPr>
          <w:p w14:paraId="4E2A5223">
            <w:pPr>
              <w:snapToGrid w:val="0"/>
              <w:spacing w:before="0" w:after="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2.70</w:t>
            </w:r>
          </w:p>
        </w:tc>
        <w:tc>
          <w:tcPr>
            <w:tcW w:w="0" w:type="auto"/>
            <w:tcBorders>
              <w:top w:val="nil"/>
              <w:left w:val="nil"/>
              <w:bottom w:val="nil"/>
              <w:right w:val="nil"/>
            </w:tcBorders>
            <w:shd w:val="clear" w:color="auto" w:fill="FFFFFF"/>
            <w:tcMar>
              <w:top w:w="80" w:type="dxa"/>
              <w:left w:w="90" w:type="dxa"/>
              <w:bottom w:w="80" w:type="dxa"/>
              <w:right w:w="90" w:type="dxa"/>
            </w:tcMar>
            <w:vAlign w:val="center"/>
          </w:tcPr>
          <w:p w14:paraId="555BBC2F">
            <w:pPr>
              <w:snapToGrid w:val="0"/>
              <w:spacing w:before="0" w:after="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1.45</w:t>
            </w:r>
          </w:p>
        </w:tc>
        <w:tc>
          <w:tcPr>
            <w:tcW w:w="0" w:type="auto"/>
            <w:tcBorders>
              <w:top w:val="nil"/>
              <w:left w:val="nil"/>
              <w:bottom w:val="nil"/>
              <w:right w:val="nil"/>
            </w:tcBorders>
            <w:shd w:val="clear" w:color="auto" w:fill="FFFFFF"/>
            <w:tcMar>
              <w:top w:w="80" w:type="dxa"/>
              <w:left w:w="90" w:type="dxa"/>
              <w:bottom w:w="80" w:type="dxa"/>
              <w:right w:w="90" w:type="dxa"/>
            </w:tcMar>
            <w:vAlign w:val="center"/>
          </w:tcPr>
          <w:p w14:paraId="71342593">
            <w:pPr>
              <w:snapToGrid w:val="0"/>
              <w:spacing w:before="0" w:after="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No</w:t>
            </w:r>
          </w:p>
        </w:tc>
        <w:tc>
          <w:tcPr>
            <w:tcW w:w="2709" w:type="dxa"/>
            <w:tcBorders>
              <w:top w:val="nil"/>
              <w:left w:val="nil"/>
              <w:bottom w:val="nil"/>
              <w:right w:val="nil"/>
            </w:tcBorders>
            <w:shd w:val="clear" w:color="auto" w:fill="FFFFFF"/>
            <w:tcMar>
              <w:top w:w="80" w:type="dxa"/>
              <w:left w:w="90" w:type="dxa"/>
              <w:bottom w:w="80" w:type="dxa"/>
              <w:right w:w="90" w:type="dxa"/>
            </w:tcMar>
            <w:vAlign w:val="center"/>
          </w:tcPr>
          <w:p w14:paraId="6D3B36CA">
            <w:pPr>
              <w:snapToGrid w:val="0"/>
              <w:spacing w:before="0" w:after="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16</w:t>
            </w:r>
          </w:p>
        </w:tc>
      </w:tr>
      <w:tr w14:paraId="326675C7">
        <w:tblPrEx>
          <w:tblCellMar>
            <w:top w:w="0" w:type="dxa"/>
            <w:left w:w="108" w:type="dxa"/>
            <w:bottom w:w="0" w:type="dxa"/>
            <w:right w:w="108" w:type="dxa"/>
          </w:tblCellMar>
        </w:tblPrEx>
        <w:trPr>
          <w:trHeight w:val="0" w:hRule="atLeast"/>
          <w:jc w:val="center"/>
        </w:trPr>
        <w:tc>
          <w:tcPr>
            <w:tcW w:w="1105" w:type="dxa"/>
            <w:tcBorders>
              <w:top w:val="nil"/>
              <w:left w:val="nil"/>
              <w:bottom w:val="single" w:color="000000" w:sz="12" w:space="0"/>
              <w:right w:val="nil"/>
            </w:tcBorders>
            <w:shd w:val="clear" w:color="auto" w:fill="FFFFFF"/>
            <w:tcMar>
              <w:top w:w="80" w:type="dxa"/>
              <w:left w:w="90" w:type="dxa"/>
              <w:bottom w:w="80" w:type="dxa"/>
              <w:right w:w="90" w:type="dxa"/>
            </w:tcMar>
            <w:vAlign w:val="center"/>
          </w:tcPr>
          <w:p w14:paraId="63B8FB2D">
            <w:pPr>
              <w:snapToGrid w:val="0"/>
              <w:spacing w:before="0" w:after="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Model 6</w:t>
            </w:r>
          </w:p>
        </w:tc>
        <w:tc>
          <w:tcPr>
            <w:tcW w:w="1806" w:type="dxa"/>
            <w:tcBorders>
              <w:top w:val="nil"/>
              <w:left w:val="nil"/>
              <w:bottom w:val="single" w:color="000000" w:sz="12" w:space="0"/>
              <w:right w:val="nil"/>
            </w:tcBorders>
            <w:shd w:val="clear" w:color="auto" w:fill="FFFFFF"/>
            <w:tcMar>
              <w:top w:w="80" w:type="dxa"/>
              <w:left w:w="90" w:type="dxa"/>
              <w:bottom w:w="80" w:type="dxa"/>
              <w:right w:w="90" w:type="dxa"/>
            </w:tcMar>
            <w:vAlign w:val="center"/>
          </w:tcPr>
          <w:p w14:paraId="24A4B102">
            <w:pPr>
              <w:snapToGrid w:val="0"/>
              <w:spacing w:before="0" w:after="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2.71</w:t>
            </w:r>
          </w:p>
        </w:tc>
        <w:tc>
          <w:tcPr>
            <w:tcW w:w="1307" w:type="dxa"/>
            <w:tcBorders>
              <w:top w:val="nil"/>
              <w:left w:val="nil"/>
              <w:bottom w:val="single" w:color="000000" w:sz="12" w:space="0"/>
              <w:right w:val="nil"/>
            </w:tcBorders>
            <w:shd w:val="clear" w:color="auto" w:fill="FFFFFF"/>
            <w:tcMar>
              <w:top w:w="80" w:type="dxa"/>
              <w:left w:w="90" w:type="dxa"/>
              <w:bottom w:w="80" w:type="dxa"/>
              <w:right w:w="90" w:type="dxa"/>
            </w:tcMar>
            <w:vAlign w:val="center"/>
          </w:tcPr>
          <w:p w14:paraId="38AB01BB">
            <w:pPr>
              <w:snapToGrid w:val="0"/>
              <w:spacing w:before="0" w:after="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1.43</w:t>
            </w:r>
          </w:p>
        </w:tc>
        <w:tc>
          <w:tcPr>
            <w:tcW w:w="1556" w:type="dxa"/>
            <w:tcBorders>
              <w:top w:val="nil"/>
              <w:left w:val="nil"/>
              <w:bottom w:val="single" w:color="000000" w:sz="12" w:space="0"/>
              <w:right w:val="nil"/>
            </w:tcBorders>
            <w:shd w:val="clear" w:color="auto" w:fill="FFFFFF"/>
            <w:tcMar>
              <w:top w:w="80" w:type="dxa"/>
              <w:left w:w="90" w:type="dxa"/>
              <w:bottom w:w="80" w:type="dxa"/>
              <w:right w:w="90" w:type="dxa"/>
            </w:tcMar>
            <w:vAlign w:val="center"/>
          </w:tcPr>
          <w:p w14:paraId="62E4F3EB">
            <w:pPr>
              <w:snapToGrid w:val="0"/>
              <w:spacing w:before="0" w:after="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No</w:t>
            </w:r>
          </w:p>
        </w:tc>
        <w:tc>
          <w:tcPr>
            <w:tcW w:w="2709" w:type="dxa"/>
            <w:tcBorders>
              <w:top w:val="nil"/>
              <w:left w:val="nil"/>
              <w:bottom w:val="single" w:color="000000" w:sz="12" w:space="0"/>
              <w:right w:val="nil"/>
            </w:tcBorders>
            <w:shd w:val="clear" w:color="auto" w:fill="FFFFFF"/>
            <w:tcMar>
              <w:top w:w="80" w:type="dxa"/>
              <w:left w:w="90" w:type="dxa"/>
              <w:bottom w:w="80" w:type="dxa"/>
              <w:right w:w="90" w:type="dxa"/>
            </w:tcMar>
            <w:vAlign w:val="center"/>
          </w:tcPr>
          <w:p w14:paraId="642C1BB3">
            <w:pPr>
              <w:snapToGrid w:val="0"/>
              <w:spacing w:before="0" w:after="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17</w:t>
            </w:r>
          </w:p>
        </w:tc>
      </w:tr>
    </w:tbl>
    <w:p w14:paraId="36DDB9CA">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Variance inflation factors were derived from the design matrix of each Cox regression model used to evaluate postablation recurrence. Across all multivariable models, the maximum VIF remained below 3 and no model showed a VIF greater than 5, indicating no evidence of problematic multicollinearity.</w:t>
      </w:r>
    </w:p>
    <w:p w14:paraId="59860569">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 xml:space="preserve">Model 1 was univariable. </w:t>
      </w:r>
    </w:p>
    <w:p w14:paraId="1B74DD21">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 xml:space="preserve">Model 2 was adjusted for age and sex. </w:t>
      </w:r>
    </w:p>
    <w:p w14:paraId="1EE29ED4">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 xml:space="preserve">Model 3 was adjusted for age, sex, BMI, atrial fibrillation duration, hypertension, diabetes, coronary artery disease, and prior stroke. </w:t>
      </w:r>
    </w:p>
    <w:p w14:paraId="74D1F1CD">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 xml:space="preserve">Model 4 was adjusted for age, sex, BMI, atrial fibrillation duration, hypertension, diabetes, coronary artery disease, prior stroke, statin use, TG, and hyperlipidemia. Model 5 was adjusted for age, sex, BMI, atrial fibrillation duration, hypertension, diabetes, coronary artery disease, prior stroke, statin use, TG, hyperlipidemia, vein of Marshall ethanol infusion, substrate modification, LAD, and LVAs. </w:t>
      </w:r>
    </w:p>
    <w:p w14:paraId="3997D462">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Model 6 was adjusted for age, sex, BMI, atrial fibrillation duration, hypertension, diabetes, coronary artery disease, prior stroke, statin use, TG, hyperlipidemia, vein of Marshall ethanol infusion, substrate modification, LAD, LVAs, and AADs use. AADs use was defined as the use of antiarrhythmic drugs after the postablation blanking period.</w:t>
      </w:r>
    </w:p>
    <w:p w14:paraId="1ACF2823">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b/>
          <w:bCs/>
          <w:kern w:val="2"/>
          <w:sz w:val="24"/>
          <w:szCs w:val="24"/>
          <w:highlight w:val="none"/>
          <w:lang w:val="en-US" w:eastAsia="zh-CN" w:bidi="ar"/>
        </w:rPr>
        <w:t>Abbreviations:</w:t>
      </w:r>
      <w:r>
        <w:rPr>
          <w:rFonts w:hint="default" w:ascii="Times New Roman" w:hAnsi="Times New Roman" w:eastAsia="宋体" w:cs="Times New Roman"/>
          <w:kern w:val="2"/>
          <w:sz w:val="24"/>
          <w:szCs w:val="24"/>
          <w:highlight w:val="none"/>
          <w:lang w:val="en-US" w:eastAsia="zh-CN" w:bidi="ar"/>
        </w:rPr>
        <w:t xml:space="preserve"> AADs, antiarrhythmic drugs; BMI, body mass index; LAD, left atrial diameter; LDL-C, low-density lipoprotein cholesterol; LVAs, left atrial low-voltage areas; TG, triglycerides; VIF, variance inflation factor.</w:t>
      </w:r>
    </w:p>
    <w:p w14:paraId="71445C3A">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p>
    <w:p w14:paraId="08C39EA3">
      <w:pPr>
        <w:spacing w:line="480" w:lineRule="auto"/>
        <w:rPr>
          <w:rFonts w:hint="default" w:ascii="Times New Roman" w:hAnsi="Times New Roman" w:cs="Times New Roman"/>
          <w:b w:val="0"/>
          <w:bCs w:val="0"/>
          <w:kern w:val="0"/>
          <w:sz w:val="24"/>
          <w:szCs w:val="24"/>
          <w:highlight w:val="none"/>
          <w:lang w:val="en-US" w:eastAsia="zh-CN" w:bidi="ar"/>
        </w:rPr>
      </w:pPr>
      <w:r>
        <w:rPr>
          <w:rFonts w:hint="default" w:ascii="Times New Roman" w:hAnsi="Times New Roman" w:cs="Times New Roman" w:eastAsiaTheme="minorEastAsia"/>
          <w:b/>
          <w:bCs/>
          <w:kern w:val="0"/>
          <w:sz w:val="24"/>
          <w:szCs w:val="24"/>
          <w:highlight w:val="none"/>
          <w:lang w:val="en-US" w:eastAsia="zh-CN" w:bidi="ar"/>
        </w:rPr>
        <w:t>Supplementary Table S10.</w:t>
      </w:r>
      <w:r>
        <w:rPr>
          <w:rFonts w:hint="default" w:ascii="Times New Roman" w:hAnsi="Times New Roman" w:cs="Times New Roman" w:eastAsiaTheme="minorEastAsia"/>
          <w:b w:val="0"/>
          <w:bCs w:val="0"/>
          <w:kern w:val="0"/>
          <w:sz w:val="24"/>
          <w:szCs w:val="24"/>
          <w:highlight w:val="none"/>
          <w:lang w:val="en-US" w:eastAsia="zh-CN" w:bidi="ar"/>
        </w:rPr>
        <w:t xml:space="preserve"> Secondary clinical endpoints according to LDL-C quartiles</w:t>
      </w:r>
      <w:r>
        <w:rPr>
          <w:rFonts w:hint="default" w:ascii="Times New Roman" w:hAnsi="Times New Roman" w:cs="Times New Roman"/>
          <w:b w:val="0"/>
          <w:bCs w:val="0"/>
          <w:kern w:val="0"/>
          <w:sz w:val="24"/>
          <w:szCs w:val="24"/>
          <w:highlight w:val="none"/>
          <w:lang w:val="en-US" w:eastAsia="zh-CN" w:bidi="ar"/>
        </w:rPr>
        <w:t>.</w:t>
      </w:r>
    </w:p>
    <w:tbl>
      <w:tblPr>
        <w:tblStyle w:val="8"/>
        <w:tblW w:w="85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893"/>
        <w:gridCol w:w="1426"/>
        <w:gridCol w:w="1426"/>
        <w:gridCol w:w="1426"/>
        <w:gridCol w:w="1426"/>
        <w:gridCol w:w="907"/>
      </w:tblGrid>
      <w:tr w14:paraId="43EE6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0" w:type="auto"/>
            <w:tcBorders>
              <w:top w:val="single" w:color="000000" w:sz="12" w:space="0"/>
              <w:bottom w:val="single" w:color="000000" w:sz="4" w:space="0"/>
              <w:tl2br w:val="nil"/>
            </w:tcBorders>
            <w:shd w:val="clear" w:color="auto" w:fill="FFFFFF"/>
            <w:tcMar>
              <w:top w:w="50" w:type="dxa"/>
              <w:left w:w="80" w:type="dxa"/>
              <w:bottom w:w="50" w:type="dxa"/>
              <w:right w:w="80" w:type="dxa"/>
            </w:tcMar>
            <w:vAlign w:val="center"/>
          </w:tcPr>
          <w:p w14:paraId="5EEA5367">
            <w:pPr>
              <w:snapToGrid w:val="0"/>
              <w:ind w:left="0" w:leftChars="0" w:right="0" w:rightChars="0" w:firstLine="0" w:firstLineChars="0"/>
              <w:jc w:val="center"/>
              <w:rPr>
                <w:rFonts w:hint="default" w:ascii="Times New Roman" w:hAnsi="Times New Roman" w:eastAsia="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Secondary endpoint</w:t>
            </w:r>
          </w:p>
        </w:tc>
        <w:tc>
          <w:tcPr>
            <w:tcW w:w="1426" w:type="dxa"/>
            <w:tcBorders>
              <w:top w:val="single" w:color="000000" w:sz="12" w:space="0"/>
              <w:bottom w:val="single" w:color="000000" w:sz="4" w:space="0"/>
            </w:tcBorders>
            <w:shd w:val="clear" w:color="auto" w:fill="FFFFFF"/>
            <w:tcMar>
              <w:top w:w="50" w:type="dxa"/>
              <w:left w:w="80" w:type="dxa"/>
              <w:bottom w:w="50" w:type="dxa"/>
              <w:right w:w="80" w:type="dxa"/>
            </w:tcMar>
            <w:vAlign w:val="center"/>
          </w:tcPr>
          <w:p w14:paraId="64CD803B">
            <w:pPr>
              <w:snapToGrid w:val="0"/>
              <w:ind w:left="0" w:leftChars="0" w:right="0" w:rightChars="0" w:firstLine="0" w:firstLineChars="0"/>
              <w:jc w:val="center"/>
              <w:rPr>
                <w:rFonts w:hint="default" w:ascii="Times New Roman" w:hAnsi="Times New Roman" w:eastAsia="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0.55–1.88 mmol/L</w:t>
            </w:r>
            <w:r>
              <w:rPr>
                <w:rFonts w:hint="default" w:ascii="Times New Roman" w:hAnsi="Times New Roman" w:eastAsia="Times New Roman" w:cs="Times New Roman"/>
                <w:b/>
                <w:bCs/>
                <w:color w:val="000000"/>
                <w:sz w:val="24"/>
                <w:szCs w:val="24"/>
                <w:highlight w:val="none"/>
              </w:rPr>
              <w:br w:type="textWrapping"/>
            </w:r>
          </w:p>
          <w:p w14:paraId="39E42F00">
            <w:pPr>
              <w:snapToGrid w:val="0"/>
              <w:ind w:left="0" w:leftChars="0" w:right="0" w:rightChars="0" w:firstLine="0" w:firstLineChars="0"/>
              <w:jc w:val="center"/>
              <w:rPr>
                <w:rFonts w:hint="default" w:ascii="Times New Roman" w:hAnsi="Times New Roman" w:eastAsia="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(n=102)</w:t>
            </w:r>
          </w:p>
        </w:tc>
        <w:tc>
          <w:tcPr>
            <w:tcW w:w="1426" w:type="dxa"/>
            <w:tcBorders>
              <w:top w:val="single" w:color="000000" w:sz="12" w:space="0"/>
              <w:bottom w:val="single" w:color="000000" w:sz="4" w:space="0"/>
            </w:tcBorders>
            <w:shd w:val="clear" w:color="auto" w:fill="FFFFFF"/>
            <w:tcMar>
              <w:top w:w="50" w:type="dxa"/>
              <w:left w:w="80" w:type="dxa"/>
              <w:bottom w:w="50" w:type="dxa"/>
              <w:right w:w="80" w:type="dxa"/>
            </w:tcMar>
            <w:vAlign w:val="center"/>
          </w:tcPr>
          <w:p w14:paraId="0425A19A">
            <w:pPr>
              <w:snapToGrid w:val="0"/>
              <w:ind w:left="0" w:leftChars="0" w:right="0" w:rightChars="0" w:firstLine="0" w:firstLineChars="0"/>
              <w:jc w:val="center"/>
              <w:rPr>
                <w:rFonts w:hint="default" w:ascii="Times New Roman" w:hAnsi="Times New Roman" w:eastAsia="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1.88–2.35 mmol/L</w:t>
            </w:r>
            <w:r>
              <w:rPr>
                <w:rFonts w:hint="default" w:ascii="Times New Roman" w:hAnsi="Times New Roman" w:eastAsia="Times New Roman" w:cs="Times New Roman"/>
                <w:b/>
                <w:bCs/>
                <w:color w:val="000000"/>
                <w:sz w:val="24"/>
                <w:szCs w:val="24"/>
                <w:highlight w:val="none"/>
              </w:rPr>
              <w:br w:type="textWrapping"/>
            </w:r>
          </w:p>
          <w:p w14:paraId="6F28E849">
            <w:pPr>
              <w:snapToGrid w:val="0"/>
              <w:ind w:left="0" w:leftChars="0" w:right="0" w:rightChars="0" w:firstLine="0" w:firstLineChars="0"/>
              <w:jc w:val="center"/>
              <w:rPr>
                <w:rFonts w:hint="default" w:ascii="Times New Roman" w:hAnsi="Times New Roman" w:eastAsia="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(n=101)</w:t>
            </w:r>
          </w:p>
        </w:tc>
        <w:tc>
          <w:tcPr>
            <w:tcW w:w="1426" w:type="dxa"/>
            <w:tcBorders>
              <w:top w:val="single" w:color="000000" w:sz="12" w:space="0"/>
              <w:bottom w:val="single" w:color="000000" w:sz="4" w:space="0"/>
            </w:tcBorders>
            <w:shd w:val="clear" w:color="auto" w:fill="FFFFFF"/>
            <w:tcMar>
              <w:top w:w="50" w:type="dxa"/>
              <w:left w:w="80" w:type="dxa"/>
              <w:bottom w:w="50" w:type="dxa"/>
              <w:right w:w="80" w:type="dxa"/>
            </w:tcMar>
            <w:vAlign w:val="center"/>
          </w:tcPr>
          <w:p w14:paraId="5A31D25A">
            <w:pPr>
              <w:snapToGrid w:val="0"/>
              <w:ind w:left="0" w:leftChars="0" w:right="0" w:rightChars="0" w:firstLine="0" w:firstLineChars="0"/>
              <w:jc w:val="center"/>
              <w:rPr>
                <w:rFonts w:hint="default" w:ascii="Times New Roman" w:hAnsi="Times New Roman" w:eastAsia="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2.35–2.90 mmol/L</w:t>
            </w:r>
            <w:r>
              <w:rPr>
                <w:rFonts w:hint="default" w:ascii="Times New Roman" w:hAnsi="Times New Roman" w:eastAsia="Times New Roman" w:cs="Times New Roman"/>
                <w:b/>
                <w:bCs/>
                <w:color w:val="000000"/>
                <w:sz w:val="24"/>
                <w:szCs w:val="24"/>
                <w:highlight w:val="none"/>
              </w:rPr>
              <w:br w:type="textWrapping"/>
            </w:r>
          </w:p>
          <w:p w14:paraId="34A16719">
            <w:pPr>
              <w:snapToGrid w:val="0"/>
              <w:ind w:left="0" w:leftChars="0" w:right="0" w:rightChars="0" w:firstLine="0" w:firstLineChars="0"/>
              <w:jc w:val="center"/>
              <w:rPr>
                <w:rFonts w:hint="default" w:ascii="Times New Roman" w:hAnsi="Times New Roman" w:eastAsia="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(n=100)</w:t>
            </w:r>
          </w:p>
        </w:tc>
        <w:tc>
          <w:tcPr>
            <w:tcW w:w="1426" w:type="dxa"/>
            <w:tcBorders>
              <w:top w:val="single" w:color="000000" w:sz="12" w:space="0"/>
              <w:bottom w:val="single" w:color="000000" w:sz="4" w:space="0"/>
            </w:tcBorders>
            <w:shd w:val="clear" w:color="auto" w:fill="FFFFFF"/>
            <w:tcMar>
              <w:top w:w="50" w:type="dxa"/>
              <w:left w:w="80" w:type="dxa"/>
              <w:bottom w:w="50" w:type="dxa"/>
              <w:right w:w="80" w:type="dxa"/>
            </w:tcMar>
            <w:vAlign w:val="center"/>
          </w:tcPr>
          <w:p w14:paraId="3D4427F4">
            <w:pPr>
              <w:snapToGrid w:val="0"/>
              <w:ind w:left="0" w:leftChars="0" w:right="0" w:rightChars="0" w:firstLine="0" w:firstLineChars="0"/>
              <w:jc w:val="center"/>
              <w:rPr>
                <w:rFonts w:hint="default" w:ascii="Times New Roman" w:hAnsi="Times New Roman" w:eastAsia="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2.90–4.82 mmol/L</w:t>
            </w:r>
            <w:r>
              <w:rPr>
                <w:rFonts w:hint="default" w:ascii="Times New Roman" w:hAnsi="Times New Roman" w:eastAsia="Times New Roman" w:cs="Times New Roman"/>
                <w:b/>
                <w:bCs/>
                <w:color w:val="000000"/>
                <w:sz w:val="24"/>
                <w:szCs w:val="24"/>
                <w:highlight w:val="none"/>
              </w:rPr>
              <w:br w:type="textWrapping"/>
            </w:r>
          </w:p>
          <w:p w14:paraId="114607DA">
            <w:pPr>
              <w:snapToGrid w:val="0"/>
              <w:ind w:left="0" w:leftChars="0" w:right="0" w:rightChars="0" w:firstLine="0" w:firstLineChars="0"/>
              <w:jc w:val="center"/>
              <w:rPr>
                <w:rFonts w:hint="default" w:ascii="Times New Roman" w:hAnsi="Times New Roman" w:eastAsia="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(n=101)</w:t>
            </w:r>
          </w:p>
        </w:tc>
        <w:tc>
          <w:tcPr>
            <w:tcW w:w="906" w:type="dxa"/>
            <w:tcBorders>
              <w:top w:val="single" w:color="000000" w:sz="12" w:space="0"/>
              <w:bottom w:val="single" w:color="000000" w:sz="4" w:space="0"/>
            </w:tcBorders>
            <w:shd w:val="clear" w:color="auto" w:fill="FFFFFF"/>
            <w:tcMar>
              <w:top w:w="50" w:type="dxa"/>
              <w:left w:w="80" w:type="dxa"/>
              <w:bottom w:w="50" w:type="dxa"/>
              <w:right w:w="80" w:type="dxa"/>
            </w:tcMar>
            <w:vAlign w:val="center"/>
          </w:tcPr>
          <w:p w14:paraId="73B5368D">
            <w:pPr>
              <w:snapToGrid w:val="0"/>
              <w:ind w:left="0" w:leftChars="0" w:right="0" w:rightChars="0" w:firstLine="0" w:firstLineChars="0"/>
              <w:jc w:val="center"/>
              <w:rPr>
                <w:rFonts w:hint="default" w:ascii="Times New Roman" w:hAnsi="Times New Roman" w:eastAsia="Times New Roman" w:cs="Times New Roman"/>
                <w:b/>
                <w:bCs/>
                <w:color w:val="000000"/>
                <w:sz w:val="24"/>
                <w:szCs w:val="24"/>
                <w:highlight w:val="none"/>
              </w:rPr>
            </w:pPr>
            <w:r>
              <w:rPr>
                <w:rFonts w:hint="default" w:ascii="Times New Roman" w:hAnsi="Times New Roman" w:eastAsia="Times New Roman" w:cs="Times New Roman"/>
                <w:b/>
                <w:bCs/>
                <w:i/>
                <w:iCs/>
                <w:color w:val="000000"/>
                <w:sz w:val="24"/>
                <w:szCs w:val="24"/>
                <w:highlight w:val="none"/>
              </w:rPr>
              <w:t>P</w:t>
            </w:r>
            <w:r>
              <w:rPr>
                <w:rFonts w:hint="default" w:ascii="Times New Roman" w:hAnsi="Times New Roman" w:eastAsia="Times New Roman" w:cs="Times New Roman"/>
                <w:b/>
                <w:bCs/>
                <w:color w:val="000000"/>
                <w:sz w:val="24"/>
                <w:szCs w:val="24"/>
                <w:highlight w:val="none"/>
              </w:rPr>
              <w:t xml:space="preserve"> </w:t>
            </w:r>
            <w:r>
              <w:rPr>
                <w:rFonts w:hint="default" w:ascii="Times New Roman" w:hAnsi="Times New Roman" w:eastAsia="宋体" w:cs="Times New Roman"/>
                <w:b/>
                <w:bCs/>
                <w:color w:val="000000"/>
                <w:sz w:val="24"/>
                <w:szCs w:val="24"/>
                <w:highlight w:val="none"/>
                <w:lang w:val="en-US" w:eastAsia="zh-CN"/>
              </w:rPr>
              <w:t>v</w:t>
            </w:r>
            <w:r>
              <w:rPr>
                <w:rFonts w:hint="default" w:ascii="Times New Roman" w:hAnsi="Times New Roman" w:eastAsia="Times New Roman" w:cs="Times New Roman"/>
                <w:b/>
                <w:bCs/>
                <w:color w:val="000000"/>
                <w:sz w:val="24"/>
                <w:szCs w:val="24"/>
                <w:highlight w:val="none"/>
              </w:rPr>
              <w:t>alue</w:t>
            </w:r>
          </w:p>
        </w:tc>
      </w:tr>
      <w:tr w14:paraId="6362C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tcBorders>
            <w:shd w:val="clear" w:color="auto" w:fill="FFFFFF"/>
            <w:tcMar>
              <w:top w:w="50" w:type="dxa"/>
              <w:left w:w="80" w:type="dxa"/>
              <w:bottom w:w="50" w:type="dxa"/>
              <w:right w:w="80" w:type="dxa"/>
            </w:tcMar>
            <w:vAlign w:val="center"/>
          </w:tcPr>
          <w:p w14:paraId="2FBD64FF">
            <w:pPr>
              <w:snapToGrid w:val="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Acute coronary syndrome</w:t>
            </w:r>
          </w:p>
        </w:tc>
        <w:tc>
          <w:tcPr>
            <w:tcW w:w="1426" w:type="dxa"/>
            <w:tcBorders>
              <w:top w:val="single" w:color="000000" w:sz="4" w:space="0"/>
            </w:tcBorders>
            <w:shd w:val="clear" w:color="auto" w:fill="FFFFFF"/>
            <w:tcMar>
              <w:top w:w="50" w:type="dxa"/>
              <w:left w:w="80" w:type="dxa"/>
              <w:bottom w:w="50" w:type="dxa"/>
              <w:right w:w="80" w:type="dxa"/>
            </w:tcMar>
            <w:vAlign w:val="center"/>
          </w:tcPr>
          <w:p w14:paraId="5C966458">
            <w:pPr>
              <w:snapToGrid w:val="0"/>
              <w:ind w:left="0" w:leftChars="0" w:right="0" w:rightChars="0" w:firstLine="0" w:firstLineChars="0"/>
              <w:jc w:val="left"/>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 (1.0%)</w:t>
            </w:r>
          </w:p>
        </w:tc>
        <w:tc>
          <w:tcPr>
            <w:tcW w:w="1426" w:type="dxa"/>
            <w:tcBorders>
              <w:top w:val="single" w:color="000000" w:sz="4" w:space="0"/>
            </w:tcBorders>
            <w:shd w:val="clear" w:color="auto" w:fill="FFFFFF"/>
            <w:tcMar>
              <w:top w:w="50" w:type="dxa"/>
              <w:left w:w="80" w:type="dxa"/>
              <w:bottom w:w="50" w:type="dxa"/>
              <w:right w:w="80" w:type="dxa"/>
            </w:tcMar>
            <w:vAlign w:val="center"/>
          </w:tcPr>
          <w:p w14:paraId="64673B64">
            <w:pPr>
              <w:snapToGrid w:val="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 (1.0%)</w:t>
            </w:r>
          </w:p>
        </w:tc>
        <w:tc>
          <w:tcPr>
            <w:tcW w:w="1426" w:type="dxa"/>
            <w:tcBorders>
              <w:top w:val="single" w:color="000000" w:sz="4" w:space="0"/>
            </w:tcBorders>
            <w:shd w:val="clear" w:color="auto" w:fill="FFFFFF"/>
            <w:tcMar>
              <w:top w:w="50" w:type="dxa"/>
              <w:left w:w="80" w:type="dxa"/>
              <w:bottom w:w="50" w:type="dxa"/>
              <w:right w:w="80" w:type="dxa"/>
            </w:tcMar>
            <w:vAlign w:val="center"/>
          </w:tcPr>
          <w:p w14:paraId="13077438">
            <w:pPr>
              <w:snapToGrid w:val="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 (0.0%)</w:t>
            </w:r>
          </w:p>
        </w:tc>
        <w:tc>
          <w:tcPr>
            <w:tcW w:w="1426" w:type="dxa"/>
            <w:tcBorders>
              <w:top w:val="single" w:color="000000" w:sz="4" w:space="0"/>
            </w:tcBorders>
            <w:shd w:val="clear" w:color="auto" w:fill="FFFFFF"/>
            <w:tcMar>
              <w:top w:w="50" w:type="dxa"/>
              <w:left w:w="80" w:type="dxa"/>
              <w:bottom w:w="50" w:type="dxa"/>
              <w:right w:w="80" w:type="dxa"/>
            </w:tcMar>
            <w:vAlign w:val="center"/>
          </w:tcPr>
          <w:p w14:paraId="3C409756">
            <w:pPr>
              <w:snapToGrid w:val="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2 (2.0%)</w:t>
            </w:r>
          </w:p>
        </w:tc>
        <w:tc>
          <w:tcPr>
            <w:tcW w:w="906" w:type="dxa"/>
            <w:tcBorders>
              <w:top w:val="single" w:color="000000" w:sz="4" w:space="0"/>
            </w:tcBorders>
            <w:shd w:val="clear" w:color="auto" w:fill="FFFFFF"/>
            <w:tcMar>
              <w:top w:w="50" w:type="dxa"/>
              <w:left w:w="80" w:type="dxa"/>
              <w:bottom w:w="50" w:type="dxa"/>
              <w:right w:w="80" w:type="dxa"/>
            </w:tcMar>
            <w:vAlign w:val="center"/>
          </w:tcPr>
          <w:p w14:paraId="77AA1A20">
            <w:pPr>
              <w:snapToGrid w:val="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0.857</w:t>
            </w:r>
          </w:p>
        </w:tc>
      </w:tr>
      <w:tr w14:paraId="1168E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shd w:val="clear" w:color="auto" w:fill="FFFFFF"/>
            <w:tcMar>
              <w:top w:w="50" w:type="dxa"/>
              <w:left w:w="80" w:type="dxa"/>
              <w:bottom w:w="50" w:type="dxa"/>
              <w:right w:w="80" w:type="dxa"/>
            </w:tcMar>
            <w:vAlign w:val="center"/>
          </w:tcPr>
          <w:p w14:paraId="061063ED">
            <w:pPr>
              <w:snapToGrid w:val="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Stroke or TIA</w:t>
            </w:r>
          </w:p>
        </w:tc>
        <w:tc>
          <w:tcPr>
            <w:tcW w:w="1426" w:type="dxa"/>
            <w:shd w:val="clear" w:color="auto" w:fill="FFFFFF"/>
            <w:tcMar>
              <w:top w:w="50" w:type="dxa"/>
              <w:left w:w="80" w:type="dxa"/>
              <w:bottom w:w="50" w:type="dxa"/>
              <w:right w:w="80" w:type="dxa"/>
            </w:tcMar>
            <w:vAlign w:val="center"/>
          </w:tcPr>
          <w:p w14:paraId="0BD2ED4A">
            <w:pPr>
              <w:snapToGrid w:val="0"/>
              <w:ind w:left="0" w:leftChars="0" w:right="0" w:rightChars="0" w:firstLine="0" w:firstLineChars="0"/>
              <w:jc w:val="left"/>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 (2.9%)</w:t>
            </w:r>
          </w:p>
        </w:tc>
        <w:tc>
          <w:tcPr>
            <w:tcW w:w="1426" w:type="dxa"/>
            <w:shd w:val="clear" w:color="auto" w:fill="FFFFFF"/>
            <w:tcMar>
              <w:top w:w="50" w:type="dxa"/>
              <w:left w:w="80" w:type="dxa"/>
              <w:bottom w:w="50" w:type="dxa"/>
              <w:right w:w="80" w:type="dxa"/>
            </w:tcMar>
            <w:vAlign w:val="center"/>
          </w:tcPr>
          <w:p w14:paraId="73DFA3B9">
            <w:pPr>
              <w:snapToGrid w:val="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4 (4.0%)</w:t>
            </w:r>
          </w:p>
        </w:tc>
        <w:tc>
          <w:tcPr>
            <w:tcW w:w="1426" w:type="dxa"/>
            <w:shd w:val="clear" w:color="auto" w:fill="FFFFFF"/>
            <w:tcMar>
              <w:top w:w="50" w:type="dxa"/>
              <w:left w:w="80" w:type="dxa"/>
              <w:bottom w:w="50" w:type="dxa"/>
              <w:right w:w="80" w:type="dxa"/>
            </w:tcMar>
            <w:vAlign w:val="center"/>
          </w:tcPr>
          <w:p w14:paraId="1E60C115">
            <w:pPr>
              <w:snapToGrid w:val="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5 (5.0%)</w:t>
            </w:r>
          </w:p>
        </w:tc>
        <w:tc>
          <w:tcPr>
            <w:tcW w:w="1426" w:type="dxa"/>
            <w:shd w:val="clear" w:color="auto" w:fill="FFFFFF"/>
            <w:tcMar>
              <w:top w:w="50" w:type="dxa"/>
              <w:left w:w="80" w:type="dxa"/>
              <w:bottom w:w="50" w:type="dxa"/>
              <w:right w:w="80" w:type="dxa"/>
            </w:tcMar>
            <w:vAlign w:val="center"/>
          </w:tcPr>
          <w:p w14:paraId="23616695">
            <w:pPr>
              <w:snapToGrid w:val="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5 (5.0%)</w:t>
            </w:r>
          </w:p>
        </w:tc>
        <w:tc>
          <w:tcPr>
            <w:tcW w:w="906" w:type="dxa"/>
            <w:shd w:val="clear" w:color="auto" w:fill="FFFFFF"/>
            <w:tcMar>
              <w:top w:w="50" w:type="dxa"/>
              <w:left w:w="80" w:type="dxa"/>
              <w:bottom w:w="50" w:type="dxa"/>
              <w:right w:w="80" w:type="dxa"/>
            </w:tcMar>
            <w:vAlign w:val="center"/>
          </w:tcPr>
          <w:p w14:paraId="24705558">
            <w:pPr>
              <w:snapToGrid w:val="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0.842</w:t>
            </w:r>
          </w:p>
        </w:tc>
      </w:tr>
      <w:tr w14:paraId="0D00C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shd w:val="clear" w:color="auto" w:fill="FFFFFF"/>
            <w:tcMar>
              <w:top w:w="50" w:type="dxa"/>
              <w:left w:w="80" w:type="dxa"/>
              <w:bottom w:w="50" w:type="dxa"/>
              <w:right w:w="80" w:type="dxa"/>
            </w:tcMar>
            <w:vAlign w:val="center"/>
          </w:tcPr>
          <w:p w14:paraId="72A08CE7">
            <w:pPr>
              <w:snapToGrid w:val="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 xml:space="preserve">Heart </w:t>
            </w:r>
            <w:r>
              <w:rPr>
                <w:rFonts w:hint="default" w:ascii="Times New Roman" w:hAnsi="Times New Roman" w:eastAsia="Times New Roman" w:cs="Times New Roman"/>
                <w:b w:val="0"/>
                <w:color w:val="000000"/>
                <w:sz w:val="24"/>
                <w:szCs w:val="24"/>
                <w:highlight w:val="none"/>
                <w:lang w:val="en-US" w:eastAsia="zh-CN"/>
              </w:rPr>
              <w:t>f</w:t>
            </w:r>
            <w:r>
              <w:rPr>
                <w:rFonts w:hint="default" w:ascii="Times New Roman" w:hAnsi="Times New Roman" w:eastAsia="Times New Roman" w:cs="Times New Roman"/>
                <w:b w:val="0"/>
                <w:color w:val="000000"/>
                <w:sz w:val="24"/>
                <w:szCs w:val="24"/>
                <w:highlight w:val="none"/>
              </w:rPr>
              <w:t>ailure</w:t>
            </w:r>
          </w:p>
        </w:tc>
        <w:tc>
          <w:tcPr>
            <w:tcW w:w="1426" w:type="dxa"/>
            <w:shd w:val="clear" w:color="auto" w:fill="FFFFFF"/>
            <w:tcMar>
              <w:top w:w="50" w:type="dxa"/>
              <w:left w:w="80" w:type="dxa"/>
              <w:bottom w:w="50" w:type="dxa"/>
              <w:right w:w="80" w:type="dxa"/>
            </w:tcMar>
            <w:vAlign w:val="center"/>
          </w:tcPr>
          <w:p w14:paraId="6CFDA9A8">
            <w:pPr>
              <w:snapToGrid w:val="0"/>
              <w:ind w:left="0" w:leftChars="0" w:right="0" w:rightChars="0" w:firstLine="0" w:firstLineChars="0"/>
              <w:jc w:val="left"/>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 (2.9%)</w:t>
            </w:r>
          </w:p>
        </w:tc>
        <w:tc>
          <w:tcPr>
            <w:tcW w:w="1426" w:type="dxa"/>
            <w:shd w:val="clear" w:color="auto" w:fill="FFFFFF"/>
            <w:tcMar>
              <w:top w:w="50" w:type="dxa"/>
              <w:left w:w="80" w:type="dxa"/>
              <w:bottom w:w="50" w:type="dxa"/>
              <w:right w:w="80" w:type="dxa"/>
            </w:tcMar>
            <w:vAlign w:val="center"/>
          </w:tcPr>
          <w:p w14:paraId="1A575536">
            <w:pPr>
              <w:snapToGrid w:val="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4 (4.0%)</w:t>
            </w:r>
          </w:p>
        </w:tc>
        <w:tc>
          <w:tcPr>
            <w:tcW w:w="1426" w:type="dxa"/>
            <w:shd w:val="clear" w:color="auto" w:fill="FFFFFF"/>
            <w:tcMar>
              <w:top w:w="50" w:type="dxa"/>
              <w:left w:w="80" w:type="dxa"/>
              <w:bottom w:w="50" w:type="dxa"/>
              <w:right w:w="80" w:type="dxa"/>
            </w:tcMar>
            <w:vAlign w:val="center"/>
          </w:tcPr>
          <w:p w14:paraId="2E8D1F09">
            <w:pPr>
              <w:snapToGrid w:val="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2 (2.0%)</w:t>
            </w:r>
          </w:p>
        </w:tc>
        <w:tc>
          <w:tcPr>
            <w:tcW w:w="1426" w:type="dxa"/>
            <w:shd w:val="clear" w:color="auto" w:fill="FFFFFF"/>
            <w:tcMar>
              <w:top w:w="50" w:type="dxa"/>
              <w:left w:w="80" w:type="dxa"/>
              <w:bottom w:w="50" w:type="dxa"/>
              <w:right w:w="80" w:type="dxa"/>
            </w:tcMar>
            <w:vAlign w:val="center"/>
          </w:tcPr>
          <w:p w14:paraId="0828575F">
            <w:pPr>
              <w:snapToGrid w:val="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5 (5.0%)</w:t>
            </w:r>
          </w:p>
        </w:tc>
        <w:tc>
          <w:tcPr>
            <w:tcW w:w="906" w:type="dxa"/>
            <w:shd w:val="clear" w:color="auto" w:fill="FFFFFF"/>
            <w:tcMar>
              <w:top w:w="50" w:type="dxa"/>
              <w:left w:w="80" w:type="dxa"/>
              <w:bottom w:w="50" w:type="dxa"/>
              <w:right w:w="80" w:type="dxa"/>
            </w:tcMar>
            <w:vAlign w:val="center"/>
          </w:tcPr>
          <w:p w14:paraId="4E5D63FE">
            <w:pPr>
              <w:snapToGrid w:val="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0.741</w:t>
            </w:r>
          </w:p>
        </w:tc>
      </w:tr>
      <w:tr w14:paraId="0EEDD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893" w:type="dxa"/>
            <w:tcBorders>
              <w:bottom w:val="single" w:color="000000" w:sz="12" w:space="0"/>
            </w:tcBorders>
            <w:shd w:val="clear" w:color="auto" w:fill="FFFFFF"/>
            <w:tcMar>
              <w:top w:w="50" w:type="dxa"/>
              <w:left w:w="80" w:type="dxa"/>
              <w:bottom w:w="50" w:type="dxa"/>
              <w:right w:w="80" w:type="dxa"/>
            </w:tcMar>
            <w:vAlign w:val="center"/>
          </w:tcPr>
          <w:p w14:paraId="04E88C0D">
            <w:pPr>
              <w:snapToGrid w:val="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All-cause mortality</w:t>
            </w:r>
          </w:p>
        </w:tc>
        <w:tc>
          <w:tcPr>
            <w:tcW w:w="1426" w:type="dxa"/>
            <w:tcBorders>
              <w:bottom w:val="single" w:color="000000" w:sz="12" w:space="0"/>
            </w:tcBorders>
            <w:shd w:val="clear" w:color="auto" w:fill="FFFFFF"/>
            <w:tcMar>
              <w:top w:w="50" w:type="dxa"/>
              <w:left w:w="80" w:type="dxa"/>
              <w:bottom w:w="50" w:type="dxa"/>
              <w:right w:w="80" w:type="dxa"/>
            </w:tcMar>
            <w:vAlign w:val="center"/>
          </w:tcPr>
          <w:p w14:paraId="2FE34703">
            <w:pPr>
              <w:snapToGrid w:val="0"/>
              <w:ind w:left="0" w:leftChars="0" w:right="0" w:rightChars="0" w:firstLine="0" w:firstLineChars="0"/>
              <w:jc w:val="left"/>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 (1.0%)</w:t>
            </w:r>
          </w:p>
        </w:tc>
        <w:tc>
          <w:tcPr>
            <w:tcW w:w="1426" w:type="dxa"/>
            <w:tcBorders>
              <w:bottom w:val="single" w:color="000000" w:sz="12" w:space="0"/>
            </w:tcBorders>
            <w:shd w:val="clear" w:color="auto" w:fill="FFFFFF"/>
            <w:tcMar>
              <w:top w:w="50" w:type="dxa"/>
              <w:left w:w="80" w:type="dxa"/>
              <w:bottom w:w="50" w:type="dxa"/>
              <w:right w:w="80" w:type="dxa"/>
            </w:tcMar>
            <w:vAlign w:val="center"/>
          </w:tcPr>
          <w:p w14:paraId="4CE8E136">
            <w:pPr>
              <w:snapToGrid w:val="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 (1.0%)</w:t>
            </w:r>
          </w:p>
        </w:tc>
        <w:tc>
          <w:tcPr>
            <w:tcW w:w="1426" w:type="dxa"/>
            <w:tcBorders>
              <w:bottom w:val="single" w:color="000000" w:sz="12" w:space="0"/>
            </w:tcBorders>
            <w:shd w:val="clear" w:color="auto" w:fill="FFFFFF"/>
            <w:tcMar>
              <w:top w:w="50" w:type="dxa"/>
              <w:left w:w="80" w:type="dxa"/>
              <w:bottom w:w="50" w:type="dxa"/>
              <w:right w:w="80" w:type="dxa"/>
            </w:tcMar>
            <w:vAlign w:val="center"/>
          </w:tcPr>
          <w:p w14:paraId="5F67B2A9">
            <w:pPr>
              <w:snapToGrid w:val="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 (0.0%)</w:t>
            </w:r>
          </w:p>
        </w:tc>
        <w:tc>
          <w:tcPr>
            <w:tcW w:w="1426" w:type="dxa"/>
            <w:tcBorders>
              <w:bottom w:val="single" w:color="000000" w:sz="12" w:space="0"/>
            </w:tcBorders>
            <w:shd w:val="clear" w:color="auto" w:fill="FFFFFF"/>
            <w:tcMar>
              <w:top w:w="50" w:type="dxa"/>
              <w:left w:w="80" w:type="dxa"/>
              <w:bottom w:w="50" w:type="dxa"/>
              <w:right w:w="80" w:type="dxa"/>
            </w:tcMar>
            <w:vAlign w:val="center"/>
          </w:tcPr>
          <w:p w14:paraId="5029E4D9">
            <w:pPr>
              <w:snapToGrid w:val="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 (0.0%)</w:t>
            </w:r>
          </w:p>
        </w:tc>
        <w:tc>
          <w:tcPr>
            <w:tcW w:w="906" w:type="dxa"/>
            <w:tcBorders>
              <w:bottom w:val="single" w:color="000000" w:sz="12" w:space="0"/>
            </w:tcBorders>
            <w:shd w:val="clear" w:color="auto" w:fill="FFFFFF"/>
            <w:tcMar>
              <w:top w:w="50" w:type="dxa"/>
              <w:left w:w="80" w:type="dxa"/>
              <w:bottom w:w="50" w:type="dxa"/>
              <w:right w:w="80" w:type="dxa"/>
            </w:tcMar>
            <w:vAlign w:val="center"/>
          </w:tcPr>
          <w:p w14:paraId="0AE1F9B8">
            <w:pPr>
              <w:snapToGrid w:val="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1.000</w:t>
            </w:r>
          </w:p>
        </w:tc>
      </w:tr>
    </w:tbl>
    <w:p w14:paraId="29C3269C">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 xml:space="preserve">Values are presented as n (%). </w:t>
      </w:r>
      <w:r>
        <w:rPr>
          <w:rFonts w:hint="default" w:ascii="Times New Roman" w:hAnsi="Times New Roman" w:eastAsia="宋体" w:cs="Times New Roman"/>
          <w:i/>
          <w:iCs/>
          <w:kern w:val="2"/>
          <w:sz w:val="24"/>
          <w:szCs w:val="24"/>
          <w:highlight w:val="none"/>
          <w:lang w:val="en-US" w:eastAsia="zh-CN" w:bidi="ar"/>
        </w:rPr>
        <w:t>P</w:t>
      </w:r>
      <w:r>
        <w:rPr>
          <w:rFonts w:hint="default" w:ascii="Times New Roman" w:hAnsi="Times New Roman" w:eastAsia="宋体" w:cs="Times New Roman"/>
          <w:kern w:val="2"/>
          <w:sz w:val="24"/>
          <w:szCs w:val="24"/>
          <w:highlight w:val="none"/>
          <w:lang w:val="en-US" w:eastAsia="zh-CN" w:bidi="ar"/>
        </w:rPr>
        <w:t xml:space="preserve"> values were derived from Fisher’s exact test for comparisons across LDL-C quartiles. Secondary endpoints included hospitalizations or emergency department visits for acute coronary syndrome, stroke or transient ischemic attack, heart failure, and all-cause mortality.</w:t>
      </w:r>
    </w:p>
    <w:p w14:paraId="29B7DC96">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b/>
          <w:bCs/>
          <w:kern w:val="2"/>
          <w:sz w:val="24"/>
          <w:szCs w:val="24"/>
          <w:highlight w:val="none"/>
          <w:lang w:val="en-US" w:eastAsia="zh-CN" w:bidi="ar"/>
        </w:rPr>
        <w:t>Abbreviations:</w:t>
      </w:r>
      <w:r>
        <w:rPr>
          <w:rFonts w:hint="default" w:ascii="Times New Roman" w:hAnsi="Times New Roman" w:eastAsia="宋体" w:cs="Times New Roman"/>
          <w:kern w:val="2"/>
          <w:sz w:val="24"/>
          <w:szCs w:val="24"/>
          <w:highlight w:val="none"/>
          <w:lang w:val="en-US" w:eastAsia="zh-CN" w:bidi="ar"/>
        </w:rPr>
        <w:t xml:space="preserve"> LDL-C, low-density lipoprotein cholesterol; TIA, transient ischemic attack.</w:t>
      </w:r>
    </w:p>
    <w:p w14:paraId="6DED6F78">
      <w:pPr>
        <w:keepNext w:val="0"/>
        <w:keepLines w:val="0"/>
        <w:widowControl/>
        <w:suppressLineNumbers w:val="0"/>
        <w:jc w:val="left"/>
        <w:rPr>
          <w:rFonts w:hint="default" w:ascii="Times New Roman" w:hAnsi="Times New Roman" w:eastAsia="宋体" w:cs="Times New Roman"/>
          <w:kern w:val="2"/>
          <w:sz w:val="24"/>
          <w:szCs w:val="24"/>
          <w:highlight w:val="none"/>
          <w:lang w:val="en-US" w:eastAsia="zh-CN" w:bidi="ar"/>
        </w:rPr>
      </w:pPr>
    </w:p>
    <w:p w14:paraId="1273E7D1">
      <w:pPr>
        <w:spacing w:line="480" w:lineRule="auto"/>
        <w:rPr>
          <w:rFonts w:hint="default" w:ascii="Times New Roman" w:hAnsi="Times New Roman" w:cs="Times New Roman"/>
          <w:b w:val="0"/>
          <w:bCs w:val="0"/>
          <w:kern w:val="0"/>
          <w:sz w:val="24"/>
          <w:szCs w:val="24"/>
          <w:highlight w:val="none"/>
          <w:lang w:val="en-US" w:eastAsia="zh-CN" w:bidi="ar"/>
        </w:rPr>
      </w:pPr>
      <w:r>
        <w:rPr>
          <w:rFonts w:hint="default" w:ascii="Times New Roman" w:hAnsi="Times New Roman" w:cs="Times New Roman" w:eastAsiaTheme="minorEastAsia"/>
          <w:b/>
          <w:bCs/>
          <w:kern w:val="0"/>
          <w:sz w:val="24"/>
          <w:szCs w:val="24"/>
          <w:highlight w:val="none"/>
          <w:lang w:val="en-US" w:eastAsia="zh-CN" w:bidi="ar"/>
        </w:rPr>
        <w:t>Supplementary Table S11.</w:t>
      </w:r>
      <w:r>
        <w:rPr>
          <w:rFonts w:hint="default" w:ascii="Times New Roman" w:hAnsi="Times New Roman" w:cs="Times New Roman" w:eastAsiaTheme="minorEastAsia"/>
          <w:b w:val="0"/>
          <w:bCs w:val="0"/>
          <w:kern w:val="0"/>
          <w:sz w:val="24"/>
          <w:szCs w:val="24"/>
          <w:highlight w:val="none"/>
          <w:lang w:val="en-US" w:eastAsia="zh-CN" w:bidi="ar"/>
        </w:rPr>
        <w:t xml:space="preserve"> Comparison of characteristics and LVA prevalence according to mapping rhythm</w:t>
      </w:r>
      <w:r>
        <w:rPr>
          <w:rFonts w:hint="default" w:ascii="Times New Roman" w:hAnsi="Times New Roman" w:cs="Times New Roman"/>
          <w:b w:val="0"/>
          <w:bCs w:val="0"/>
          <w:kern w:val="0"/>
          <w:sz w:val="24"/>
          <w:szCs w:val="24"/>
          <w:highlight w:val="none"/>
          <w:lang w:val="en-US" w:eastAsia="zh-CN" w:bidi="ar"/>
        </w:rPr>
        <w:t>.</w:t>
      </w:r>
    </w:p>
    <w:tbl>
      <w:tblPr>
        <w:tblStyle w:val="8"/>
        <w:tblW w:w="85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701"/>
        <w:gridCol w:w="2411"/>
        <w:gridCol w:w="2420"/>
        <w:gridCol w:w="972"/>
      </w:tblGrid>
      <w:tr w14:paraId="132D3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2955" w:type="dxa"/>
            <w:tcBorders>
              <w:top w:val="single" w:color="000000" w:sz="12" w:space="0"/>
              <w:bottom w:val="single" w:color="000000" w:sz="4" w:space="0"/>
              <w:tl2br w:val="nil"/>
            </w:tcBorders>
            <w:shd w:val="clear" w:color="auto" w:fill="FFFFFF"/>
            <w:tcMar>
              <w:top w:w="80" w:type="dxa"/>
              <w:left w:w="100" w:type="dxa"/>
              <w:bottom w:w="80" w:type="dxa"/>
              <w:right w:w="100" w:type="dxa"/>
            </w:tcMar>
            <w:vAlign w:val="center"/>
          </w:tcPr>
          <w:p w14:paraId="4CA4E59A">
            <w:pPr>
              <w:snapToGrid w:val="0"/>
              <w:spacing w:before="0" w:after="0" w:line="240" w:lineRule="auto"/>
              <w:ind w:left="0" w:leftChars="0" w:right="0" w:rightChars="0" w:firstLine="0" w:firstLineChars="0"/>
              <w:jc w:val="center"/>
              <w:rPr>
                <w:rFonts w:hint="default" w:ascii="Times New Roman" w:hAnsi="Times New Roman" w:eastAsia="黑体" w:cs="Times New Roman"/>
                <w:b/>
                <w:bCs/>
                <w:color w:val="000000"/>
                <w:sz w:val="24"/>
                <w:szCs w:val="24"/>
                <w:highlight w:val="none"/>
              </w:rPr>
            </w:pPr>
            <w:r>
              <w:rPr>
                <w:rFonts w:hint="default" w:ascii="Times New Roman" w:hAnsi="Times New Roman" w:eastAsia="黑体" w:cs="Times New Roman"/>
                <w:b/>
                <w:bCs/>
                <w:color w:val="000000"/>
                <w:sz w:val="24"/>
                <w:szCs w:val="24"/>
                <w:highlight w:val="none"/>
              </w:rPr>
              <w:t>Variable</w:t>
            </w:r>
          </w:p>
        </w:tc>
        <w:tc>
          <w:tcPr>
            <w:tcW w:w="2316" w:type="dxa"/>
            <w:tcBorders>
              <w:top w:val="single" w:color="000000" w:sz="12" w:space="0"/>
              <w:bottom w:val="single" w:color="000000" w:sz="4" w:space="0"/>
            </w:tcBorders>
            <w:shd w:val="clear" w:color="auto" w:fill="FFFFFF"/>
            <w:tcMar>
              <w:top w:w="80" w:type="dxa"/>
              <w:left w:w="100" w:type="dxa"/>
              <w:bottom w:w="80" w:type="dxa"/>
              <w:right w:w="100" w:type="dxa"/>
            </w:tcMar>
            <w:vAlign w:val="center"/>
          </w:tcPr>
          <w:p w14:paraId="4B0EB25A">
            <w:pPr>
              <w:snapToGrid w:val="0"/>
              <w:spacing w:before="0" w:after="0" w:line="240" w:lineRule="auto"/>
              <w:ind w:left="0" w:leftChars="0" w:right="0" w:rightChars="0" w:firstLine="0" w:firstLineChars="0"/>
              <w:jc w:val="center"/>
              <w:rPr>
                <w:rFonts w:hint="default" w:ascii="Times New Roman" w:hAnsi="Times New Roman" w:eastAsia="黑体" w:cs="Times New Roman"/>
                <w:b/>
                <w:bCs/>
                <w:color w:val="000000"/>
                <w:sz w:val="24"/>
                <w:szCs w:val="24"/>
                <w:highlight w:val="none"/>
              </w:rPr>
            </w:pPr>
            <w:r>
              <w:rPr>
                <w:rFonts w:hint="default" w:ascii="Times New Roman" w:hAnsi="Times New Roman" w:eastAsia="黑体" w:cs="Times New Roman"/>
                <w:b/>
                <w:bCs/>
                <w:color w:val="000000"/>
                <w:sz w:val="24"/>
                <w:szCs w:val="24"/>
                <w:highlight w:val="none"/>
                <w:lang w:val="en-US" w:eastAsia="zh-CN"/>
              </w:rPr>
              <w:t>A</w:t>
            </w:r>
            <w:r>
              <w:rPr>
                <w:rFonts w:hint="default" w:ascii="Times New Roman" w:hAnsi="Times New Roman" w:eastAsia="黑体" w:cs="Times New Roman"/>
                <w:b/>
                <w:bCs/>
                <w:color w:val="000000"/>
                <w:sz w:val="24"/>
                <w:szCs w:val="24"/>
                <w:highlight w:val="none"/>
              </w:rPr>
              <w:t>trial arrhythmia mapping</w:t>
            </w:r>
            <w:r>
              <w:rPr>
                <w:rFonts w:hint="default" w:ascii="Times New Roman" w:hAnsi="Times New Roman" w:eastAsia="黑体" w:cs="Times New Roman"/>
                <w:b/>
                <w:bCs/>
                <w:color w:val="000000"/>
                <w:sz w:val="24"/>
                <w:szCs w:val="24"/>
                <w:highlight w:val="none"/>
              </w:rPr>
              <w:br w:type="textWrapping"/>
            </w:r>
          </w:p>
          <w:p w14:paraId="16C28945">
            <w:pPr>
              <w:snapToGrid w:val="0"/>
              <w:spacing w:before="0" w:after="0" w:line="240" w:lineRule="auto"/>
              <w:ind w:left="0" w:leftChars="0" w:right="0" w:rightChars="0" w:firstLine="0" w:firstLineChars="0"/>
              <w:jc w:val="center"/>
              <w:rPr>
                <w:rFonts w:hint="default" w:ascii="Times New Roman" w:hAnsi="Times New Roman" w:eastAsia="黑体" w:cs="Times New Roman"/>
                <w:b/>
                <w:bCs/>
                <w:color w:val="000000"/>
                <w:sz w:val="24"/>
                <w:szCs w:val="24"/>
                <w:highlight w:val="none"/>
              </w:rPr>
            </w:pPr>
            <w:r>
              <w:rPr>
                <w:rFonts w:hint="default" w:ascii="Times New Roman" w:hAnsi="Times New Roman" w:eastAsia="黑体" w:cs="Times New Roman"/>
                <w:b/>
                <w:bCs/>
                <w:color w:val="000000"/>
                <w:sz w:val="24"/>
                <w:szCs w:val="24"/>
                <w:highlight w:val="none"/>
              </w:rPr>
              <w:t>(n=77)</w:t>
            </w:r>
          </w:p>
        </w:tc>
        <w:tc>
          <w:tcPr>
            <w:tcW w:w="2231" w:type="dxa"/>
            <w:tcBorders>
              <w:top w:val="single" w:color="000000" w:sz="12" w:space="0"/>
              <w:bottom w:val="single" w:color="000000" w:sz="4" w:space="0"/>
            </w:tcBorders>
            <w:shd w:val="clear" w:color="auto" w:fill="FFFFFF"/>
            <w:tcMar>
              <w:top w:w="80" w:type="dxa"/>
              <w:left w:w="100" w:type="dxa"/>
              <w:bottom w:w="80" w:type="dxa"/>
              <w:right w:w="100" w:type="dxa"/>
            </w:tcMar>
            <w:vAlign w:val="center"/>
          </w:tcPr>
          <w:p w14:paraId="05CDE9CC">
            <w:pPr>
              <w:snapToGrid w:val="0"/>
              <w:spacing w:before="0" w:after="0" w:line="240" w:lineRule="auto"/>
              <w:ind w:left="0" w:leftChars="0" w:right="0" w:rightChars="0" w:firstLine="0" w:firstLineChars="0"/>
              <w:jc w:val="center"/>
              <w:rPr>
                <w:rFonts w:hint="default" w:ascii="Times New Roman" w:hAnsi="Times New Roman" w:eastAsia="黑体" w:cs="Times New Roman"/>
                <w:b/>
                <w:bCs/>
                <w:color w:val="000000"/>
                <w:sz w:val="24"/>
                <w:szCs w:val="24"/>
                <w:highlight w:val="none"/>
              </w:rPr>
            </w:pPr>
            <w:r>
              <w:rPr>
                <w:rFonts w:hint="default" w:ascii="Times New Roman" w:hAnsi="Times New Roman" w:eastAsia="黑体" w:cs="Times New Roman"/>
                <w:b/>
                <w:bCs/>
                <w:color w:val="000000"/>
                <w:sz w:val="24"/>
                <w:szCs w:val="24"/>
                <w:highlight w:val="none"/>
              </w:rPr>
              <w:t>Sinus rhythm mapping</w:t>
            </w:r>
            <w:r>
              <w:rPr>
                <w:rFonts w:hint="default" w:ascii="Times New Roman" w:hAnsi="Times New Roman" w:eastAsia="黑体" w:cs="Times New Roman"/>
                <w:b/>
                <w:bCs/>
                <w:color w:val="000000"/>
                <w:sz w:val="24"/>
                <w:szCs w:val="24"/>
                <w:highlight w:val="none"/>
              </w:rPr>
              <w:br w:type="textWrapping"/>
            </w:r>
          </w:p>
          <w:p w14:paraId="2F368B95">
            <w:pPr>
              <w:snapToGrid w:val="0"/>
              <w:spacing w:before="0" w:after="0" w:line="240" w:lineRule="auto"/>
              <w:ind w:left="0" w:leftChars="0" w:right="0" w:rightChars="0" w:firstLine="0" w:firstLineChars="0"/>
              <w:jc w:val="center"/>
              <w:rPr>
                <w:rFonts w:hint="default" w:ascii="Times New Roman" w:hAnsi="Times New Roman" w:eastAsia="黑体" w:cs="Times New Roman"/>
                <w:b/>
                <w:bCs/>
                <w:color w:val="000000"/>
                <w:sz w:val="24"/>
                <w:szCs w:val="24"/>
                <w:highlight w:val="none"/>
              </w:rPr>
            </w:pPr>
            <w:r>
              <w:rPr>
                <w:rFonts w:hint="default" w:ascii="Times New Roman" w:hAnsi="Times New Roman" w:eastAsia="黑体" w:cs="Times New Roman"/>
                <w:b/>
                <w:bCs/>
                <w:color w:val="000000"/>
                <w:sz w:val="24"/>
                <w:szCs w:val="24"/>
                <w:highlight w:val="none"/>
              </w:rPr>
              <w:t>(n=327)</w:t>
            </w:r>
          </w:p>
        </w:tc>
        <w:tc>
          <w:tcPr>
            <w:tcW w:w="1002" w:type="dxa"/>
            <w:tcBorders>
              <w:top w:val="single" w:color="000000" w:sz="12" w:space="0"/>
              <w:bottom w:val="single" w:color="000000" w:sz="4" w:space="0"/>
            </w:tcBorders>
            <w:shd w:val="clear" w:color="auto" w:fill="FFFFFF"/>
            <w:tcMar>
              <w:top w:w="80" w:type="dxa"/>
              <w:left w:w="100" w:type="dxa"/>
              <w:bottom w:w="80" w:type="dxa"/>
              <w:right w:w="100" w:type="dxa"/>
            </w:tcMar>
            <w:vAlign w:val="center"/>
          </w:tcPr>
          <w:p w14:paraId="42D105A0">
            <w:pPr>
              <w:snapToGrid w:val="0"/>
              <w:spacing w:before="0" w:after="0" w:line="240" w:lineRule="auto"/>
              <w:ind w:left="0" w:leftChars="0" w:right="0" w:rightChars="0" w:firstLine="0" w:firstLineChars="0"/>
              <w:jc w:val="center"/>
              <w:rPr>
                <w:rFonts w:hint="default" w:ascii="Times New Roman" w:hAnsi="Times New Roman" w:eastAsia="黑体" w:cs="Times New Roman"/>
                <w:b/>
                <w:bCs/>
                <w:color w:val="000000"/>
                <w:sz w:val="24"/>
                <w:szCs w:val="24"/>
                <w:highlight w:val="none"/>
              </w:rPr>
            </w:pPr>
            <w:r>
              <w:rPr>
                <w:rFonts w:hint="default" w:ascii="Times New Roman" w:hAnsi="Times New Roman" w:eastAsia="黑体" w:cs="Times New Roman"/>
                <w:b/>
                <w:bCs/>
                <w:i/>
                <w:iCs/>
                <w:color w:val="000000"/>
                <w:sz w:val="24"/>
                <w:szCs w:val="24"/>
                <w:highlight w:val="none"/>
              </w:rPr>
              <w:t>P</w:t>
            </w:r>
            <w:r>
              <w:rPr>
                <w:rFonts w:hint="default" w:ascii="Times New Roman" w:hAnsi="Times New Roman" w:eastAsia="黑体" w:cs="Times New Roman"/>
                <w:b/>
                <w:bCs/>
                <w:color w:val="000000"/>
                <w:sz w:val="24"/>
                <w:szCs w:val="24"/>
                <w:highlight w:val="none"/>
              </w:rPr>
              <w:t xml:space="preserve"> </w:t>
            </w:r>
            <w:r>
              <w:rPr>
                <w:rFonts w:hint="default" w:ascii="Times New Roman" w:hAnsi="Times New Roman" w:eastAsia="黑体" w:cs="Times New Roman"/>
                <w:b/>
                <w:bCs/>
                <w:color w:val="000000"/>
                <w:sz w:val="24"/>
                <w:szCs w:val="24"/>
                <w:highlight w:val="none"/>
                <w:lang w:val="en-US" w:eastAsia="zh-CN"/>
              </w:rPr>
              <w:t>v</w:t>
            </w:r>
            <w:r>
              <w:rPr>
                <w:rFonts w:hint="default" w:ascii="Times New Roman" w:hAnsi="Times New Roman" w:eastAsia="黑体" w:cs="Times New Roman"/>
                <w:b/>
                <w:bCs/>
                <w:color w:val="000000"/>
                <w:sz w:val="24"/>
                <w:szCs w:val="24"/>
                <w:highlight w:val="none"/>
              </w:rPr>
              <w:t>alue</w:t>
            </w:r>
          </w:p>
        </w:tc>
      </w:tr>
      <w:tr w14:paraId="23941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955" w:type="dxa"/>
            <w:tcBorders>
              <w:top w:val="single" w:color="000000" w:sz="4" w:space="0"/>
            </w:tcBorders>
            <w:shd w:val="clear" w:color="auto" w:fill="FFFFFF"/>
            <w:tcMar>
              <w:top w:w="80" w:type="dxa"/>
              <w:left w:w="100" w:type="dxa"/>
              <w:bottom w:w="80" w:type="dxa"/>
              <w:right w:w="100" w:type="dxa"/>
            </w:tcMar>
            <w:vAlign w:val="center"/>
          </w:tcPr>
          <w:p w14:paraId="07D826F4">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Male sex, n</w:t>
            </w:r>
            <w:r>
              <w:rPr>
                <w:rFonts w:hint="default" w:ascii="Times New Roman" w:hAnsi="Times New Roman" w:eastAsia="黑体" w:cs="Times New Roman"/>
                <w:b w:val="0"/>
                <w:color w:val="000000"/>
                <w:sz w:val="24"/>
                <w:szCs w:val="24"/>
                <w:highlight w:val="none"/>
                <w:lang w:val="en-US" w:eastAsia="zh-CN"/>
              </w:rPr>
              <w:t xml:space="preserve"> (</w:t>
            </w:r>
            <w:r>
              <w:rPr>
                <w:rFonts w:hint="default" w:ascii="Times New Roman" w:hAnsi="Times New Roman" w:eastAsia="黑体" w:cs="Times New Roman"/>
                <w:b w:val="0"/>
                <w:color w:val="000000"/>
                <w:sz w:val="24"/>
                <w:szCs w:val="24"/>
                <w:highlight w:val="none"/>
              </w:rPr>
              <w:t>%</w:t>
            </w:r>
            <w:r>
              <w:rPr>
                <w:rFonts w:hint="default" w:ascii="Times New Roman" w:hAnsi="Times New Roman" w:eastAsia="黑体" w:cs="Times New Roman"/>
                <w:b w:val="0"/>
                <w:color w:val="000000"/>
                <w:sz w:val="24"/>
                <w:szCs w:val="24"/>
                <w:highlight w:val="none"/>
                <w:lang w:val="en-US" w:eastAsia="zh-CN"/>
              </w:rPr>
              <w:t>)</w:t>
            </w:r>
          </w:p>
        </w:tc>
        <w:tc>
          <w:tcPr>
            <w:tcW w:w="2316" w:type="dxa"/>
            <w:tcBorders>
              <w:top w:val="single" w:color="000000" w:sz="4" w:space="0"/>
            </w:tcBorders>
            <w:shd w:val="clear" w:color="auto" w:fill="FFFFFF"/>
            <w:tcMar>
              <w:top w:w="80" w:type="dxa"/>
              <w:left w:w="100" w:type="dxa"/>
              <w:bottom w:w="80" w:type="dxa"/>
              <w:right w:w="100" w:type="dxa"/>
            </w:tcMar>
            <w:vAlign w:val="center"/>
          </w:tcPr>
          <w:p w14:paraId="62020699">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44(57.1%)</w:t>
            </w:r>
          </w:p>
        </w:tc>
        <w:tc>
          <w:tcPr>
            <w:tcW w:w="2231" w:type="dxa"/>
            <w:tcBorders>
              <w:top w:val="single" w:color="000000" w:sz="4" w:space="0"/>
            </w:tcBorders>
            <w:shd w:val="clear" w:color="auto" w:fill="FFFFFF"/>
            <w:tcMar>
              <w:top w:w="80" w:type="dxa"/>
              <w:left w:w="100" w:type="dxa"/>
              <w:bottom w:w="80" w:type="dxa"/>
              <w:right w:w="100" w:type="dxa"/>
            </w:tcMar>
            <w:vAlign w:val="center"/>
          </w:tcPr>
          <w:p w14:paraId="31B8A9C7">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207(63.3%)</w:t>
            </w:r>
          </w:p>
        </w:tc>
        <w:tc>
          <w:tcPr>
            <w:tcW w:w="1002" w:type="dxa"/>
            <w:tcBorders>
              <w:top w:val="single" w:color="000000" w:sz="4" w:space="0"/>
            </w:tcBorders>
            <w:shd w:val="clear" w:color="auto" w:fill="FFFFFF"/>
            <w:tcMar>
              <w:top w:w="80" w:type="dxa"/>
              <w:left w:w="100" w:type="dxa"/>
              <w:bottom w:w="80" w:type="dxa"/>
              <w:right w:w="100" w:type="dxa"/>
            </w:tcMar>
            <w:vAlign w:val="center"/>
          </w:tcPr>
          <w:p w14:paraId="26155543">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0.383</w:t>
            </w:r>
          </w:p>
        </w:tc>
      </w:tr>
      <w:tr w14:paraId="46109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955" w:type="dxa"/>
            <w:shd w:val="clear" w:color="auto" w:fill="FFFFFF"/>
            <w:tcMar>
              <w:top w:w="80" w:type="dxa"/>
              <w:left w:w="100" w:type="dxa"/>
              <w:bottom w:w="80" w:type="dxa"/>
              <w:right w:w="100" w:type="dxa"/>
            </w:tcMar>
            <w:vAlign w:val="center"/>
          </w:tcPr>
          <w:p w14:paraId="187ADB33">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Age, years</w:t>
            </w:r>
          </w:p>
        </w:tc>
        <w:tc>
          <w:tcPr>
            <w:tcW w:w="2316" w:type="dxa"/>
            <w:shd w:val="clear" w:color="auto" w:fill="FFFFFF"/>
            <w:tcMar>
              <w:top w:w="80" w:type="dxa"/>
              <w:left w:w="100" w:type="dxa"/>
              <w:bottom w:w="80" w:type="dxa"/>
              <w:right w:w="100" w:type="dxa"/>
            </w:tcMar>
            <w:vAlign w:val="center"/>
          </w:tcPr>
          <w:p w14:paraId="5715DF72">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65.00[59.00-71.00]</w:t>
            </w:r>
          </w:p>
        </w:tc>
        <w:tc>
          <w:tcPr>
            <w:tcW w:w="2231" w:type="dxa"/>
            <w:shd w:val="clear" w:color="auto" w:fill="FFFFFF"/>
            <w:tcMar>
              <w:top w:w="80" w:type="dxa"/>
              <w:left w:w="100" w:type="dxa"/>
              <w:bottom w:w="80" w:type="dxa"/>
              <w:right w:w="100" w:type="dxa"/>
            </w:tcMar>
            <w:vAlign w:val="center"/>
          </w:tcPr>
          <w:p w14:paraId="2C713DD0">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67.00[60.50-72.50]</w:t>
            </w:r>
          </w:p>
        </w:tc>
        <w:tc>
          <w:tcPr>
            <w:tcW w:w="1002" w:type="dxa"/>
            <w:shd w:val="clear" w:color="auto" w:fill="FFFFFF"/>
            <w:tcMar>
              <w:top w:w="80" w:type="dxa"/>
              <w:left w:w="100" w:type="dxa"/>
              <w:bottom w:w="80" w:type="dxa"/>
              <w:right w:w="100" w:type="dxa"/>
            </w:tcMar>
            <w:vAlign w:val="center"/>
          </w:tcPr>
          <w:p w14:paraId="097784CB">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0.35</w:t>
            </w:r>
          </w:p>
        </w:tc>
      </w:tr>
      <w:tr w14:paraId="5D4CF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955" w:type="dxa"/>
            <w:shd w:val="clear" w:color="auto" w:fill="FFFFFF"/>
            <w:tcMar>
              <w:top w:w="80" w:type="dxa"/>
              <w:left w:w="100" w:type="dxa"/>
              <w:bottom w:w="80" w:type="dxa"/>
              <w:right w:w="100" w:type="dxa"/>
            </w:tcMar>
            <w:vAlign w:val="center"/>
          </w:tcPr>
          <w:p w14:paraId="2DDA5E52">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BMI, kg/m²</w:t>
            </w:r>
          </w:p>
        </w:tc>
        <w:tc>
          <w:tcPr>
            <w:tcW w:w="2316" w:type="dxa"/>
            <w:shd w:val="clear" w:color="auto" w:fill="FFFFFF"/>
            <w:tcMar>
              <w:top w:w="80" w:type="dxa"/>
              <w:left w:w="100" w:type="dxa"/>
              <w:bottom w:w="80" w:type="dxa"/>
              <w:right w:w="100" w:type="dxa"/>
            </w:tcMar>
            <w:vAlign w:val="center"/>
          </w:tcPr>
          <w:p w14:paraId="2F1F9C12">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24.65[22.64-26.56]</w:t>
            </w:r>
          </w:p>
        </w:tc>
        <w:tc>
          <w:tcPr>
            <w:tcW w:w="2231" w:type="dxa"/>
            <w:shd w:val="clear" w:color="auto" w:fill="FFFFFF"/>
            <w:tcMar>
              <w:top w:w="80" w:type="dxa"/>
              <w:left w:w="100" w:type="dxa"/>
              <w:bottom w:w="80" w:type="dxa"/>
              <w:right w:w="100" w:type="dxa"/>
            </w:tcMar>
            <w:vAlign w:val="center"/>
          </w:tcPr>
          <w:p w14:paraId="48018D3A">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25.39[23.53-28.22]</w:t>
            </w:r>
          </w:p>
        </w:tc>
        <w:tc>
          <w:tcPr>
            <w:tcW w:w="1002" w:type="dxa"/>
            <w:shd w:val="clear" w:color="auto" w:fill="FFFFFF"/>
            <w:tcMar>
              <w:top w:w="80" w:type="dxa"/>
              <w:left w:w="100" w:type="dxa"/>
              <w:bottom w:w="80" w:type="dxa"/>
              <w:right w:w="100" w:type="dxa"/>
            </w:tcMar>
            <w:vAlign w:val="center"/>
          </w:tcPr>
          <w:p w14:paraId="02C58746">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0.018</w:t>
            </w:r>
          </w:p>
        </w:tc>
      </w:tr>
      <w:tr w14:paraId="66125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955" w:type="dxa"/>
            <w:shd w:val="clear" w:color="auto" w:fill="FFFFFF"/>
            <w:tcMar>
              <w:top w:w="80" w:type="dxa"/>
              <w:left w:w="100" w:type="dxa"/>
              <w:bottom w:w="80" w:type="dxa"/>
              <w:right w:w="100" w:type="dxa"/>
            </w:tcMar>
            <w:vAlign w:val="center"/>
          </w:tcPr>
          <w:p w14:paraId="22069F27">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AF duration, years</w:t>
            </w:r>
          </w:p>
        </w:tc>
        <w:tc>
          <w:tcPr>
            <w:tcW w:w="2316" w:type="dxa"/>
            <w:shd w:val="clear" w:color="auto" w:fill="FFFFFF"/>
            <w:tcMar>
              <w:top w:w="80" w:type="dxa"/>
              <w:left w:w="100" w:type="dxa"/>
              <w:bottom w:w="80" w:type="dxa"/>
              <w:right w:w="100" w:type="dxa"/>
            </w:tcMar>
            <w:vAlign w:val="center"/>
          </w:tcPr>
          <w:p w14:paraId="45E673CC">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1.00[0.32-4.00]</w:t>
            </w:r>
          </w:p>
        </w:tc>
        <w:tc>
          <w:tcPr>
            <w:tcW w:w="2231" w:type="dxa"/>
            <w:shd w:val="clear" w:color="auto" w:fill="FFFFFF"/>
            <w:tcMar>
              <w:top w:w="80" w:type="dxa"/>
              <w:left w:w="100" w:type="dxa"/>
              <w:bottom w:w="80" w:type="dxa"/>
              <w:right w:w="100" w:type="dxa"/>
            </w:tcMar>
            <w:vAlign w:val="center"/>
          </w:tcPr>
          <w:p w14:paraId="72396432">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1.00[0.24-3.00]</w:t>
            </w:r>
          </w:p>
        </w:tc>
        <w:tc>
          <w:tcPr>
            <w:tcW w:w="1002" w:type="dxa"/>
            <w:shd w:val="clear" w:color="auto" w:fill="FFFFFF"/>
            <w:tcMar>
              <w:top w:w="80" w:type="dxa"/>
              <w:left w:w="100" w:type="dxa"/>
              <w:bottom w:w="80" w:type="dxa"/>
              <w:right w:w="100" w:type="dxa"/>
            </w:tcMar>
            <w:vAlign w:val="center"/>
          </w:tcPr>
          <w:p w14:paraId="386F25B5">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0.432</w:t>
            </w:r>
          </w:p>
        </w:tc>
      </w:tr>
      <w:tr w14:paraId="2C063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955" w:type="dxa"/>
            <w:shd w:val="clear" w:color="auto" w:fill="FFFFFF"/>
            <w:tcMar>
              <w:top w:w="80" w:type="dxa"/>
              <w:left w:w="100" w:type="dxa"/>
              <w:bottom w:w="80" w:type="dxa"/>
              <w:right w:w="100" w:type="dxa"/>
            </w:tcMar>
            <w:vAlign w:val="center"/>
          </w:tcPr>
          <w:p w14:paraId="02057680">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CHA2DS2-VASc score</w:t>
            </w:r>
          </w:p>
        </w:tc>
        <w:tc>
          <w:tcPr>
            <w:tcW w:w="2316" w:type="dxa"/>
            <w:shd w:val="clear" w:color="auto" w:fill="FFFFFF"/>
            <w:tcMar>
              <w:top w:w="80" w:type="dxa"/>
              <w:left w:w="100" w:type="dxa"/>
              <w:bottom w:w="80" w:type="dxa"/>
              <w:right w:w="100" w:type="dxa"/>
            </w:tcMar>
            <w:vAlign w:val="center"/>
          </w:tcPr>
          <w:p w14:paraId="56D66B34">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3.00[2.00-5.00]</w:t>
            </w:r>
          </w:p>
        </w:tc>
        <w:tc>
          <w:tcPr>
            <w:tcW w:w="2231" w:type="dxa"/>
            <w:shd w:val="clear" w:color="auto" w:fill="FFFFFF"/>
            <w:tcMar>
              <w:top w:w="80" w:type="dxa"/>
              <w:left w:w="100" w:type="dxa"/>
              <w:bottom w:w="80" w:type="dxa"/>
              <w:right w:w="100" w:type="dxa"/>
            </w:tcMar>
            <w:vAlign w:val="center"/>
          </w:tcPr>
          <w:p w14:paraId="2F5A3685">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3.00[2.00-4.00]</w:t>
            </w:r>
          </w:p>
        </w:tc>
        <w:tc>
          <w:tcPr>
            <w:tcW w:w="1002" w:type="dxa"/>
            <w:shd w:val="clear" w:color="auto" w:fill="FFFFFF"/>
            <w:tcMar>
              <w:top w:w="80" w:type="dxa"/>
              <w:left w:w="100" w:type="dxa"/>
              <w:bottom w:w="80" w:type="dxa"/>
              <w:right w:w="100" w:type="dxa"/>
            </w:tcMar>
            <w:vAlign w:val="center"/>
          </w:tcPr>
          <w:p w14:paraId="0DFE0849">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0.522</w:t>
            </w:r>
          </w:p>
        </w:tc>
      </w:tr>
      <w:tr w14:paraId="2EF6A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955" w:type="dxa"/>
            <w:shd w:val="clear" w:color="auto" w:fill="FFFFFF"/>
            <w:tcMar>
              <w:top w:w="80" w:type="dxa"/>
              <w:left w:w="100" w:type="dxa"/>
              <w:bottom w:w="80" w:type="dxa"/>
              <w:right w:w="100" w:type="dxa"/>
            </w:tcMar>
            <w:vAlign w:val="center"/>
          </w:tcPr>
          <w:p w14:paraId="03CF2BE4">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Hypertension, n</w:t>
            </w:r>
            <w:r>
              <w:rPr>
                <w:rFonts w:hint="default" w:ascii="Times New Roman" w:hAnsi="Times New Roman" w:eastAsia="黑体" w:cs="Times New Roman"/>
                <w:b w:val="0"/>
                <w:color w:val="000000"/>
                <w:sz w:val="24"/>
                <w:szCs w:val="24"/>
                <w:highlight w:val="none"/>
                <w:lang w:val="en-US" w:eastAsia="zh-CN"/>
              </w:rPr>
              <w:t xml:space="preserve"> (</w:t>
            </w:r>
            <w:r>
              <w:rPr>
                <w:rFonts w:hint="default" w:ascii="Times New Roman" w:hAnsi="Times New Roman" w:eastAsia="黑体" w:cs="Times New Roman"/>
                <w:b w:val="0"/>
                <w:color w:val="000000"/>
                <w:sz w:val="24"/>
                <w:szCs w:val="24"/>
                <w:highlight w:val="none"/>
              </w:rPr>
              <w:t>%</w:t>
            </w:r>
            <w:r>
              <w:rPr>
                <w:rFonts w:hint="default" w:ascii="Times New Roman" w:hAnsi="Times New Roman" w:eastAsia="黑体" w:cs="Times New Roman"/>
                <w:b w:val="0"/>
                <w:color w:val="000000"/>
                <w:sz w:val="24"/>
                <w:szCs w:val="24"/>
                <w:highlight w:val="none"/>
                <w:lang w:val="en-US" w:eastAsia="zh-CN"/>
              </w:rPr>
              <w:t>)</w:t>
            </w:r>
          </w:p>
        </w:tc>
        <w:tc>
          <w:tcPr>
            <w:tcW w:w="2316" w:type="dxa"/>
            <w:shd w:val="clear" w:color="auto" w:fill="FFFFFF"/>
            <w:tcMar>
              <w:top w:w="80" w:type="dxa"/>
              <w:left w:w="100" w:type="dxa"/>
              <w:bottom w:w="80" w:type="dxa"/>
              <w:right w:w="100" w:type="dxa"/>
            </w:tcMar>
            <w:vAlign w:val="center"/>
          </w:tcPr>
          <w:p w14:paraId="34623247">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46(59.7%)</w:t>
            </w:r>
          </w:p>
        </w:tc>
        <w:tc>
          <w:tcPr>
            <w:tcW w:w="2231" w:type="dxa"/>
            <w:shd w:val="clear" w:color="auto" w:fill="FFFFFF"/>
            <w:tcMar>
              <w:top w:w="80" w:type="dxa"/>
              <w:left w:w="100" w:type="dxa"/>
              <w:bottom w:w="80" w:type="dxa"/>
              <w:right w:w="100" w:type="dxa"/>
            </w:tcMar>
            <w:vAlign w:val="center"/>
          </w:tcPr>
          <w:p w14:paraId="0CF66993">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234(71.6%)</w:t>
            </w:r>
          </w:p>
        </w:tc>
        <w:tc>
          <w:tcPr>
            <w:tcW w:w="1002" w:type="dxa"/>
            <w:shd w:val="clear" w:color="auto" w:fill="FFFFFF"/>
            <w:tcMar>
              <w:top w:w="80" w:type="dxa"/>
              <w:left w:w="100" w:type="dxa"/>
              <w:bottom w:w="80" w:type="dxa"/>
              <w:right w:w="100" w:type="dxa"/>
            </w:tcMar>
            <w:vAlign w:val="center"/>
          </w:tcPr>
          <w:p w14:paraId="0C64E5F4">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0.059</w:t>
            </w:r>
          </w:p>
        </w:tc>
      </w:tr>
      <w:tr w14:paraId="48CB1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955" w:type="dxa"/>
            <w:shd w:val="clear" w:color="auto" w:fill="FFFFFF"/>
            <w:tcMar>
              <w:top w:w="80" w:type="dxa"/>
              <w:left w:w="100" w:type="dxa"/>
              <w:bottom w:w="80" w:type="dxa"/>
              <w:right w:w="100" w:type="dxa"/>
            </w:tcMar>
            <w:vAlign w:val="center"/>
          </w:tcPr>
          <w:p w14:paraId="55EE20F3">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lang w:eastAsia="zh-CN"/>
              </w:rPr>
              <w:t>Coronary artery disease</w:t>
            </w:r>
            <w:r>
              <w:rPr>
                <w:rFonts w:hint="default" w:ascii="Times New Roman" w:hAnsi="Times New Roman" w:eastAsia="黑体" w:cs="Times New Roman"/>
                <w:b w:val="0"/>
                <w:color w:val="000000"/>
                <w:sz w:val="24"/>
                <w:szCs w:val="24"/>
                <w:highlight w:val="none"/>
              </w:rPr>
              <w:t>, n</w:t>
            </w:r>
            <w:r>
              <w:rPr>
                <w:rFonts w:hint="default" w:ascii="Times New Roman" w:hAnsi="Times New Roman" w:eastAsia="黑体" w:cs="Times New Roman"/>
                <w:b w:val="0"/>
                <w:color w:val="000000"/>
                <w:sz w:val="24"/>
                <w:szCs w:val="24"/>
                <w:highlight w:val="none"/>
                <w:lang w:val="en-US" w:eastAsia="zh-CN"/>
              </w:rPr>
              <w:t xml:space="preserve"> (</w:t>
            </w:r>
            <w:r>
              <w:rPr>
                <w:rFonts w:hint="default" w:ascii="Times New Roman" w:hAnsi="Times New Roman" w:eastAsia="黑体" w:cs="Times New Roman"/>
                <w:b w:val="0"/>
                <w:color w:val="000000"/>
                <w:sz w:val="24"/>
                <w:szCs w:val="24"/>
                <w:highlight w:val="none"/>
              </w:rPr>
              <w:t>%</w:t>
            </w:r>
            <w:r>
              <w:rPr>
                <w:rFonts w:hint="default" w:ascii="Times New Roman" w:hAnsi="Times New Roman" w:eastAsia="黑体" w:cs="Times New Roman"/>
                <w:b w:val="0"/>
                <w:color w:val="000000"/>
                <w:sz w:val="24"/>
                <w:szCs w:val="24"/>
                <w:highlight w:val="none"/>
                <w:lang w:val="en-US" w:eastAsia="zh-CN"/>
              </w:rPr>
              <w:t>)</w:t>
            </w:r>
          </w:p>
        </w:tc>
        <w:tc>
          <w:tcPr>
            <w:tcW w:w="2316" w:type="dxa"/>
            <w:shd w:val="clear" w:color="auto" w:fill="FFFFFF"/>
            <w:tcMar>
              <w:top w:w="80" w:type="dxa"/>
              <w:left w:w="100" w:type="dxa"/>
              <w:bottom w:w="80" w:type="dxa"/>
              <w:right w:w="100" w:type="dxa"/>
            </w:tcMar>
            <w:vAlign w:val="center"/>
          </w:tcPr>
          <w:p w14:paraId="78954E4B">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13(16.9%)</w:t>
            </w:r>
          </w:p>
        </w:tc>
        <w:tc>
          <w:tcPr>
            <w:tcW w:w="2231" w:type="dxa"/>
            <w:shd w:val="clear" w:color="auto" w:fill="FFFFFF"/>
            <w:tcMar>
              <w:top w:w="80" w:type="dxa"/>
              <w:left w:w="100" w:type="dxa"/>
              <w:bottom w:w="80" w:type="dxa"/>
              <w:right w:w="100" w:type="dxa"/>
            </w:tcMar>
            <w:vAlign w:val="center"/>
          </w:tcPr>
          <w:p w14:paraId="1AD1D8CD">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55(16.8%)</w:t>
            </w:r>
          </w:p>
        </w:tc>
        <w:tc>
          <w:tcPr>
            <w:tcW w:w="1002" w:type="dxa"/>
            <w:shd w:val="clear" w:color="auto" w:fill="FFFFFF"/>
            <w:tcMar>
              <w:top w:w="80" w:type="dxa"/>
              <w:left w:w="100" w:type="dxa"/>
              <w:bottom w:w="80" w:type="dxa"/>
              <w:right w:w="100" w:type="dxa"/>
            </w:tcMar>
            <w:vAlign w:val="center"/>
          </w:tcPr>
          <w:p w14:paraId="3D14928B">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1</w:t>
            </w:r>
          </w:p>
        </w:tc>
      </w:tr>
      <w:tr w14:paraId="2D1D2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955" w:type="dxa"/>
            <w:shd w:val="clear" w:color="auto" w:fill="FFFFFF"/>
            <w:tcMar>
              <w:top w:w="80" w:type="dxa"/>
              <w:left w:w="100" w:type="dxa"/>
              <w:bottom w:w="80" w:type="dxa"/>
              <w:right w:w="100" w:type="dxa"/>
            </w:tcMar>
            <w:vAlign w:val="center"/>
          </w:tcPr>
          <w:p w14:paraId="6CAA8B69">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Previous stroke/TIA, n</w:t>
            </w:r>
            <w:r>
              <w:rPr>
                <w:rFonts w:hint="default" w:ascii="Times New Roman" w:hAnsi="Times New Roman" w:eastAsia="黑体" w:cs="Times New Roman"/>
                <w:b w:val="0"/>
                <w:color w:val="000000"/>
                <w:sz w:val="24"/>
                <w:szCs w:val="24"/>
                <w:highlight w:val="none"/>
                <w:lang w:val="en-US" w:eastAsia="zh-CN"/>
              </w:rPr>
              <w:t xml:space="preserve"> (</w:t>
            </w:r>
            <w:r>
              <w:rPr>
                <w:rFonts w:hint="default" w:ascii="Times New Roman" w:hAnsi="Times New Roman" w:eastAsia="黑体" w:cs="Times New Roman"/>
                <w:b w:val="0"/>
                <w:color w:val="000000"/>
                <w:sz w:val="24"/>
                <w:szCs w:val="24"/>
                <w:highlight w:val="none"/>
              </w:rPr>
              <w:t>%</w:t>
            </w:r>
            <w:r>
              <w:rPr>
                <w:rFonts w:hint="default" w:ascii="Times New Roman" w:hAnsi="Times New Roman" w:eastAsia="黑体" w:cs="Times New Roman"/>
                <w:b w:val="0"/>
                <w:color w:val="000000"/>
                <w:sz w:val="24"/>
                <w:szCs w:val="24"/>
                <w:highlight w:val="none"/>
                <w:lang w:val="en-US" w:eastAsia="zh-CN"/>
              </w:rPr>
              <w:t>)</w:t>
            </w:r>
          </w:p>
        </w:tc>
        <w:tc>
          <w:tcPr>
            <w:tcW w:w="2316" w:type="dxa"/>
            <w:shd w:val="clear" w:color="auto" w:fill="FFFFFF"/>
            <w:tcMar>
              <w:top w:w="80" w:type="dxa"/>
              <w:left w:w="100" w:type="dxa"/>
              <w:bottom w:w="80" w:type="dxa"/>
              <w:right w:w="100" w:type="dxa"/>
            </w:tcMar>
            <w:vAlign w:val="center"/>
          </w:tcPr>
          <w:p w14:paraId="1C557681">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14(18.2%)</w:t>
            </w:r>
          </w:p>
        </w:tc>
        <w:tc>
          <w:tcPr>
            <w:tcW w:w="2231" w:type="dxa"/>
            <w:shd w:val="clear" w:color="auto" w:fill="FFFFFF"/>
            <w:tcMar>
              <w:top w:w="80" w:type="dxa"/>
              <w:left w:w="100" w:type="dxa"/>
              <w:bottom w:w="80" w:type="dxa"/>
              <w:right w:w="100" w:type="dxa"/>
            </w:tcMar>
            <w:vAlign w:val="center"/>
          </w:tcPr>
          <w:p w14:paraId="3B9CF2F0">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52(15.9%)</w:t>
            </w:r>
          </w:p>
        </w:tc>
        <w:tc>
          <w:tcPr>
            <w:tcW w:w="1002" w:type="dxa"/>
            <w:shd w:val="clear" w:color="auto" w:fill="FFFFFF"/>
            <w:tcMar>
              <w:top w:w="80" w:type="dxa"/>
              <w:left w:w="100" w:type="dxa"/>
              <w:bottom w:w="80" w:type="dxa"/>
              <w:right w:w="100" w:type="dxa"/>
            </w:tcMar>
            <w:vAlign w:val="center"/>
          </w:tcPr>
          <w:p w14:paraId="4A5BD6A2">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0.752</w:t>
            </w:r>
          </w:p>
        </w:tc>
      </w:tr>
      <w:tr w14:paraId="6B23D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955" w:type="dxa"/>
            <w:shd w:val="clear" w:color="auto" w:fill="FFFFFF"/>
            <w:tcMar>
              <w:top w:w="80" w:type="dxa"/>
              <w:left w:w="100" w:type="dxa"/>
              <w:bottom w:w="80" w:type="dxa"/>
              <w:right w:w="100" w:type="dxa"/>
            </w:tcMar>
            <w:vAlign w:val="center"/>
          </w:tcPr>
          <w:p w14:paraId="0E9593E9">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Cardiomyopathy, n</w:t>
            </w:r>
            <w:r>
              <w:rPr>
                <w:rFonts w:hint="default" w:ascii="Times New Roman" w:hAnsi="Times New Roman" w:eastAsia="黑体" w:cs="Times New Roman"/>
                <w:b w:val="0"/>
                <w:color w:val="000000"/>
                <w:sz w:val="24"/>
                <w:szCs w:val="24"/>
                <w:highlight w:val="none"/>
                <w:lang w:val="en-US" w:eastAsia="zh-CN"/>
              </w:rPr>
              <w:t xml:space="preserve"> (</w:t>
            </w:r>
            <w:r>
              <w:rPr>
                <w:rFonts w:hint="default" w:ascii="Times New Roman" w:hAnsi="Times New Roman" w:eastAsia="黑体" w:cs="Times New Roman"/>
                <w:b w:val="0"/>
                <w:color w:val="000000"/>
                <w:sz w:val="24"/>
                <w:szCs w:val="24"/>
                <w:highlight w:val="none"/>
              </w:rPr>
              <w:t>%</w:t>
            </w:r>
            <w:r>
              <w:rPr>
                <w:rFonts w:hint="default" w:ascii="Times New Roman" w:hAnsi="Times New Roman" w:eastAsia="黑体" w:cs="Times New Roman"/>
                <w:b w:val="0"/>
                <w:color w:val="000000"/>
                <w:sz w:val="24"/>
                <w:szCs w:val="24"/>
                <w:highlight w:val="none"/>
                <w:lang w:val="en-US" w:eastAsia="zh-CN"/>
              </w:rPr>
              <w:t>)</w:t>
            </w:r>
          </w:p>
        </w:tc>
        <w:tc>
          <w:tcPr>
            <w:tcW w:w="2316" w:type="dxa"/>
            <w:shd w:val="clear" w:color="auto" w:fill="FFFFFF"/>
            <w:tcMar>
              <w:top w:w="80" w:type="dxa"/>
              <w:left w:w="100" w:type="dxa"/>
              <w:bottom w:w="80" w:type="dxa"/>
              <w:right w:w="100" w:type="dxa"/>
            </w:tcMar>
            <w:vAlign w:val="center"/>
          </w:tcPr>
          <w:p w14:paraId="6E47CA83">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4(5.2%)</w:t>
            </w:r>
          </w:p>
        </w:tc>
        <w:tc>
          <w:tcPr>
            <w:tcW w:w="2231" w:type="dxa"/>
            <w:shd w:val="clear" w:color="auto" w:fill="FFFFFF"/>
            <w:tcMar>
              <w:top w:w="80" w:type="dxa"/>
              <w:left w:w="100" w:type="dxa"/>
              <w:bottom w:w="80" w:type="dxa"/>
              <w:right w:w="100" w:type="dxa"/>
            </w:tcMar>
            <w:vAlign w:val="center"/>
          </w:tcPr>
          <w:p w14:paraId="6DA4A340">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4(1.2%)</w:t>
            </w:r>
          </w:p>
        </w:tc>
        <w:tc>
          <w:tcPr>
            <w:tcW w:w="1002" w:type="dxa"/>
            <w:shd w:val="clear" w:color="auto" w:fill="FFFFFF"/>
            <w:tcMar>
              <w:top w:w="80" w:type="dxa"/>
              <w:left w:w="100" w:type="dxa"/>
              <w:bottom w:w="80" w:type="dxa"/>
              <w:right w:w="100" w:type="dxa"/>
            </w:tcMar>
            <w:vAlign w:val="center"/>
          </w:tcPr>
          <w:p w14:paraId="7ABC99EC">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0.046</w:t>
            </w:r>
          </w:p>
        </w:tc>
      </w:tr>
      <w:tr w14:paraId="1CA30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955" w:type="dxa"/>
            <w:shd w:val="clear" w:color="auto" w:fill="FFFFFF"/>
            <w:tcMar>
              <w:top w:w="80" w:type="dxa"/>
              <w:left w:w="100" w:type="dxa"/>
              <w:bottom w:w="80" w:type="dxa"/>
              <w:right w:w="100" w:type="dxa"/>
            </w:tcMar>
            <w:vAlign w:val="center"/>
          </w:tcPr>
          <w:p w14:paraId="310FFD0B">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Heart failure, n</w:t>
            </w:r>
            <w:r>
              <w:rPr>
                <w:rFonts w:hint="default" w:ascii="Times New Roman" w:hAnsi="Times New Roman" w:eastAsia="黑体" w:cs="Times New Roman"/>
                <w:b w:val="0"/>
                <w:color w:val="000000"/>
                <w:sz w:val="24"/>
                <w:szCs w:val="24"/>
                <w:highlight w:val="none"/>
                <w:lang w:val="en-US" w:eastAsia="zh-CN"/>
              </w:rPr>
              <w:t xml:space="preserve"> (</w:t>
            </w:r>
            <w:r>
              <w:rPr>
                <w:rFonts w:hint="default" w:ascii="Times New Roman" w:hAnsi="Times New Roman" w:eastAsia="黑体" w:cs="Times New Roman"/>
                <w:b w:val="0"/>
                <w:color w:val="000000"/>
                <w:sz w:val="24"/>
                <w:szCs w:val="24"/>
                <w:highlight w:val="none"/>
              </w:rPr>
              <w:t>%</w:t>
            </w:r>
            <w:r>
              <w:rPr>
                <w:rFonts w:hint="default" w:ascii="Times New Roman" w:hAnsi="Times New Roman" w:eastAsia="黑体" w:cs="Times New Roman"/>
                <w:b w:val="0"/>
                <w:color w:val="000000"/>
                <w:sz w:val="24"/>
                <w:szCs w:val="24"/>
                <w:highlight w:val="none"/>
                <w:lang w:val="en-US" w:eastAsia="zh-CN"/>
              </w:rPr>
              <w:t>)</w:t>
            </w:r>
          </w:p>
        </w:tc>
        <w:tc>
          <w:tcPr>
            <w:tcW w:w="2316" w:type="dxa"/>
            <w:shd w:val="clear" w:color="auto" w:fill="FFFFFF"/>
            <w:tcMar>
              <w:top w:w="80" w:type="dxa"/>
              <w:left w:w="100" w:type="dxa"/>
              <w:bottom w:w="80" w:type="dxa"/>
              <w:right w:w="100" w:type="dxa"/>
            </w:tcMar>
            <w:vAlign w:val="center"/>
          </w:tcPr>
          <w:p w14:paraId="049E6998">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28(36.4%)</w:t>
            </w:r>
          </w:p>
        </w:tc>
        <w:tc>
          <w:tcPr>
            <w:tcW w:w="2231" w:type="dxa"/>
            <w:shd w:val="clear" w:color="auto" w:fill="FFFFFF"/>
            <w:tcMar>
              <w:top w:w="80" w:type="dxa"/>
              <w:left w:w="100" w:type="dxa"/>
              <w:bottom w:w="80" w:type="dxa"/>
              <w:right w:w="100" w:type="dxa"/>
            </w:tcMar>
            <w:vAlign w:val="center"/>
          </w:tcPr>
          <w:p w14:paraId="37FFD206">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96(29.4%)</w:t>
            </w:r>
          </w:p>
        </w:tc>
        <w:tc>
          <w:tcPr>
            <w:tcW w:w="1002" w:type="dxa"/>
            <w:shd w:val="clear" w:color="auto" w:fill="FFFFFF"/>
            <w:tcMar>
              <w:top w:w="80" w:type="dxa"/>
              <w:left w:w="100" w:type="dxa"/>
              <w:bottom w:w="80" w:type="dxa"/>
              <w:right w:w="100" w:type="dxa"/>
            </w:tcMar>
            <w:vAlign w:val="center"/>
          </w:tcPr>
          <w:p w14:paraId="32DC69BD">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0.288</w:t>
            </w:r>
          </w:p>
        </w:tc>
      </w:tr>
      <w:tr w14:paraId="0903C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955" w:type="dxa"/>
            <w:shd w:val="clear" w:color="auto" w:fill="FFFFFF"/>
            <w:tcMar>
              <w:top w:w="80" w:type="dxa"/>
              <w:left w:w="100" w:type="dxa"/>
              <w:bottom w:w="80" w:type="dxa"/>
              <w:right w:w="100" w:type="dxa"/>
            </w:tcMar>
            <w:vAlign w:val="center"/>
          </w:tcPr>
          <w:p w14:paraId="5525F3A2">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Chronic obstructive pulmonary disease, n</w:t>
            </w:r>
            <w:r>
              <w:rPr>
                <w:rFonts w:hint="default" w:ascii="Times New Roman" w:hAnsi="Times New Roman" w:eastAsia="黑体" w:cs="Times New Roman"/>
                <w:b w:val="0"/>
                <w:color w:val="000000"/>
                <w:sz w:val="24"/>
                <w:szCs w:val="24"/>
                <w:highlight w:val="none"/>
                <w:lang w:val="en-US" w:eastAsia="zh-CN"/>
              </w:rPr>
              <w:t xml:space="preserve"> (</w:t>
            </w:r>
            <w:r>
              <w:rPr>
                <w:rFonts w:hint="default" w:ascii="Times New Roman" w:hAnsi="Times New Roman" w:eastAsia="黑体" w:cs="Times New Roman"/>
                <w:b w:val="0"/>
                <w:color w:val="000000"/>
                <w:sz w:val="24"/>
                <w:szCs w:val="24"/>
                <w:highlight w:val="none"/>
              </w:rPr>
              <w:t>%</w:t>
            </w:r>
            <w:r>
              <w:rPr>
                <w:rFonts w:hint="default" w:ascii="Times New Roman" w:hAnsi="Times New Roman" w:eastAsia="黑体" w:cs="Times New Roman"/>
                <w:b w:val="0"/>
                <w:color w:val="000000"/>
                <w:sz w:val="24"/>
                <w:szCs w:val="24"/>
                <w:highlight w:val="none"/>
                <w:lang w:val="en-US" w:eastAsia="zh-CN"/>
              </w:rPr>
              <w:t>)</w:t>
            </w:r>
          </w:p>
        </w:tc>
        <w:tc>
          <w:tcPr>
            <w:tcW w:w="2316" w:type="dxa"/>
            <w:shd w:val="clear" w:color="auto" w:fill="FFFFFF"/>
            <w:tcMar>
              <w:top w:w="80" w:type="dxa"/>
              <w:left w:w="100" w:type="dxa"/>
              <w:bottom w:w="80" w:type="dxa"/>
              <w:right w:w="100" w:type="dxa"/>
            </w:tcMar>
            <w:vAlign w:val="center"/>
          </w:tcPr>
          <w:p w14:paraId="22FDD825">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9(11.7%)</w:t>
            </w:r>
          </w:p>
        </w:tc>
        <w:tc>
          <w:tcPr>
            <w:tcW w:w="2231" w:type="dxa"/>
            <w:shd w:val="clear" w:color="auto" w:fill="FFFFFF"/>
            <w:tcMar>
              <w:top w:w="80" w:type="dxa"/>
              <w:left w:w="100" w:type="dxa"/>
              <w:bottom w:w="80" w:type="dxa"/>
              <w:right w:w="100" w:type="dxa"/>
            </w:tcMar>
            <w:vAlign w:val="center"/>
          </w:tcPr>
          <w:p w14:paraId="34B33097">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25(7.6%)</w:t>
            </w:r>
          </w:p>
        </w:tc>
        <w:tc>
          <w:tcPr>
            <w:tcW w:w="1002" w:type="dxa"/>
            <w:shd w:val="clear" w:color="auto" w:fill="FFFFFF"/>
            <w:tcMar>
              <w:top w:w="80" w:type="dxa"/>
              <w:left w:w="100" w:type="dxa"/>
              <w:bottom w:w="80" w:type="dxa"/>
              <w:right w:w="100" w:type="dxa"/>
            </w:tcMar>
            <w:vAlign w:val="center"/>
          </w:tcPr>
          <w:p w14:paraId="60FA0FD0">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0.357</w:t>
            </w:r>
          </w:p>
        </w:tc>
      </w:tr>
      <w:tr w14:paraId="098A6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955" w:type="dxa"/>
            <w:shd w:val="clear" w:color="auto" w:fill="FFFFFF"/>
            <w:tcMar>
              <w:top w:w="80" w:type="dxa"/>
              <w:left w:w="100" w:type="dxa"/>
              <w:bottom w:w="80" w:type="dxa"/>
              <w:right w:w="100" w:type="dxa"/>
            </w:tcMar>
            <w:vAlign w:val="center"/>
          </w:tcPr>
          <w:p w14:paraId="71DDE785">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Blood glucose, mmol/L</w:t>
            </w:r>
          </w:p>
        </w:tc>
        <w:tc>
          <w:tcPr>
            <w:tcW w:w="2316" w:type="dxa"/>
            <w:shd w:val="clear" w:color="auto" w:fill="FFFFFF"/>
            <w:tcMar>
              <w:top w:w="80" w:type="dxa"/>
              <w:left w:w="100" w:type="dxa"/>
              <w:bottom w:w="80" w:type="dxa"/>
              <w:right w:w="100" w:type="dxa"/>
            </w:tcMar>
            <w:vAlign w:val="center"/>
          </w:tcPr>
          <w:p w14:paraId="6E4E2CC4">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5.29[4.62-6.40]</w:t>
            </w:r>
          </w:p>
        </w:tc>
        <w:tc>
          <w:tcPr>
            <w:tcW w:w="2231" w:type="dxa"/>
            <w:shd w:val="clear" w:color="auto" w:fill="FFFFFF"/>
            <w:tcMar>
              <w:top w:w="80" w:type="dxa"/>
              <w:left w:w="100" w:type="dxa"/>
              <w:bottom w:w="80" w:type="dxa"/>
              <w:right w:w="100" w:type="dxa"/>
            </w:tcMar>
            <w:vAlign w:val="center"/>
          </w:tcPr>
          <w:p w14:paraId="7A432F11">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5.43[4.94-6.45]</w:t>
            </w:r>
          </w:p>
        </w:tc>
        <w:tc>
          <w:tcPr>
            <w:tcW w:w="1002" w:type="dxa"/>
            <w:shd w:val="clear" w:color="auto" w:fill="FFFFFF"/>
            <w:tcMar>
              <w:top w:w="80" w:type="dxa"/>
              <w:left w:w="100" w:type="dxa"/>
              <w:bottom w:w="80" w:type="dxa"/>
              <w:right w:w="100" w:type="dxa"/>
            </w:tcMar>
            <w:vAlign w:val="center"/>
          </w:tcPr>
          <w:p w14:paraId="12EEDE47">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0.042</w:t>
            </w:r>
          </w:p>
        </w:tc>
      </w:tr>
      <w:tr w14:paraId="4F4EE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955" w:type="dxa"/>
            <w:shd w:val="clear" w:color="auto" w:fill="FFFFFF"/>
            <w:tcMar>
              <w:top w:w="80" w:type="dxa"/>
              <w:left w:w="100" w:type="dxa"/>
              <w:bottom w:w="80" w:type="dxa"/>
              <w:right w:w="100" w:type="dxa"/>
            </w:tcMar>
            <w:vAlign w:val="center"/>
          </w:tcPr>
          <w:p w14:paraId="18BAC6CB">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Uric acid, umol/L</w:t>
            </w:r>
          </w:p>
        </w:tc>
        <w:tc>
          <w:tcPr>
            <w:tcW w:w="2316" w:type="dxa"/>
            <w:shd w:val="clear" w:color="auto" w:fill="FFFFFF"/>
            <w:tcMar>
              <w:top w:w="80" w:type="dxa"/>
              <w:left w:w="100" w:type="dxa"/>
              <w:bottom w:w="80" w:type="dxa"/>
              <w:right w:w="100" w:type="dxa"/>
            </w:tcMar>
            <w:vAlign w:val="center"/>
          </w:tcPr>
          <w:p w14:paraId="6CF0B663">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365.20[311.00-424.20]</w:t>
            </w:r>
          </w:p>
        </w:tc>
        <w:tc>
          <w:tcPr>
            <w:tcW w:w="2231" w:type="dxa"/>
            <w:shd w:val="clear" w:color="auto" w:fill="FFFFFF"/>
            <w:tcMar>
              <w:top w:w="80" w:type="dxa"/>
              <w:left w:w="100" w:type="dxa"/>
              <w:bottom w:w="80" w:type="dxa"/>
              <w:right w:w="100" w:type="dxa"/>
            </w:tcMar>
            <w:vAlign w:val="center"/>
          </w:tcPr>
          <w:p w14:paraId="58CEF43C">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366.40[307.05-444.40]</w:t>
            </w:r>
          </w:p>
        </w:tc>
        <w:tc>
          <w:tcPr>
            <w:tcW w:w="1002" w:type="dxa"/>
            <w:shd w:val="clear" w:color="auto" w:fill="FFFFFF"/>
            <w:tcMar>
              <w:top w:w="80" w:type="dxa"/>
              <w:left w:w="100" w:type="dxa"/>
              <w:bottom w:w="80" w:type="dxa"/>
              <w:right w:w="100" w:type="dxa"/>
            </w:tcMar>
            <w:vAlign w:val="center"/>
          </w:tcPr>
          <w:p w14:paraId="14681E2D">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0.476</w:t>
            </w:r>
          </w:p>
        </w:tc>
      </w:tr>
      <w:tr w14:paraId="11713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955" w:type="dxa"/>
            <w:shd w:val="clear" w:color="auto" w:fill="FFFFFF"/>
            <w:tcMar>
              <w:top w:w="80" w:type="dxa"/>
              <w:left w:w="100" w:type="dxa"/>
              <w:bottom w:w="80" w:type="dxa"/>
              <w:right w:w="100" w:type="dxa"/>
            </w:tcMar>
            <w:vAlign w:val="center"/>
          </w:tcPr>
          <w:p w14:paraId="6F4BDD30">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Creatinine, umol/L</w:t>
            </w:r>
          </w:p>
        </w:tc>
        <w:tc>
          <w:tcPr>
            <w:tcW w:w="2316" w:type="dxa"/>
            <w:shd w:val="clear" w:color="auto" w:fill="FFFFFF"/>
            <w:tcMar>
              <w:top w:w="80" w:type="dxa"/>
              <w:left w:w="100" w:type="dxa"/>
              <w:bottom w:w="80" w:type="dxa"/>
              <w:right w:w="100" w:type="dxa"/>
            </w:tcMar>
            <w:vAlign w:val="center"/>
          </w:tcPr>
          <w:p w14:paraId="4ACDFD64">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69.00[61.00-80.50]</w:t>
            </w:r>
          </w:p>
        </w:tc>
        <w:tc>
          <w:tcPr>
            <w:tcW w:w="2231" w:type="dxa"/>
            <w:shd w:val="clear" w:color="auto" w:fill="FFFFFF"/>
            <w:tcMar>
              <w:top w:w="80" w:type="dxa"/>
              <w:left w:w="100" w:type="dxa"/>
              <w:bottom w:w="80" w:type="dxa"/>
              <w:right w:w="100" w:type="dxa"/>
            </w:tcMar>
            <w:vAlign w:val="center"/>
          </w:tcPr>
          <w:p w14:paraId="4D32BE22">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72.40[62.50-84.00]</w:t>
            </w:r>
          </w:p>
        </w:tc>
        <w:tc>
          <w:tcPr>
            <w:tcW w:w="1002" w:type="dxa"/>
            <w:shd w:val="clear" w:color="auto" w:fill="FFFFFF"/>
            <w:tcMar>
              <w:top w:w="80" w:type="dxa"/>
              <w:left w:w="100" w:type="dxa"/>
              <w:bottom w:w="80" w:type="dxa"/>
              <w:right w:w="100" w:type="dxa"/>
            </w:tcMar>
            <w:vAlign w:val="center"/>
          </w:tcPr>
          <w:p w14:paraId="7979EEB9">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0.118</w:t>
            </w:r>
          </w:p>
        </w:tc>
      </w:tr>
      <w:tr w14:paraId="72B49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955" w:type="dxa"/>
            <w:shd w:val="clear" w:color="auto" w:fill="FFFFFF"/>
            <w:tcMar>
              <w:top w:w="80" w:type="dxa"/>
              <w:left w:w="100" w:type="dxa"/>
              <w:bottom w:w="80" w:type="dxa"/>
              <w:right w:w="100" w:type="dxa"/>
            </w:tcMar>
            <w:vAlign w:val="center"/>
          </w:tcPr>
          <w:p w14:paraId="184A9A1D">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eGFR, mL/min/1.73 m²</w:t>
            </w:r>
          </w:p>
        </w:tc>
        <w:tc>
          <w:tcPr>
            <w:tcW w:w="2316" w:type="dxa"/>
            <w:shd w:val="clear" w:color="auto" w:fill="FFFFFF"/>
            <w:tcMar>
              <w:top w:w="80" w:type="dxa"/>
              <w:left w:w="100" w:type="dxa"/>
              <w:bottom w:w="80" w:type="dxa"/>
              <w:right w:w="100" w:type="dxa"/>
            </w:tcMar>
            <w:vAlign w:val="center"/>
          </w:tcPr>
          <w:p w14:paraId="0B0989E6">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102.31[87.77-117.73]</w:t>
            </w:r>
          </w:p>
        </w:tc>
        <w:tc>
          <w:tcPr>
            <w:tcW w:w="2231" w:type="dxa"/>
            <w:shd w:val="clear" w:color="auto" w:fill="FFFFFF"/>
            <w:tcMar>
              <w:top w:w="80" w:type="dxa"/>
              <w:left w:w="100" w:type="dxa"/>
              <w:bottom w:w="80" w:type="dxa"/>
              <w:right w:w="100" w:type="dxa"/>
            </w:tcMar>
            <w:vAlign w:val="center"/>
          </w:tcPr>
          <w:p w14:paraId="4D18A79F">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96.27[83.67-115.08]</w:t>
            </w:r>
          </w:p>
        </w:tc>
        <w:tc>
          <w:tcPr>
            <w:tcW w:w="1002" w:type="dxa"/>
            <w:shd w:val="clear" w:color="auto" w:fill="FFFFFF"/>
            <w:tcMar>
              <w:top w:w="80" w:type="dxa"/>
              <w:left w:w="100" w:type="dxa"/>
              <w:bottom w:w="80" w:type="dxa"/>
              <w:right w:w="100" w:type="dxa"/>
            </w:tcMar>
            <w:vAlign w:val="center"/>
          </w:tcPr>
          <w:p w14:paraId="4A9CB8C5">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0.172</w:t>
            </w:r>
          </w:p>
        </w:tc>
      </w:tr>
      <w:tr w14:paraId="7CA43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955" w:type="dxa"/>
            <w:shd w:val="clear" w:color="auto" w:fill="FFFFFF"/>
            <w:tcMar>
              <w:top w:w="80" w:type="dxa"/>
              <w:left w:w="100" w:type="dxa"/>
              <w:bottom w:w="80" w:type="dxa"/>
              <w:right w:w="100" w:type="dxa"/>
            </w:tcMar>
            <w:vAlign w:val="center"/>
          </w:tcPr>
          <w:p w14:paraId="3894D168">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Total cholesterol, mmol/L</w:t>
            </w:r>
          </w:p>
        </w:tc>
        <w:tc>
          <w:tcPr>
            <w:tcW w:w="2316" w:type="dxa"/>
            <w:shd w:val="clear" w:color="auto" w:fill="FFFFFF"/>
            <w:tcMar>
              <w:top w:w="80" w:type="dxa"/>
              <w:left w:w="100" w:type="dxa"/>
              <w:bottom w:w="80" w:type="dxa"/>
              <w:right w:w="100" w:type="dxa"/>
            </w:tcMar>
            <w:vAlign w:val="center"/>
          </w:tcPr>
          <w:p w14:paraId="5F129716">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4.12[3.57-4.69]</w:t>
            </w:r>
          </w:p>
        </w:tc>
        <w:tc>
          <w:tcPr>
            <w:tcW w:w="2231" w:type="dxa"/>
            <w:shd w:val="clear" w:color="auto" w:fill="FFFFFF"/>
            <w:tcMar>
              <w:top w:w="80" w:type="dxa"/>
              <w:left w:w="100" w:type="dxa"/>
              <w:bottom w:w="80" w:type="dxa"/>
              <w:right w:w="100" w:type="dxa"/>
            </w:tcMar>
            <w:vAlign w:val="center"/>
          </w:tcPr>
          <w:p w14:paraId="68296466">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4.12[3.49-4.82]</w:t>
            </w:r>
          </w:p>
        </w:tc>
        <w:tc>
          <w:tcPr>
            <w:tcW w:w="1002" w:type="dxa"/>
            <w:shd w:val="clear" w:color="auto" w:fill="FFFFFF"/>
            <w:tcMar>
              <w:top w:w="80" w:type="dxa"/>
              <w:left w:w="100" w:type="dxa"/>
              <w:bottom w:w="80" w:type="dxa"/>
              <w:right w:w="100" w:type="dxa"/>
            </w:tcMar>
            <w:vAlign w:val="center"/>
          </w:tcPr>
          <w:p w14:paraId="1193ABAD">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0.8</w:t>
            </w:r>
          </w:p>
        </w:tc>
      </w:tr>
      <w:tr w14:paraId="02E6E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955" w:type="dxa"/>
            <w:shd w:val="clear" w:color="auto" w:fill="FFFFFF"/>
            <w:tcMar>
              <w:top w:w="80" w:type="dxa"/>
              <w:left w:w="100" w:type="dxa"/>
              <w:bottom w:w="80" w:type="dxa"/>
              <w:right w:w="100" w:type="dxa"/>
            </w:tcMar>
            <w:vAlign w:val="center"/>
          </w:tcPr>
          <w:p w14:paraId="356B510A">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Triglycerides, mmol/L</w:t>
            </w:r>
          </w:p>
        </w:tc>
        <w:tc>
          <w:tcPr>
            <w:tcW w:w="2316" w:type="dxa"/>
            <w:shd w:val="clear" w:color="auto" w:fill="FFFFFF"/>
            <w:tcMar>
              <w:top w:w="80" w:type="dxa"/>
              <w:left w:w="100" w:type="dxa"/>
              <w:bottom w:w="80" w:type="dxa"/>
              <w:right w:w="100" w:type="dxa"/>
            </w:tcMar>
            <w:vAlign w:val="center"/>
          </w:tcPr>
          <w:p w14:paraId="29ACAFB2">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1.17[0.93-1.58]</w:t>
            </w:r>
          </w:p>
        </w:tc>
        <w:tc>
          <w:tcPr>
            <w:tcW w:w="2231" w:type="dxa"/>
            <w:shd w:val="clear" w:color="auto" w:fill="FFFFFF"/>
            <w:tcMar>
              <w:top w:w="80" w:type="dxa"/>
              <w:left w:w="100" w:type="dxa"/>
              <w:bottom w:w="80" w:type="dxa"/>
              <w:right w:w="100" w:type="dxa"/>
            </w:tcMar>
            <w:vAlign w:val="center"/>
          </w:tcPr>
          <w:p w14:paraId="067D18DC">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1.23[0.89-1.88]</w:t>
            </w:r>
          </w:p>
        </w:tc>
        <w:tc>
          <w:tcPr>
            <w:tcW w:w="1002" w:type="dxa"/>
            <w:shd w:val="clear" w:color="auto" w:fill="FFFFFF"/>
            <w:tcMar>
              <w:top w:w="80" w:type="dxa"/>
              <w:left w:w="100" w:type="dxa"/>
              <w:bottom w:w="80" w:type="dxa"/>
              <w:right w:w="100" w:type="dxa"/>
            </w:tcMar>
            <w:vAlign w:val="center"/>
          </w:tcPr>
          <w:p w14:paraId="778B1591">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0.463</w:t>
            </w:r>
          </w:p>
        </w:tc>
      </w:tr>
      <w:tr w14:paraId="4F362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955" w:type="dxa"/>
            <w:shd w:val="clear" w:color="auto" w:fill="FFFFFF"/>
            <w:tcMar>
              <w:top w:w="80" w:type="dxa"/>
              <w:left w:w="100" w:type="dxa"/>
              <w:bottom w:w="80" w:type="dxa"/>
              <w:right w:w="100" w:type="dxa"/>
            </w:tcMar>
            <w:vAlign w:val="center"/>
          </w:tcPr>
          <w:p w14:paraId="0667027A">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HDL-C, mmol/L</w:t>
            </w:r>
          </w:p>
        </w:tc>
        <w:tc>
          <w:tcPr>
            <w:tcW w:w="2316" w:type="dxa"/>
            <w:shd w:val="clear" w:color="auto" w:fill="FFFFFF"/>
            <w:tcMar>
              <w:top w:w="80" w:type="dxa"/>
              <w:left w:w="100" w:type="dxa"/>
              <w:bottom w:w="80" w:type="dxa"/>
              <w:right w:w="100" w:type="dxa"/>
            </w:tcMar>
            <w:vAlign w:val="center"/>
          </w:tcPr>
          <w:p w14:paraId="30CE0907">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1.12[0.92-1.24]</w:t>
            </w:r>
          </w:p>
        </w:tc>
        <w:tc>
          <w:tcPr>
            <w:tcW w:w="2231" w:type="dxa"/>
            <w:shd w:val="clear" w:color="auto" w:fill="FFFFFF"/>
            <w:tcMar>
              <w:top w:w="80" w:type="dxa"/>
              <w:left w:w="100" w:type="dxa"/>
              <w:bottom w:w="80" w:type="dxa"/>
              <w:right w:w="100" w:type="dxa"/>
            </w:tcMar>
            <w:vAlign w:val="center"/>
          </w:tcPr>
          <w:p w14:paraId="111B6E88">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1.15[1.00-1.34]</w:t>
            </w:r>
          </w:p>
        </w:tc>
        <w:tc>
          <w:tcPr>
            <w:tcW w:w="1002" w:type="dxa"/>
            <w:shd w:val="clear" w:color="auto" w:fill="FFFFFF"/>
            <w:tcMar>
              <w:top w:w="80" w:type="dxa"/>
              <w:left w:w="100" w:type="dxa"/>
              <w:bottom w:w="80" w:type="dxa"/>
              <w:right w:w="100" w:type="dxa"/>
            </w:tcMar>
            <w:vAlign w:val="center"/>
          </w:tcPr>
          <w:p w14:paraId="2F315BE5">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0.12</w:t>
            </w:r>
          </w:p>
        </w:tc>
      </w:tr>
      <w:tr w14:paraId="0E4DB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955" w:type="dxa"/>
            <w:shd w:val="clear" w:color="auto" w:fill="FFFFFF"/>
            <w:tcMar>
              <w:top w:w="80" w:type="dxa"/>
              <w:left w:w="100" w:type="dxa"/>
              <w:bottom w:w="80" w:type="dxa"/>
              <w:right w:w="100" w:type="dxa"/>
            </w:tcMar>
            <w:vAlign w:val="center"/>
          </w:tcPr>
          <w:p w14:paraId="075D1073">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LDL-C, mmol/L</w:t>
            </w:r>
          </w:p>
        </w:tc>
        <w:tc>
          <w:tcPr>
            <w:tcW w:w="2316" w:type="dxa"/>
            <w:shd w:val="clear" w:color="auto" w:fill="FFFFFF"/>
            <w:tcMar>
              <w:top w:w="80" w:type="dxa"/>
              <w:left w:w="100" w:type="dxa"/>
              <w:bottom w:w="80" w:type="dxa"/>
              <w:right w:w="100" w:type="dxa"/>
            </w:tcMar>
            <w:vAlign w:val="center"/>
          </w:tcPr>
          <w:p w14:paraId="1105DD1B">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2.26[1.86-2.72]</w:t>
            </w:r>
          </w:p>
        </w:tc>
        <w:tc>
          <w:tcPr>
            <w:tcW w:w="2231" w:type="dxa"/>
            <w:shd w:val="clear" w:color="auto" w:fill="FFFFFF"/>
            <w:tcMar>
              <w:top w:w="80" w:type="dxa"/>
              <w:left w:w="100" w:type="dxa"/>
              <w:bottom w:w="80" w:type="dxa"/>
              <w:right w:w="100" w:type="dxa"/>
            </w:tcMar>
            <w:vAlign w:val="center"/>
          </w:tcPr>
          <w:p w14:paraId="66D39921">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2.36[1.88-2.92]</w:t>
            </w:r>
          </w:p>
        </w:tc>
        <w:tc>
          <w:tcPr>
            <w:tcW w:w="1002" w:type="dxa"/>
            <w:shd w:val="clear" w:color="auto" w:fill="FFFFFF"/>
            <w:tcMar>
              <w:top w:w="80" w:type="dxa"/>
              <w:left w:w="100" w:type="dxa"/>
              <w:bottom w:w="80" w:type="dxa"/>
              <w:right w:w="100" w:type="dxa"/>
            </w:tcMar>
            <w:vAlign w:val="center"/>
          </w:tcPr>
          <w:p w14:paraId="44A5374A">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0.308</w:t>
            </w:r>
          </w:p>
        </w:tc>
      </w:tr>
      <w:tr w14:paraId="2FDFD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955" w:type="dxa"/>
            <w:shd w:val="clear" w:color="auto" w:fill="FFFFFF"/>
            <w:tcMar>
              <w:top w:w="80" w:type="dxa"/>
              <w:left w:w="100" w:type="dxa"/>
              <w:bottom w:w="80" w:type="dxa"/>
              <w:right w:w="100" w:type="dxa"/>
            </w:tcMar>
            <w:vAlign w:val="center"/>
          </w:tcPr>
          <w:p w14:paraId="0976F74A">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lang w:val="en-US" w:eastAsia="zh-CN"/>
              </w:rPr>
            </w:pPr>
            <w:r>
              <w:rPr>
                <w:rFonts w:hint="default" w:ascii="Times New Roman" w:hAnsi="Times New Roman" w:eastAsia="黑体" w:cs="Times New Roman"/>
                <w:b w:val="0"/>
                <w:color w:val="000000"/>
                <w:sz w:val="24"/>
                <w:szCs w:val="24"/>
                <w:highlight w:val="none"/>
              </w:rPr>
              <w:t>TSH, μIU/m</w:t>
            </w:r>
            <w:r>
              <w:rPr>
                <w:rFonts w:hint="default" w:ascii="Times New Roman" w:hAnsi="Times New Roman" w:eastAsia="黑体" w:cs="Times New Roman"/>
                <w:b w:val="0"/>
                <w:color w:val="000000"/>
                <w:sz w:val="24"/>
                <w:szCs w:val="24"/>
                <w:highlight w:val="none"/>
                <w:lang w:val="en-US" w:eastAsia="zh-CN"/>
              </w:rPr>
              <w:t>L</w:t>
            </w:r>
          </w:p>
        </w:tc>
        <w:tc>
          <w:tcPr>
            <w:tcW w:w="2316" w:type="dxa"/>
            <w:shd w:val="clear" w:color="auto" w:fill="FFFFFF"/>
            <w:tcMar>
              <w:top w:w="80" w:type="dxa"/>
              <w:left w:w="100" w:type="dxa"/>
              <w:bottom w:w="80" w:type="dxa"/>
              <w:right w:w="100" w:type="dxa"/>
            </w:tcMar>
            <w:vAlign w:val="center"/>
          </w:tcPr>
          <w:p w14:paraId="44E90CEF">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2.16[1.40-2.78]</w:t>
            </w:r>
          </w:p>
        </w:tc>
        <w:tc>
          <w:tcPr>
            <w:tcW w:w="2231" w:type="dxa"/>
            <w:shd w:val="clear" w:color="auto" w:fill="FFFFFF"/>
            <w:tcMar>
              <w:top w:w="80" w:type="dxa"/>
              <w:left w:w="100" w:type="dxa"/>
              <w:bottom w:w="80" w:type="dxa"/>
              <w:right w:w="100" w:type="dxa"/>
            </w:tcMar>
            <w:vAlign w:val="center"/>
          </w:tcPr>
          <w:p w14:paraId="2481EE8E">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1.99[1.34-3.02]</w:t>
            </w:r>
          </w:p>
        </w:tc>
        <w:tc>
          <w:tcPr>
            <w:tcW w:w="1002" w:type="dxa"/>
            <w:shd w:val="clear" w:color="auto" w:fill="FFFFFF"/>
            <w:tcMar>
              <w:top w:w="80" w:type="dxa"/>
              <w:left w:w="100" w:type="dxa"/>
              <w:bottom w:w="80" w:type="dxa"/>
              <w:right w:w="100" w:type="dxa"/>
            </w:tcMar>
            <w:vAlign w:val="center"/>
          </w:tcPr>
          <w:p w14:paraId="43E19D6F">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0.719</w:t>
            </w:r>
          </w:p>
        </w:tc>
      </w:tr>
      <w:tr w14:paraId="78B5B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955" w:type="dxa"/>
            <w:shd w:val="clear" w:color="auto" w:fill="FFFFFF"/>
            <w:tcMar>
              <w:top w:w="80" w:type="dxa"/>
              <w:left w:w="100" w:type="dxa"/>
              <w:bottom w:w="80" w:type="dxa"/>
              <w:right w:w="100" w:type="dxa"/>
            </w:tcMar>
            <w:vAlign w:val="center"/>
          </w:tcPr>
          <w:p w14:paraId="1C41AB95">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LAD, mm</w:t>
            </w:r>
          </w:p>
        </w:tc>
        <w:tc>
          <w:tcPr>
            <w:tcW w:w="2316" w:type="dxa"/>
            <w:shd w:val="clear" w:color="auto" w:fill="FFFFFF"/>
            <w:tcMar>
              <w:top w:w="80" w:type="dxa"/>
              <w:left w:w="100" w:type="dxa"/>
              <w:bottom w:w="80" w:type="dxa"/>
              <w:right w:w="100" w:type="dxa"/>
            </w:tcMar>
            <w:vAlign w:val="center"/>
          </w:tcPr>
          <w:p w14:paraId="08908149">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4</w:t>
            </w:r>
            <w:r>
              <w:rPr>
                <w:rFonts w:hint="default" w:ascii="Times New Roman" w:hAnsi="Times New Roman" w:eastAsia="黑体" w:cs="Times New Roman"/>
                <w:b w:val="0"/>
                <w:color w:val="000000"/>
                <w:sz w:val="24"/>
                <w:szCs w:val="24"/>
                <w:highlight w:val="none"/>
                <w:lang w:val="en-US" w:eastAsia="zh-CN"/>
              </w:rPr>
              <w:t>5</w:t>
            </w:r>
            <w:r>
              <w:rPr>
                <w:rFonts w:hint="default" w:ascii="Times New Roman" w:hAnsi="Times New Roman" w:eastAsia="黑体" w:cs="Times New Roman"/>
                <w:b w:val="0"/>
                <w:color w:val="000000"/>
                <w:sz w:val="24"/>
                <w:szCs w:val="24"/>
                <w:highlight w:val="none"/>
              </w:rPr>
              <w:t>.00[43.00-</w:t>
            </w:r>
            <w:r>
              <w:rPr>
                <w:rFonts w:hint="default" w:ascii="Times New Roman" w:hAnsi="Times New Roman" w:eastAsia="黑体" w:cs="Times New Roman"/>
                <w:b w:val="0"/>
                <w:color w:val="000000"/>
                <w:sz w:val="24"/>
                <w:szCs w:val="24"/>
                <w:highlight w:val="none"/>
                <w:lang w:val="en-US" w:eastAsia="zh-CN"/>
              </w:rPr>
              <w:t>48</w:t>
            </w:r>
            <w:r>
              <w:rPr>
                <w:rFonts w:hint="default" w:ascii="Times New Roman" w:hAnsi="Times New Roman" w:eastAsia="黑体" w:cs="Times New Roman"/>
                <w:b w:val="0"/>
                <w:color w:val="000000"/>
                <w:sz w:val="24"/>
                <w:szCs w:val="24"/>
                <w:highlight w:val="none"/>
              </w:rPr>
              <w:t>.00]</w:t>
            </w:r>
          </w:p>
        </w:tc>
        <w:tc>
          <w:tcPr>
            <w:tcW w:w="2231" w:type="dxa"/>
            <w:shd w:val="clear" w:color="auto" w:fill="FFFFFF"/>
            <w:tcMar>
              <w:top w:w="80" w:type="dxa"/>
              <w:left w:w="100" w:type="dxa"/>
              <w:bottom w:w="80" w:type="dxa"/>
              <w:right w:w="100" w:type="dxa"/>
            </w:tcMar>
            <w:vAlign w:val="center"/>
          </w:tcPr>
          <w:p w14:paraId="2BE04E12">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45.64[42.00-49.00]</w:t>
            </w:r>
          </w:p>
        </w:tc>
        <w:tc>
          <w:tcPr>
            <w:tcW w:w="1002" w:type="dxa"/>
            <w:shd w:val="clear" w:color="auto" w:fill="FFFFFF"/>
            <w:tcMar>
              <w:top w:w="80" w:type="dxa"/>
              <w:left w:w="100" w:type="dxa"/>
              <w:bottom w:w="80" w:type="dxa"/>
              <w:right w:w="100" w:type="dxa"/>
            </w:tcMar>
            <w:vAlign w:val="center"/>
          </w:tcPr>
          <w:p w14:paraId="1E949178">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0.402</w:t>
            </w:r>
          </w:p>
        </w:tc>
      </w:tr>
      <w:tr w14:paraId="55E2D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955" w:type="dxa"/>
            <w:shd w:val="clear" w:color="auto" w:fill="FFFFFF"/>
            <w:tcMar>
              <w:top w:w="80" w:type="dxa"/>
              <w:left w:w="100" w:type="dxa"/>
              <w:bottom w:w="80" w:type="dxa"/>
              <w:right w:w="100" w:type="dxa"/>
            </w:tcMar>
            <w:vAlign w:val="center"/>
          </w:tcPr>
          <w:p w14:paraId="2132D36F">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LVEF, %</w:t>
            </w:r>
          </w:p>
        </w:tc>
        <w:tc>
          <w:tcPr>
            <w:tcW w:w="2316" w:type="dxa"/>
            <w:shd w:val="clear" w:color="auto" w:fill="FFFFFF"/>
            <w:tcMar>
              <w:top w:w="80" w:type="dxa"/>
              <w:left w:w="100" w:type="dxa"/>
              <w:bottom w:w="80" w:type="dxa"/>
              <w:right w:w="100" w:type="dxa"/>
            </w:tcMar>
            <w:vAlign w:val="center"/>
          </w:tcPr>
          <w:p w14:paraId="30578269">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59.00[55.00-62.00]</w:t>
            </w:r>
          </w:p>
        </w:tc>
        <w:tc>
          <w:tcPr>
            <w:tcW w:w="2231" w:type="dxa"/>
            <w:shd w:val="clear" w:color="auto" w:fill="FFFFFF"/>
            <w:tcMar>
              <w:top w:w="80" w:type="dxa"/>
              <w:left w:w="100" w:type="dxa"/>
              <w:bottom w:w="80" w:type="dxa"/>
              <w:right w:w="100" w:type="dxa"/>
            </w:tcMar>
            <w:vAlign w:val="center"/>
          </w:tcPr>
          <w:p w14:paraId="61927F4A">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58.00[55.00-61.00]</w:t>
            </w:r>
          </w:p>
        </w:tc>
        <w:tc>
          <w:tcPr>
            <w:tcW w:w="1002" w:type="dxa"/>
            <w:shd w:val="clear" w:color="auto" w:fill="FFFFFF"/>
            <w:tcMar>
              <w:top w:w="80" w:type="dxa"/>
              <w:left w:w="100" w:type="dxa"/>
              <w:bottom w:w="80" w:type="dxa"/>
              <w:right w:w="100" w:type="dxa"/>
            </w:tcMar>
            <w:vAlign w:val="center"/>
          </w:tcPr>
          <w:p w14:paraId="446E4757">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0.093</w:t>
            </w:r>
          </w:p>
        </w:tc>
      </w:tr>
      <w:tr w14:paraId="3EC2C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955" w:type="dxa"/>
            <w:shd w:val="clear" w:color="auto" w:fill="FFFFFF"/>
            <w:tcMar>
              <w:top w:w="80" w:type="dxa"/>
              <w:left w:w="100" w:type="dxa"/>
              <w:bottom w:w="80" w:type="dxa"/>
              <w:right w:w="100" w:type="dxa"/>
            </w:tcMar>
            <w:vAlign w:val="center"/>
          </w:tcPr>
          <w:p w14:paraId="557E325C">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f-wave amplitude, mV</w:t>
            </w:r>
          </w:p>
        </w:tc>
        <w:tc>
          <w:tcPr>
            <w:tcW w:w="2316" w:type="dxa"/>
            <w:shd w:val="clear" w:color="auto" w:fill="FFFFFF"/>
            <w:tcMar>
              <w:top w:w="80" w:type="dxa"/>
              <w:left w:w="100" w:type="dxa"/>
              <w:bottom w:w="80" w:type="dxa"/>
              <w:right w:w="100" w:type="dxa"/>
            </w:tcMar>
            <w:vAlign w:val="center"/>
          </w:tcPr>
          <w:p w14:paraId="313FAD9F">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0.13[0.09-0.17]</w:t>
            </w:r>
          </w:p>
        </w:tc>
        <w:tc>
          <w:tcPr>
            <w:tcW w:w="2231" w:type="dxa"/>
            <w:shd w:val="clear" w:color="auto" w:fill="FFFFFF"/>
            <w:tcMar>
              <w:top w:w="80" w:type="dxa"/>
              <w:left w:w="100" w:type="dxa"/>
              <w:bottom w:w="80" w:type="dxa"/>
              <w:right w:w="100" w:type="dxa"/>
            </w:tcMar>
            <w:vAlign w:val="center"/>
          </w:tcPr>
          <w:p w14:paraId="333F721E">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0.13[0.09-0.18]</w:t>
            </w:r>
          </w:p>
        </w:tc>
        <w:tc>
          <w:tcPr>
            <w:tcW w:w="1002" w:type="dxa"/>
            <w:shd w:val="clear" w:color="auto" w:fill="FFFFFF"/>
            <w:tcMar>
              <w:top w:w="80" w:type="dxa"/>
              <w:left w:w="100" w:type="dxa"/>
              <w:bottom w:w="80" w:type="dxa"/>
              <w:right w:w="100" w:type="dxa"/>
            </w:tcMar>
            <w:vAlign w:val="center"/>
          </w:tcPr>
          <w:p w14:paraId="2AAE72B2">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0.545</w:t>
            </w:r>
          </w:p>
        </w:tc>
      </w:tr>
      <w:tr w14:paraId="5C0E9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955" w:type="dxa"/>
            <w:tcBorders>
              <w:bottom w:val="single" w:color="000000" w:sz="12" w:space="0"/>
            </w:tcBorders>
            <w:shd w:val="clear" w:color="auto" w:fill="FFFFFF"/>
            <w:tcMar>
              <w:top w:w="80" w:type="dxa"/>
              <w:left w:w="100" w:type="dxa"/>
              <w:bottom w:w="80" w:type="dxa"/>
              <w:right w:w="100" w:type="dxa"/>
            </w:tcMar>
            <w:vAlign w:val="center"/>
          </w:tcPr>
          <w:p w14:paraId="3C81D919">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LVA prevalence, n</w:t>
            </w:r>
            <w:r>
              <w:rPr>
                <w:rFonts w:hint="default" w:ascii="Times New Roman" w:hAnsi="Times New Roman" w:eastAsia="黑体" w:cs="Times New Roman"/>
                <w:b w:val="0"/>
                <w:color w:val="000000"/>
                <w:sz w:val="24"/>
                <w:szCs w:val="24"/>
                <w:highlight w:val="none"/>
                <w:lang w:val="en-US" w:eastAsia="zh-CN"/>
              </w:rPr>
              <w:t xml:space="preserve"> (</w:t>
            </w:r>
            <w:r>
              <w:rPr>
                <w:rFonts w:hint="default" w:ascii="Times New Roman" w:hAnsi="Times New Roman" w:eastAsia="黑体" w:cs="Times New Roman"/>
                <w:b w:val="0"/>
                <w:color w:val="000000"/>
                <w:sz w:val="24"/>
                <w:szCs w:val="24"/>
                <w:highlight w:val="none"/>
              </w:rPr>
              <w:t>%</w:t>
            </w:r>
            <w:r>
              <w:rPr>
                <w:rFonts w:hint="default" w:ascii="Times New Roman" w:hAnsi="Times New Roman" w:eastAsia="黑体" w:cs="Times New Roman"/>
                <w:b w:val="0"/>
                <w:color w:val="000000"/>
                <w:sz w:val="24"/>
                <w:szCs w:val="24"/>
                <w:highlight w:val="none"/>
                <w:lang w:val="en-US" w:eastAsia="zh-CN"/>
              </w:rPr>
              <w:t>)</w:t>
            </w:r>
          </w:p>
        </w:tc>
        <w:tc>
          <w:tcPr>
            <w:tcW w:w="2316" w:type="dxa"/>
            <w:tcBorders>
              <w:bottom w:val="single" w:color="000000" w:sz="12" w:space="0"/>
            </w:tcBorders>
            <w:shd w:val="clear" w:color="auto" w:fill="FFFFFF"/>
            <w:tcMar>
              <w:top w:w="80" w:type="dxa"/>
              <w:left w:w="100" w:type="dxa"/>
              <w:bottom w:w="80" w:type="dxa"/>
              <w:right w:w="100" w:type="dxa"/>
            </w:tcMar>
            <w:vAlign w:val="center"/>
          </w:tcPr>
          <w:p w14:paraId="2A0A850E">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64(83.1%)</w:t>
            </w:r>
          </w:p>
        </w:tc>
        <w:tc>
          <w:tcPr>
            <w:tcW w:w="2231" w:type="dxa"/>
            <w:tcBorders>
              <w:bottom w:val="single" w:color="000000" w:sz="12" w:space="0"/>
            </w:tcBorders>
            <w:shd w:val="clear" w:color="auto" w:fill="FFFFFF"/>
            <w:tcMar>
              <w:top w:w="80" w:type="dxa"/>
              <w:left w:w="100" w:type="dxa"/>
              <w:bottom w:w="80" w:type="dxa"/>
              <w:right w:w="100" w:type="dxa"/>
            </w:tcMar>
            <w:vAlign w:val="center"/>
          </w:tcPr>
          <w:p w14:paraId="711E7DAD">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168(51.4%)</w:t>
            </w:r>
          </w:p>
        </w:tc>
        <w:tc>
          <w:tcPr>
            <w:tcW w:w="1002" w:type="dxa"/>
            <w:tcBorders>
              <w:bottom w:val="single" w:color="000000" w:sz="12" w:space="0"/>
            </w:tcBorders>
            <w:shd w:val="clear" w:color="auto" w:fill="FFFFFF"/>
            <w:tcMar>
              <w:top w:w="80" w:type="dxa"/>
              <w:left w:w="100" w:type="dxa"/>
              <w:bottom w:w="80" w:type="dxa"/>
              <w:right w:w="100" w:type="dxa"/>
            </w:tcMar>
            <w:vAlign w:val="center"/>
          </w:tcPr>
          <w:p w14:paraId="74ACB106">
            <w:pPr>
              <w:snapToGrid w:val="0"/>
              <w:spacing w:before="0" w:after="0" w:line="240" w:lineRule="auto"/>
              <w:ind w:left="0" w:leftChars="0" w:right="0" w:rightChars="0" w:firstLine="0" w:firstLineChars="0"/>
              <w:jc w:val="center"/>
              <w:rPr>
                <w:rFonts w:hint="default" w:ascii="Times New Roman" w:hAnsi="Times New Roman" w:eastAsia="黑体" w:cs="Times New Roman"/>
                <w:b w:val="0"/>
                <w:color w:val="000000"/>
                <w:sz w:val="24"/>
                <w:szCs w:val="24"/>
                <w:highlight w:val="none"/>
              </w:rPr>
            </w:pPr>
            <w:r>
              <w:rPr>
                <w:rFonts w:hint="default" w:ascii="Times New Roman" w:hAnsi="Times New Roman" w:eastAsia="黑体" w:cs="Times New Roman"/>
                <w:b w:val="0"/>
                <w:color w:val="000000"/>
                <w:sz w:val="24"/>
                <w:szCs w:val="24"/>
                <w:highlight w:val="none"/>
              </w:rPr>
              <w:t>&lt;0.001</w:t>
            </w:r>
          </w:p>
        </w:tc>
      </w:tr>
    </w:tbl>
    <w:p w14:paraId="7FE52EE1">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Continuous variables are presented as the mean ± standard deviation or median [interquartile range], as appropriate. Categorical variables are presented as n (%). Comparisons between groups were performed using Student’s t test or the Wilcoxon rank-sum test for continuous variables, and the chi-square test or Fisher’s exact test for categorical variables, as appropriate.</w:t>
      </w:r>
    </w:p>
    <w:p w14:paraId="40BB49E8">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b/>
          <w:bCs/>
          <w:kern w:val="2"/>
          <w:sz w:val="24"/>
          <w:szCs w:val="24"/>
          <w:highlight w:val="none"/>
          <w:lang w:val="en-US" w:eastAsia="zh-CN" w:bidi="ar"/>
        </w:rPr>
        <w:t>Abbreviations:</w:t>
      </w:r>
      <w:r>
        <w:rPr>
          <w:rFonts w:hint="default" w:ascii="Times New Roman" w:hAnsi="Times New Roman" w:eastAsia="宋体" w:cs="Times New Roman"/>
          <w:kern w:val="2"/>
          <w:sz w:val="24"/>
          <w:szCs w:val="24"/>
          <w:highlight w:val="none"/>
          <w:lang w:val="en-US" w:eastAsia="zh-CN" w:bidi="ar"/>
        </w:rPr>
        <w:t xml:space="preserve"> BMI, body mass index; eGFR, estimated glomerular filtration rate; HDL-C, high-density lipoprotein cholesterol; LAD, left atrial diameter; LDL-C, low-density lipoprotein cholesterol; LVAs, left atrial low-voltage areas; LVEF, left ventricular ejection fraction; TIA, transient ischemic attack; TSH, thyroid-stimulating hormone.</w:t>
      </w:r>
    </w:p>
    <w:p w14:paraId="546777FF">
      <w:pPr>
        <w:spacing w:line="480" w:lineRule="auto"/>
        <w:rPr>
          <w:rFonts w:hint="default" w:ascii="Times New Roman" w:hAnsi="Times New Roman" w:cs="Times New Roman"/>
          <w:b w:val="0"/>
          <w:bCs w:val="0"/>
          <w:kern w:val="0"/>
          <w:sz w:val="24"/>
          <w:szCs w:val="24"/>
          <w:highlight w:val="none"/>
          <w:lang w:val="en-US" w:eastAsia="zh-CN" w:bidi="ar"/>
        </w:rPr>
      </w:pPr>
      <w:r>
        <w:rPr>
          <w:rFonts w:hint="default" w:ascii="Times New Roman" w:hAnsi="Times New Roman" w:cs="Times New Roman" w:eastAsiaTheme="minorEastAsia"/>
          <w:b/>
          <w:bCs/>
          <w:kern w:val="0"/>
          <w:sz w:val="24"/>
          <w:szCs w:val="24"/>
          <w:highlight w:val="none"/>
          <w:lang w:val="en-US" w:eastAsia="zh-CN" w:bidi="ar"/>
        </w:rPr>
        <w:t>Supplementary Table S12.</w:t>
      </w:r>
      <w:r>
        <w:rPr>
          <w:rFonts w:hint="default" w:ascii="Times New Roman" w:hAnsi="Times New Roman" w:cs="Times New Roman" w:eastAsiaTheme="minorEastAsia"/>
          <w:b w:val="0"/>
          <w:bCs w:val="0"/>
          <w:kern w:val="0"/>
          <w:sz w:val="24"/>
          <w:szCs w:val="24"/>
          <w:highlight w:val="none"/>
          <w:lang w:val="en-US" w:eastAsia="zh-CN" w:bidi="ar"/>
        </w:rPr>
        <w:t xml:space="preserve"> Sensitivity analysis of the association between LDL-C and LVAs after additional adjustment for mapping rhythm in the overall cohort</w:t>
      </w:r>
      <w:r>
        <w:rPr>
          <w:rFonts w:hint="default" w:ascii="Times New Roman" w:hAnsi="Times New Roman" w:cs="Times New Roman"/>
          <w:b w:val="0"/>
          <w:bCs w:val="0"/>
          <w:kern w:val="0"/>
          <w:sz w:val="24"/>
          <w:szCs w:val="24"/>
          <w:highlight w:val="none"/>
          <w:lang w:val="en-US" w:eastAsia="zh-CN" w:bidi="ar"/>
        </w:rPr>
        <w:t>.</w:t>
      </w:r>
    </w:p>
    <w:tbl>
      <w:tblPr>
        <w:tblStyle w:val="8"/>
        <w:tblW w:w="8504" w:type="dxa"/>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559"/>
        <w:gridCol w:w="2678"/>
        <w:gridCol w:w="1045"/>
        <w:gridCol w:w="1901"/>
        <w:gridCol w:w="1321"/>
      </w:tblGrid>
      <w:tr w14:paraId="2E81AF1B">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0" w:type="auto"/>
            <w:tcBorders>
              <w:bottom w:val="single" w:color="000000" w:sz="4" w:space="0"/>
              <w:tl2br w:val="nil"/>
            </w:tcBorders>
            <w:shd w:val="clear" w:color="auto" w:fill="FFFFFF"/>
            <w:tcMar>
              <w:top w:w="80" w:type="dxa"/>
              <w:left w:w="90" w:type="dxa"/>
              <w:bottom w:w="80" w:type="dxa"/>
              <w:right w:w="90" w:type="dxa"/>
            </w:tcMar>
            <w:vAlign w:val="center"/>
          </w:tcPr>
          <w:p w14:paraId="79545104">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Model</w:t>
            </w:r>
          </w:p>
        </w:tc>
        <w:tc>
          <w:tcPr>
            <w:tcW w:w="0" w:type="auto"/>
            <w:tcBorders>
              <w:bottom w:val="single" w:color="000000" w:sz="4" w:space="0"/>
            </w:tcBorders>
            <w:shd w:val="clear" w:color="auto" w:fill="FFFFFF"/>
            <w:tcMar>
              <w:top w:w="80" w:type="dxa"/>
              <w:left w:w="90" w:type="dxa"/>
              <w:bottom w:w="80" w:type="dxa"/>
              <w:right w:w="90" w:type="dxa"/>
            </w:tcMar>
            <w:vAlign w:val="center"/>
          </w:tcPr>
          <w:p w14:paraId="704FD489">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No. of predictors</w:t>
            </w:r>
          </w:p>
        </w:tc>
        <w:tc>
          <w:tcPr>
            <w:tcW w:w="0" w:type="auto"/>
            <w:tcBorders>
              <w:bottom w:val="single" w:color="000000" w:sz="4" w:space="0"/>
            </w:tcBorders>
            <w:shd w:val="clear" w:color="auto" w:fill="FFFFFF"/>
            <w:tcMar>
              <w:top w:w="80" w:type="dxa"/>
              <w:left w:w="90" w:type="dxa"/>
              <w:bottom w:w="80" w:type="dxa"/>
              <w:right w:w="90" w:type="dxa"/>
            </w:tcMar>
            <w:vAlign w:val="center"/>
          </w:tcPr>
          <w:p w14:paraId="654D1A68">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 xml:space="preserve">OR </w:t>
            </w:r>
          </w:p>
        </w:tc>
        <w:tc>
          <w:tcPr>
            <w:tcW w:w="0" w:type="auto"/>
            <w:tcBorders>
              <w:bottom w:val="single" w:color="000000" w:sz="4" w:space="0"/>
            </w:tcBorders>
            <w:shd w:val="clear" w:color="auto" w:fill="FFFFFF"/>
            <w:tcMar>
              <w:top w:w="80" w:type="dxa"/>
              <w:left w:w="90" w:type="dxa"/>
              <w:bottom w:w="80" w:type="dxa"/>
              <w:right w:w="90" w:type="dxa"/>
            </w:tcMar>
            <w:vAlign w:val="center"/>
          </w:tcPr>
          <w:p w14:paraId="11630A21">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95% CI</w:t>
            </w:r>
          </w:p>
        </w:tc>
        <w:tc>
          <w:tcPr>
            <w:tcW w:w="1318" w:type="dxa"/>
            <w:tcBorders>
              <w:bottom w:val="single" w:color="000000" w:sz="4" w:space="0"/>
            </w:tcBorders>
            <w:shd w:val="clear" w:color="auto" w:fill="FFFFFF"/>
            <w:tcMar>
              <w:top w:w="80" w:type="dxa"/>
              <w:left w:w="90" w:type="dxa"/>
              <w:bottom w:w="80" w:type="dxa"/>
              <w:right w:w="90" w:type="dxa"/>
            </w:tcMar>
            <w:vAlign w:val="center"/>
          </w:tcPr>
          <w:p w14:paraId="439DCB10">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bCs/>
                <w:color w:val="000000"/>
                <w:sz w:val="24"/>
                <w:szCs w:val="24"/>
                <w:highlight w:val="none"/>
              </w:rPr>
            </w:pPr>
            <w:r>
              <w:rPr>
                <w:rFonts w:hint="default" w:ascii="Times New Roman" w:hAnsi="Times New Roman" w:eastAsia="Times New Roman" w:cs="Times New Roman"/>
                <w:b/>
                <w:bCs/>
                <w:i/>
                <w:iCs/>
                <w:color w:val="000000"/>
                <w:sz w:val="24"/>
                <w:szCs w:val="24"/>
                <w:highlight w:val="none"/>
              </w:rPr>
              <w:t xml:space="preserve">P </w:t>
            </w:r>
            <w:r>
              <w:rPr>
                <w:rFonts w:hint="default" w:ascii="Times New Roman" w:hAnsi="Times New Roman" w:eastAsia="宋体" w:cs="Times New Roman"/>
                <w:b/>
                <w:bCs/>
                <w:color w:val="000000"/>
                <w:sz w:val="24"/>
                <w:szCs w:val="24"/>
                <w:highlight w:val="none"/>
                <w:lang w:val="en-US" w:eastAsia="zh-CN"/>
              </w:rPr>
              <w:t>v</w:t>
            </w:r>
            <w:r>
              <w:rPr>
                <w:rFonts w:hint="default" w:ascii="Times New Roman" w:hAnsi="Times New Roman" w:eastAsia="Times New Roman" w:cs="Times New Roman"/>
                <w:b/>
                <w:bCs/>
                <w:color w:val="000000"/>
                <w:sz w:val="24"/>
                <w:szCs w:val="24"/>
                <w:highlight w:val="none"/>
              </w:rPr>
              <w:t>alue</w:t>
            </w:r>
          </w:p>
        </w:tc>
      </w:tr>
      <w:tr w14:paraId="30A28F34">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tcBorders>
            <w:shd w:val="clear" w:color="auto" w:fill="FFFFFF"/>
            <w:tcMar>
              <w:top w:w="80" w:type="dxa"/>
              <w:left w:w="90" w:type="dxa"/>
              <w:bottom w:w="80" w:type="dxa"/>
              <w:right w:w="90" w:type="dxa"/>
            </w:tcMar>
            <w:vAlign w:val="center"/>
          </w:tcPr>
          <w:p w14:paraId="3C53D7FB">
            <w:pPr>
              <w:snapToGrid w:val="0"/>
              <w:spacing w:before="0" w:after="0"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Times New Roman" w:cs="Times New Roman"/>
                <w:b w:val="0"/>
                <w:color w:val="000000"/>
                <w:sz w:val="24"/>
                <w:szCs w:val="24"/>
                <w:highlight w:val="none"/>
              </w:rPr>
              <w:t>Model 1</w:t>
            </w:r>
            <w:r>
              <w:rPr>
                <w:rFonts w:hint="default" w:ascii="Times New Roman" w:hAnsi="Times New Roman" w:eastAsia="宋体" w:cs="Times New Roman"/>
                <w:b w:val="0"/>
                <w:color w:val="000000"/>
                <w:sz w:val="24"/>
                <w:szCs w:val="24"/>
                <w:highlight w:val="none"/>
                <w:lang w:val="en-US" w:eastAsia="zh-CN"/>
              </w:rPr>
              <w:t>c</w:t>
            </w:r>
          </w:p>
        </w:tc>
        <w:tc>
          <w:tcPr>
            <w:tcW w:w="0" w:type="auto"/>
            <w:tcBorders>
              <w:top w:val="single" w:color="000000" w:sz="4" w:space="0"/>
            </w:tcBorders>
            <w:shd w:val="clear" w:color="auto" w:fill="FFFFFF"/>
            <w:tcMar>
              <w:top w:w="80" w:type="dxa"/>
              <w:left w:w="90" w:type="dxa"/>
              <w:bottom w:w="80" w:type="dxa"/>
              <w:right w:w="90" w:type="dxa"/>
            </w:tcMar>
            <w:vAlign w:val="center"/>
          </w:tcPr>
          <w:p w14:paraId="0F2F773A">
            <w:pPr>
              <w:snapToGrid w:val="0"/>
              <w:spacing w:before="0" w:after="0"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宋体" w:cs="Times New Roman"/>
                <w:b w:val="0"/>
                <w:color w:val="000000"/>
                <w:sz w:val="24"/>
                <w:szCs w:val="24"/>
                <w:highlight w:val="none"/>
                <w:lang w:val="en-US" w:eastAsia="zh-CN"/>
              </w:rPr>
              <w:t>4</w:t>
            </w:r>
          </w:p>
        </w:tc>
        <w:tc>
          <w:tcPr>
            <w:tcW w:w="0" w:type="auto"/>
            <w:tcBorders>
              <w:top w:val="single" w:color="000000" w:sz="4" w:space="0"/>
            </w:tcBorders>
            <w:shd w:val="clear" w:color="auto" w:fill="FFFFFF"/>
            <w:tcMar>
              <w:top w:w="80" w:type="dxa"/>
              <w:left w:w="90" w:type="dxa"/>
              <w:bottom w:w="80" w:type="dxa"/>
              <w:right w:w="90" w:type="dxa"/>
            </w:tcMar>
            <w:vAlign w:val="center"/>
          </w:tcPr>
          <w:p w14:paraId="6B085302">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0.704</w:t>
            </w:r>
          </w:p>
        </w:tc>
        <w:tc>
          <w:tcPr>
            <w:tcW w:w="0" w:type="auto"/>
            <w:tcBorders>
              <w:top w:val="single" w:color="000000" w:sz="4" w:space="0"/>
            </w:tcBorders>
            <w:shd w:val="clear" w:color="auto" w:fill="FFFFFF"/>
            <w:tcMar>
              <w:top w:w="80" w:type="dxa"/>
              <w:left w:w="90" w:type="dxa"/>
              <w:bottom w:w="80" w:type="dxa"/>
              <w:right w:w="90" w:type="dxa"/>
            </w:tcMar>
            <w:vAlign w:val="center"/>
          </w:tcPr>
          <w:p w14:paraId="4FF27162">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0.525-0.943</w:t>
            </w:r>
          </w:p>
        </w:tc>
        <w:tc>
          <w:tcPr>
            <w:tcW w:w="1318" w:type="dxa"/>
            <w:tcBorders>
              <w:top w:val="single" w:color="000000" w:sz="4" w:space="0"/>
            </w:tcBorders>
            <w:shd w:val="clear" w:color="auto" w:fill="FFFFFF"/>
            <w:tcMar>
              <w:top w:w="80" w:type="dxa"/>
              <w:left w:w="90" w:type="dxa"/>
              <w:bottom w:w="80" w:type="dxa"/>
              <w:right w:w="90" w:type="dxa"/>
            </w:tcMar>
            <w:vAlign w:val="center"/>
          </w:tcPr>
          <w:p w14:paraId="3D3023C8">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0.019</w:t>
            </w:r>
          </w:p>
        </w:tc>
      </w:tr>
      <w:tr w14:paraId="6CFAC190">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shd w:val="clear" w:color="auto" w:fill="FFFFFF"/>
            <w:tcMar>
              <w:top w:w="80" w:type="dxa"/>
              <w:left w:w="90" w:type="dxa"/>
              <w:bottom w:w="80" w:type="dxa"/>
              <w:right w:w="90" w:type="dxa"/>
            </w:tcMar>
            <w:vAlign w:val="center"/>
          </w:tcPr>
          <w:p w14:paraId="4E6DA201">
            <w:pPr>
              <w:snapToGrid w:val="0"/>
              <w:spacing w:before="0" w:after="0"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Times New Roman" w:cs="Times New Roman"/>
                <w:b w:val="0"/>
                <w:color w:val="000000"/>
                <w:sz w:val="24"/>
                <w:szCs w:val="24"/>
                <w:highlight w:val="none"/>
              </w:rPr>
              <w:t>Model 2</w:t>
            </w:r>
            <w:r>
              <w:rPr>
                <w:rFonts w:hint="default" w:ascii="Times New Roman" w:hAnsi="Times New Roman" w:eastAsia="宋体" w:cs="Times New Roman"/>
                <w:b w:val="0"/>
                <w:color w:val="000000"/>
                <w:sz w:val="24"/>
                <w:szCs w:val="24"/>
                <w:highlight w:val="none"/>
                <w:lang w:val="en-US" w:eastAsia="zh-CN"/>
              </w:rPr>
              <w:t>c</w:t>
            </w:r>
          </w:p>
        </w:tc>
        <w:tc>
          <w:tcPr>
            <w:tcW w:w="0" w:type="auto"/>
            <w:shd w:val="clear" w:color="auto" w:fill="FFFFFF"/>
            <w:tcMar>
              <w:top w:w="80" w:type="dxa"/>
              <w:left w:w="90" w:type="dxa"/>
              <w:bottom w:w="80" w:type="dxa"/>
              <w:right w:w="90" w:type="dxa"/>
            </w:tcMar>
            <w:vAlign w:val="center"/>
          </w:tcPr>
          <w:p w14:paraId="747D6135">
            <w:pPr>
              <w:snapToGrid w:val="0"/>
              <w:spacing w:before="0" w:after="0"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Times New Roman" w:cs="Times New Roman"/>
                <w:b w:val="0"/>
                <w:color w:val="000000"/>
                <w:sz w:val="24"/>
                <w:szCs w:val="24"/>
                <w:highlight w:val="none"/>
              </w:rPr>
              <w:t>1</w:t>
            </w:r>
            <w:r>
              <w:rPr>
                <w:rFonts w:hint="default" w:ascii="Times New Roman" w:hAnsi="Times New Roman" w:eastAsia="宋体" w:cs="Times New Roman"/>
                <w:b w:val="0"/>
                <w:color w:val="000000"/>
                <w:sz w:val="24"/>
                <w:szCs w:val="24"/>
                <w:highlight w:val="none"/>
                <w:lang w:val="en-US" w:eastAsia="zh-CN"/>
              </w:rPr>
              <w:t>2</w:t>
            </w:r>
          </w:p>
        </w:tc>
        <w:tc>
          <w:tcPr>
            <w:tcW w:w="0" w:type="auto"/>
            <w:shd w:val="clear" w:color="auto" w:fill="FFFFFF"/>
            <w:tcMar>
              <w:top w:w="80" w:type="dxa"/>
              <w:left w:w="90" w:type="dxa"/>
              <w:bottom w:w="80" w:type="dxa"/>
              <w:right w:w="90" w:type="dxa"/>
            </w:tcMar>
            <w:vAlign w:val="center"/>
          </w:tcPr>
          <w:p w14:paraId="098FBBAD">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0.700</w:t>
            </w:r>
          </w:p>
        </w:tc>
        <w:tc>
          <w:tcPr>
            <w:tcW w:w="0" w:type="auto"/>
            <w:shd w:val="clear" w:color="auto" w:fill="FFFFFF"/>
            <w:tcMar>
              <w:top w:w="80" w:type="dxa"/>
              <w:left w:w="90" w:type="dxa"/>
              <w:bottom w:w="80" w:type="dxa"/>
              <w:right w:w="90" w:type="dxa"/>
            </w:tcMar>
            <w:vAlign w:val="center"/>
          </w:tcPr>
          <w:p w14:paraId="4C4242F5">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0.518-0.945</w:t>
            </w:r>
          </w:p>
        </w:tc>
        <w:tc>
          <w:tcPr>
            <w:tcW w:w="1318" w:type="dxa"/>
            <w:shd w:val="clear" w:color="auto" w:fill="FFFFFF"/>
            <w:tcMar>
              <w:top w:w="80" w:type="dxa"/>
              <w:left w:w="90" w:type="dxa"/>
              <w:bottom w:w="80" w:type="dxa"/>
              <w:right w:w="90" w:type="dxa"/>
            </w:tcMar>
            <w:vAlign w:val="center"/>
          </w:tcPr>
          <w:p w14:paraId="72F4982E">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0.020</w:t>
            </w:r>
          </w:p>
        </w:tc>
      </w:tr>
      <w:tr w14:paraId="394ADBCE">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shd w:val="clear" w:color="auto" w:fill="FFFFFF"/>
            <w:tcMar>
              <w:top w:w="80" w:type="dxa"/>
              <w:left w:w="90" w:type="dxa"/>
              <w:bottom w:w="80" w:type="dxa"/>
              <w:right w:w="90" w:type="dxa"/>
            </w:tcMar>
            <w:vAlign w:val="center"/>
          </w:tcPr>
          <w:p w14:paraId="1930E7D4">
            <w:pPr>
              <w:snapToGrid w:val="0"/>
              <w:spacing w:before="0" w:after="0"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Times New Roman" w:cs="Times New Roman"/>
                <w:b w:val="0"/>
                <w:color w:val="000000"/>
                <w:sz w:val="24"/>
                <w:szCs w:val="24"/>
                <w:highlight w:val="none"/>
              </w:rPr>
              <w:t>Model 3</w:t>
            </w:r>
            <w:r>
              <w:rPr>
                <w:rFonts w:hint="default" w:ascii="Times New Roman" w:hAnsi="Times New Roman" w:eastAsia="宋体" w:cs="Times New Roman"/>
                <w:b w:val="0"/>
                <w:color w:val="000000"/>
                <w:sz w:val="24"/>
                <w:szCs w:val="24"/>
                <w:highlight w:val="none"/>
                <w:lang w:val="en-US" w:eastAsia="zh-CN"/>
              </w:rPr>
              <w:t>c</w:t>
            </w:r>
          </w:p>
        </w:tc>
        <w:tc>
          <w:tcPr>
            <w:tcW w:w="0" w:type="auto"/>
            <w:shd w:val="clear" w:color="auto" w:fill="FFFFFF"/>
            <w:tcMar>
              <w:top w:w="80" w:type="dxa"/>
              <w:left w:w="90" w:type="dxa"/>
              <w:bottom w:w="80" w:type="dxa"/>
              <w:right w:w="90" w:type="dxa"/>
            </w:tcMar>
            <w:vAlign w:val="center"/>
          </w:tcPr>
          <w:p w14:paraId="6163F22D">
            <w:pPr>
              <w:snapToGrid w:val="0"/>
              <w:spacing w:before="0" w:after="0"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Times New Roman" w:cs="Times New Roman"/>
                <w:b w:val="0"/>
                <w:color w:val="000000"/>
                <w:sz w:val="24"/>
                <w:szCs w:val="24"/>
                <w:highlight w:val="none"/>
              </w:rPr>
              <w:t>1</w:t>
            </w:r>
            <w:r>
              <w:rPr>
                <w:rFonts w:hint="default" w:ascii="Times New Roman" w:hAnsi="Times New Roman" w:eastAsia="宋体" w:cs="Times New Roman"/>
                <w:b w:val="0"/>
                <w:color w:val="000000"/>
                <w:sz w:val="24"/>
                <w:szCs w:val="24"/>
                <w:highlight w:val="none"/>
                <w:lang w:val="en-US" w:eastAsia="zh-CN"/>
              </w:rPr>
              <w:t>6</w:t>
            </w:r>
          </w:p>
        </w:tc>
        <w:tc>
          <w:tcPr>
            <w:tcW w:w="0" w:type="auto"/>
            <w:shd w:val="clear" w:color="auto" w:fill="FFFFFF"/>
            <w:tcMar>
              <w:top w:w="80" w:type="dxa"/>
              <w:left w:w="90" w:type="dxa"/>
              <w:bottom w:w="80" w:type="dxa"/>
              <w:right w:w="90" w:type="dxa"/>
            </w:tcMar>
            <w:vAlign w:val="center"/>
          </w:tcPr>
          <w:p w14:paraId="7FE8A649">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0.650</w:t>
            </w:r>
          </w:p>
        </w:tc>
        <w:tc>
          <w:tcPr>
            <w:tcW w:w="0" w:type="auto"/>
            <w:shd w:val="clear" w:color="auto" w:fill="FFFFFF"/>
            <w:tcMar>
              <w:top w:w="80" w:type="dxa"/>
              <w:left w:w="90" w:type="dxa"/>
              <w:bottom w:w="80" w:type="dxa"/>
              <w:right w:w="90" w:type="dxa"/>
            </w:tcMar>
            <w:vAlign w:val="center"/>
          </w:tcPr>
          <w:p w14:paraId="5B44A508">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0.468-0.902</w:t>
            </w:r>
          </w:p>
        </w:tc>
        <w:tc>
          <w:tcPr>
            <w:tcW w:w="1318" w:type="dxa"/>
            <w:shd w:val="clear" w:color="auto" w:fill="FFFFFF"/>
            <w:tcMar>
              <w:top w:w="80" w:type="dxa"/>
              <w:left w:w="90" w:type="dxa"/>
              <w:bottom w:w="80" w:type="dxa"/>
              <w:right w:w="90" w:type="dxa"/>
            </w:tcMar>
            <w:vAlign w:val="center"/>
          </w:tcPr>
          <w:p w14:paraId="0531C042">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0.010</w:t>
            </w:r>
          </w:p>
        </w:tc>
      </w:tr>
      <w:tr w14:paraId="5D48BFBC">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556" w:type="dxa"/>
            <w:shd w:val="clear" w:color="auto" w:fill="FFFFFF"/>
            <w:tcMar>
              <w:top w:w="80" w:type="dxa"/>
              <w:left w:w="90" w:type="dxa"/>
              <w:bottom w:w="80" w:type="dxa"/>
              <w:right w:w="90" w:type="dxa"/>
            </w:tcMar>
            <w:vAlign w:val="center"/>
          </w:tcPr>
          <w:p w14:paraId="1FDC1FD9">
            <w:pPr>
              <w:snapToGrid w:val="0"/>
              <w:spacing w:before="0" w:after="0"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Times New Roman" w:cs="Times New Roman"/>
                <w:b w:val="0"/>
                <w:color w:val="000000"/>
                <w:sz w:val="24"/>
                <w:szCs w:val="24"/>
                <w:highlight w:val="none"/>
              </w:rPr>
              <w:t>Model 4</w:t>
            </w:r>
            <w:r>
              <w:rPr>
                <w:rFonts w:hint="default" w:ascii="Times New Roman" w:hAnsi="Times New Roman" w:eastAsia="宋体" w:cs="Times New Roman"/>
                <w:b w:val="0"/>
                <w:color w:val="000000"/>
                <w:sz w:val="24"/>
                <w:szCs w:val="24"/>
                <w:highlight w:val="none"/>
                <w:lang w:val="en-US" w:eastAsia="zh-CN"/>
              </w:rPr>
              <w:t>c</w:t>
            </w:r>
          </w:p>
        </w:tc>
        <w:tc>
          <w:tcPr>
            <w:tcW w:w="2671" w:type="dxa"/>
            <w:shd w:val="clear" w:color="auto" w:fill="FFFFFF"/>
            <w:tcMar>
              <w:top w:w="80" w:type="dxa"/>
              <w:left w:w="90" w:type="dxa"/>
              <w:bottom w:w="80" w:type="dxa"/>
              <w:right w:w="90" w:type="dxa"/>
            </w:tcMar>
            <w:vAlign w:val="center"/>
          </w:tcPr>
          <w:p w14:paraId="548CFC89">
            <w:pPr>
              <w:snapToGrid w:val="0"/>
              <w:spacing w:before="0" w:after="0"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Times New Roman" w:cs="Times New Roman"/>
                <w:b w:val="0"/>
                <w:color w:val="000000"/>
                <w:sz w:val="24"/>
                <w:szCs w:val="24"/>
                <w:highlight w:val="none"/>
              </w:rPr>
              <w:t>1</w:t>
            </w:r>
            <w:r>
              <w:rPr>
                <w:rFonts w:hint="default" w:ascii="Times New Roman" w:hAnsi="Times New Roman" w:eastAsia="宋体" w:cs="Times New Roman"/>
                <w:b w:val="0"/>
                <w:color w:val="000000"/>
                <w:sz w:val="24"/>
                <w:szCs w:val="24"/>
                <w:highlight w:val="none"/>
                <w:lang w:val="en-US" w:eastAsia="zh-CN"/>
              </w:rPr>
              <w:t>7</w:t>
            </w:r>
          </w:p>
        </w:tc>
        <w:tc>
          <w:tcPr>
            <w:tcW w:w="1042" w:type="dxa"/>
            <w:shd w:val="clear" w:color="auto" w:fill="FFFFFF"/>
            <w:tcMar>
              <w:top w:w="80" w:type="dxa"/>
              <w:left w:w="90" w:type="dxa"/>
              <w:bottom w:w="80" w:type="dxa"/>
              <w:right w:w="90" w:type="dxa"/>
            </w:tcMar>
            <w:vAlign w:val="center"/>
          </w:tcPr>
          <w:p w14:paraId="65F935F7">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0.723</w:t>
            </w:r>
          </w:p>
        </w:tc>
        <w:tc>
          <w:tcPr>
            <w:tcW w:w="1896" w:type="dxa"/>
            <w:shd w:val="clear" w:color="auto" w:fill="FFFFFF"/>
            <w:tcMar>
              <w:top w:w="80" w:type="dxa"/>
              <w:left w:w="90" w:type="dxa"/>
              <w:bottom w:w="80" w:type="dxa"/>
              <w:right w:w="90" w:type="dxa"/>
            </w:tcMar>
            <w:vAlign w:val="center"/>
          </w:tcPr>
          <w:p w14:paraId="3363B96C">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0.515-1.016</w:t>
            </w:r>
          </w:p>
        </w:tc>
        <w:tc>
          <w:tcPr>
            <w:tcW w:w="1318" w:type="dxa"/>
            <w:shd w:val="clear" w:color="auto" w:fill="FFFFFF"/>
            <w:tcMar>
              <w:top w:w="80" w:type="dxa"/>
              <w:left w:w="90" w:type="dxa"/>
              <w:bottom w:w="80" w:type="dxa"/>
              <w:right w:w="90" w:type="dxa"/>
            </w:tcMar>
            <w:vAlign w:val="center"/>
          </w:tcPr>
          <w:p w14:paraId="58E3ED17">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0.062</w:t>
            </w:r>
          </w:p>
        </w:tc>
      </w:tr>
    </w:tbl>
    <w:p w14:paraId="6C310132">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Odds ratios with 95% confidence intervals were estimated per 1 mmol/L increase in LDL-C using logistic regression in the overall cohort, with mapping rhythm additionally included as a covariate in all models. Models 1c–3c remained statistically significant after adjustment for mapping rhythm, whereas Model 4c, which further adjusted for LAD, showed attenuation of the association and no longer reached statistical significance. This pattern was consistent with the main analysis and supported the robustness of the inverse direction of association between LDL-C and the presence of LVAs.</w:t>
      </w:r>
    </w:p>
    <w:p w14:paraId="73160BD2">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Model 1c: Adjusted for age and sex.</w:t>
      </w:r>
      <w:r>
        <w:rPr>
          <w:rFonts w:hint="default" w:ascii="Times New Roman" w:hAnsi="Times New Roman" w:eastAsia="宋体" w:cs="Times New Roman"/>
          <w:kern w:val="2"/>
          <w:sz w:val="24"/>
          <w:szCs w:val="24"/>
          <w:highlight w:val="none"/>
          <w:lang w:val="en-US" w:eastAsia="zh-CN" w:bidi="ar"/>
        </w:rPr>
        <w:br w:type="textWrapping"/>
      </w:r>
      <w:r>
        <w:rPr>
          <w:rFonts w:hint="default" w:ascii="Times New Roman" w:hAnsi="Times New Roman" w:eastAsia="宋体" w:cs="Times New Roman"/>
          <w:kern w:val="2"/>
          <w:sz w:val="24"/>
          <w:szCs w:val="24"/>
          <w:highlight w:val="none"/>
          <w:lang w:val="en-US" w:eastAsia="zh-CN" w:bidi="ar"/>
        </w:rPr>
        <w:t>Model 2c: Adjusted for age, sex, BMI, T3, hypertension, coronary artery disease, heart failure, diabetes, stroke, and COPD.</w:t>
      </w:r>
      <w:r>
        <w:rPr>
          <w:rFonts w:hint="default" w:ascii="Times New Roman" w:hAnsi="Times New Roman" w:eastAsia="宋体" w:cs="Times New Roman"/>
          <w:kern w:val="2"/>
          <w:sz w:val="24"/>
          <w:szCs w:val="24"/>
          <w:highlight w:val="none"/>
          <w:lang w:val="en-US" w:eastAsia="zh-CN" w:bidi="ar"/>
        </w:rPr>
        <w:br w:type="textWrapping"/>
      </w:r>
      <w:r>
        <w:rPr>
          <w:rFonts w:hint="default" w:ascii="Times New Roman" w:hAnsi="Times New Roman" w:eastAsia="宋体" w:cs="Times New Roman"/>
          <w:kern w:val="2"/>
          <w:sz w:val="24"/>
          <w:szCs w:val="24"/>
          <w:highlight w:val="none"/>
          <w:lang w:val="en-US" w:eastAsia="zh-CN" w:bidi="ar"/>
        </w:rPr>
        <w:t>Model 3c: Adjusted for age, sex, BMI, T3, hypertension, coronary artery disease, heart failure, diabetes, stroke, COPD, hyperlipidemia, triglycerides, HDL-C, and statin use.</w:t>
      </w:r>
      <w:r>
        <w:rPr>
          <w:rFonts w:hint="default" w:ascii="Times New Roman" w:hAnsi="Times New Roman" w:eastAsia="宋体" w:cs="Times New Roman"/>
          <w:kern w:val="2"/>
          <w:sz w:val="24"/>
          <w:szCs w:val="24"/>
          <w:highlight w:val="none"/>
          <w:lang w:val="en-US" w:eastAsia="zh-CN" w:bidi="ar"/>
        </w:rPr>
        <w:br w:type="textWrapping"/>
      </w:r>
      <w:r>
        <w:rPr>
          <w:rFonts w:hint="default" w:ascii="Times New Roman" w:hAnsi="Times New Roman" w:eastAsia="宋体" w:cs="Times New Roman"/>
          <w:kern w:val="2"/>
          <w:sz w:val="24"/>
          <w:szCs w:val="24"/>
          <w:highlight w:val="none"/>
          <w:lang w:val="en-US" w:eastAsia="zh-CN" w:bidi="ar"/>
        </w:rPr>
        <w:t xml:space="preserve">Model 4c: Adjusted for age, sex, BMI, T3, hypertension, coronary artery disease, heart failure, diabetes, stroke, COPD, hyperlipidemia, triglycerides, HDL-C, statin use, and LAD. </w:t>
      </w:r>
    </w:p>
    <w:p w14:paraId="50549D03">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Abbreviations: LDL-C, low-density lipoprotein cholesterol; LVAs, left atrial low-voltage areas; OR, odds ratio; CI, confidence interval; BMI, body mass index; T3, triiodothyronine; COPD, chronic obstructive pulmonary disease; HDL-C, high-density lipoprotein cholesterol; LAD, left atrial diameter.</w:t>
      </w:r>
    </w:p>
    <w:p w14:paraId="16EF745A">
      <w:pPr>
        <w:spacing w:line="480" w:lineRule="auto"/>
        <w:rPr>
          <w:rFonts w:hint="default" w:ascii="Times New Roman" w:hAnsi="Times New Roman" w:cs="Times New Roman"/>
          <w:b w:val="0"/>
          <w:bCs w:val="0"/>
          <w:kern w:val="0"/>
          <w:sz w:val="24"/>
          <w:szCs w:val="24"/>
          <w:highlight w:val="none"/>
          <w:lang w:val="en-US" w:eastAsia="zh-CN" w:bidi="ar"/>
        </w:rPr>
      </w:pPr>
      <w:r>
        <w:rPr>
          <w:rFonts w:hint="default" w:ascii="Times New Roman" w:hAnsi="Times New Roman" w:cs="Times New Roman" w:eastAsiaTheme="minorEastAsia"/>
          <w:b/>
          <w:bCs/>
          <w:kern w:val="0"/>
          <w:sz w:val="24"/>
          <w:szCs w:val="24"/>
          <w:highlight w:val="none"/>
          <w:lang w:val="en-US" w:eastAsia="zh-CN" w:bidi="ar"/>
        </w:rPr>
        <w:t>Supplementary Table S13.</w:t>
      </w:r>
      <w:r>
        <w:rPr>
          <w:rFonts w:hint="default" w:ascii="Times New Roman" w:hAnsi="Times New Roman" w:cs="Times New Roman" w:eastAsiaTheme="minorEastAsia"/>
          <w:b w:val="0"/>
          <w:bCs w:val="0"/>
          <w:kern w:val="0"/>
          <w:sz w:val="24"/>
          <w:szCs w:val="24"/>
          <w:highlight w:val="none"/>
          <w:lang w:val="en-US" w:eastAsia="zh-CN" w:bidi="ar"/>
        </w:rPr>
        <w:t xml:space="preserve"> Baseline characteristics of the sinus-rhythm mapping subgroup according to LVA status</w:t>
      </w:r>
      <w:r>
        <w:rPr>
          <w:rFonts w:hint="default" w:ascii="Times New Roman" w:hAnsi="Times New Roman" w:cs="Times New Roman"/>
          <w:b w:val="0"/>
          <w:bCs w:val="0"/>
          <w:kern w:val="0"/>
          <w:sz w:val="24"/>
          <w:szCs w:val="24"/>
          <w:highlight w:val="none"/>
          <w:lang w:val="en-US" w:eastAsia="zh-CN" w:bidi="ar"/>
        </w:rPr>
        <w:t>.</w:t>
      </w:r>
    </w:p>
    <w:tbl>
      <w:tblPr>
        <w:tblStyle w:val="8"/>
        <w:tblW w:w="85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598"/>
        <w:gridCol w:w="2487"/>
        <w:gridCol w:w="2487"/>
        <w:gridCol w:w="932"/>
      </w:tblGrid>
      <w:tr w14:paraId="733F2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700" w:hRule="atLeast"/>
          <w:tblHeader/>
          <w:jc w:val="center"/>
        </w:trPr>
        <w:tc>
          <w:tcPr>
            <w:tcW w:w="3421" w:type="dxa"/>
            <w:tcBorders>
              <w:top w:val="single" w:color="000000" w:sz="12" w:space="0"/>
              <w:left w:val="nil"/>
              <w:bottom w:val="single" w:color="000000" w:sz="4" w:space="0"/>
              <w:right w:val="nil"/>
            </w:tcBorders>
            <w:shd w:val="clear" w:color="auto" w:fill="FFFFFF"/>
            <w:vAlign w:val="center"/>
          </w:tcPr>
          <w:p w14:paraId="564B0350">
            <w:pPr>
              <w:keepNext w:val="0"/>
              <w:keepLines w:val="0"/>
              <w:widowControl/>
              <w:suppressLineNumbers w:val="0"/>
              <w:jc w:val="center"/>
              <w:textAlignment w:val="center"/>
              <w:rPr>
                <w:rFonts w:hint="default" w:ascii="Times New Roman" w:hAnsi="Times New Roman" w:eastAsia="黑体" w:cs="Times New Roman"/>
                <w:b/>
                <w:bCs/>
                <w:i w:val="0"/>
                <w:iCs w:val="0"/>
                <w:color w:val="000000"/>
                <w:sz w:val="24"/>
                <w:szCs w:val="24"/>
                <w:highlight w:val="none"/>
                <w:u w:val="none"/>
              </w:rPr>
            </w:pPr>
            <w:r>
              <w:rPr>
                <w:rFonts w:hint="default" w:ascii="Times New Roman" w:hAnsi="Times New Roman" w:eastAsia="黑体" w:cs="Times New Roman"/>
                <w:b/>
                <w:bCs/>
                <w:i w:val="0"/>
                <w:iCs w:val="0"/>
                <w:color w:val="000000"/>
                <w:kern w:val="0"/>
                <w:sz w:val="24"/>
                <w:szCs w:val="24"/>
                <w:highlight w:val="none"/>
                <w:u w:val="none"/>
                <w:lang w:val="en-US" w:eastAsia="zh-CN" w:bidi="ar"/>
              </w:rPr>
              <w:t>Variable</w:t>
            </w:r>
          </w:p>
        </w:tc>
        <w:tc>
          <w:tcPr>
            <w:tcW w:w="2561" w:type="dxa"/>
            <w:tcBorders>
              <w:top w:val="single" w:color="000000" w:sz="12" w:space="0"/>
              <w:left w:val="nil"/>
              <w:bottom w:val="single" w:color="000000" w:sz="4" w:space="0"/>
              <w:right w:val="nil"/>
            </w:tcBorders>
            <w:shd w:val="clear" w:color="auto" w:fill="FFFFFF"/>
            <w:vAlign w:val="center"/>
          </w:tcPr>
          <w:p w14:paraId="6FFC0CC1">
            <w:pPr>
              <w:keepNext w:val="0"/>
              <w:keepLines w:val="0"/>
              <w:widowControl/>
              <w:suppressLineNumbers w:val="0"/>
              <w:jc w:val="center"/>
              <w:textAlignment w:val="center"/>
              <w:rPr>
                <w:rFonts w:hint="default" w:ascii="Times New Roman" w:hAnsi="Times New Roman" w:eastAsia="黑体" w:cs="Times New Roman"/>
                <w:b/>
                <w:bCs/>
                <w:i w:val="0"/>
                <w:iCs w:val="0"/>
                <w:color w:val="000000"/>
                <w:sz w:val="24"/>
                <w:szCs w:val="24"/>
                <w:highlight w:val="none"/>
                <w:u w:val="none"/>
              </w:rPr>
            </w:pPr>
            <w:r>
              <w:rPr>
                <w:rFonts w:hint="default" w:ascii="Times New Roman" w:hAnsi="Times New Roman" w:eastAsia="黑体" w:cs="Times New Roman"/>
                <w:b/>
                <w:bCs/>
                <w:i w:val="0"/>
                <w:iCs w:val="0"/>
                <w:color w:val="000000"/>
                <w:kern w:val="0"/>
                <w:sz w:val="24"/>
                <w:szCs w:val="24"/>
                <w:highlight w:val="none"/>
                <w:u w:val="none"/>
                <w:lang w:val="en-US" w:eastAsia="zh-CN" w:bidi="ar"/>
              </w:rPr>
              <w:t>LVAs Absent</w:t>
            </w:r>
            <w:r>
              <w:rPr>
                <w:rFonts w:hint="default" w:ascii="Times New Roman" w:hAnsi="Times New Roman" w:eastAsia="黑体" w:cs="Times New Roman"/>
                <w:b/>
                <w:bCs/>
                <w:i w:val="0"/>
                <w:iCs w:val="0"/>
                <w:color w:val="000000"/>
                <w:kern w:val="0"/>
                <w:sz w:val="24"/>
                <w:szCs w:val="24"/>
                <w:highlight w:val="none"/>
                <w:u w:val="none"/>
                <w:lang w:val="en-US" w:eastAsia="zh-CN" w:bidi="ar"/>
              </w:rPr>
              <w:br w:type="textWrapping"/>
            </w:r>
            <w:r>
              <w:rPr>
                <w:rFonts w:hint="default" w:ascii="Times New Roman" w:hAnsi="Times New Roman" w:eastAsia="黑体" w:cs="Times New Roman"/>
                <w:b/>
                <w:bCs/>
                <w:i w:val="0"/>
                <w:iCs w:val="0"/>
                <w:color w:val="000000"/>
                <w:kern w:val="0"/>
                <w:sz w:val="24"/>
                <w:szCs w:val="24"/>
                <w:highlight w:val="none"/>
                <w:u w:val="none"/>
                <w:lang w:val="en-US" w:eastAsia="zh-CN" w:bidi="ar"/>
              </w:rPr>
              <w:t>(n=159)</w:t>
            </w:r>
          </w:p>
        </w:tc>
        <w:tc>
          <w:tcPr>
            <w:tcW w:w="2561" w:type="dxa"/>
            <w:tcBorders>
              <w:top w:val="single" w:color="000000" w:sz="12" w:space="0"/>
              <w:left w:val="nil"/>
              <w:bottom w:val="single" w:color="000000" w:sz="4" w:space="0"/>
              <w:right w:val="nil"/>
            </w:tcBorders>
            <w:shd w:val="clear" w:color="auto" w:fill="FFFFFF"/>
            <w:vAlign w:val="center"/>
          </w:tcPr>
          <w:p w14:paraId="6ED46B43">
            <w:pPr>
              <w:keepNext w:val="0"/>
              <w:keepLines w:val="0"/>
              <w:widowControl/>
              <w:suppressLineNumbers w:val="0"/>
              <w:jc w:val="center"/>
              <w:textAlignment w:val="center"/>
              <w:rPr>
                <w:rFonts w:hint="default" w:ascii="Times New Roman" w:hAnsi="Times New Roman" w:eastAsia="黑体" w:cs="Times New Roman"/>
                <w:b/>
                <w:bCs/>
                <w:i w:val="0"/>
                <w:iCs w:val="0"/>
                <w:color w:val="000000"/>
                <w:sz w:val="24"/>
                <w:szCs w:val="24"/>
                <w:highlight w:val="none"/>
                <w:u w:val="none"/>
              </w:rPr>
            </w:pPr>
            <w:r>
              <w:rPr>
                <w:rFonts w:hint="default" w:ascii="Times New Roman" w:hAnsi="Times New Roman" w:eastAsia="黑体" w:cs="Times New Roman"/>
                <w:b/>
                <w:bCs/>
                <w:i w:val="0"/>
                <w:iCs w:val="0"/>
                <w:color w:val="000000"/>
                <w:kern w:val="0"/>
                <w:sz w:val="24"/>
                <w:szCs w:val="24"/>
                <w:highlight w:val="none"/>
                <w:u w:val="none"/>
                <w:lang w:val="en-US" w:eastAsia="zh-CN" w:bidi="ar"/>
              </w:rPr>
              <w:t>LVAs Present</w:t>
            </w:r>
            <w:r>
              <w:rPr>
                <w:rFonts w:hint="default" w:ascii="Times New Roman" w:hAnsi="Times New Roman" w:eastAsia="黑体" w:cs="Times New Roman"/>
                <w:b/>
                <w:bCs/>
                <w:i w:val="0"/>
                <w:iCs w:val="0"/>
                <w:color w:val="000000"/>
                <w:kern w:val="0"/>
                <w:sz w:val="24"/>
                <w:szCs w:val="24"/>
                <w:highlight w:val="none"/>
                <w:u w:val="none"/>
                <w:lang w:val="en-US" w:eastAsia="zh-CN" w:bidi="ar"/>
              </w:rPr>
              <w:br w:type="textWrapping"/>
            </w:r>
            <w:r>
              <w:rPr>
                <w:rFonts w:hint="default" w:ascii="Times New Roman" w:hAnsi="Times New Roman" w:eastAsia="黑体" w:cs="Times New Roman"/>
                <w:b/>
                <w:bCs/>
                <w:i w:val="0"/>
                <w:iCs w:val="0"/>
                <w:color w:val="000000"/>
                <w:kern w:val="0"/>
                <w:sz w:val="24"/>
                <w:szCs w:val="24"/>
                <w:highlight w:val="none"/>
                <w:u w:val="none"/>
                <w:lang w:val="en-US" w:eastAsia="zh-CN" w:bidi="ar"/>
              </w:rPr>
              <w:t>(n=168)</w:t>
            </w:r>
          </w:p>
        </w:tc>
        <w:tc>
          <w:tcPr>
            <w:tcW w:w="991" w:type="dxa"/>
            <w:tcBorders>
              <w:top w:val="single" w:color="000000" w:sz="12" w:space="0"/>
              <w:left w:val="nil"/>
              <w:bottom w:val="single" w:color="000000" w:sz="4" w:space="0"/>
              <w:right w:val="nil"/>
            </w:tcBorders>
            <w:shd w:val="clear" w:color="auto" w:fill="FFFFFF"/>
            <w:vAlign w:val="center"/>
          </w:tcPr>
          <w:p w14:paraId="4E6D9665">
            <w:pPr>
              <w:keepNext w:val="0"/>
              <w:keepLines w:val="0"/>
              <w:widowControl/>
              <w:suppressLineNumbers w:val="0"/>
              <w:jc w:val="center"/>
              <w:textAlignment w:val="center"/>
              <w:rPr>
                <w:rFonts w:hint="default" w:ascii="Times New Roman" w:hAnsi="Times New Roman" w:eastAsia="黑体" w:cs="Times New Roman"/>
                <w:b/>
                <w:bCs/>
                <w:i w:val="0"/>
                <w:iCs w:val="0"/>
                <w:color w:val="000000"/>
                <w:sz w:val="24"/>
                <w:szCs w:val="24"/>
                <w:highlight w:val="none"/>
                <w:u w:val="none"/>
              </w:rPr>
            </w:pPr>
            <w:r>
              <w:rPr>
                <w:rFonts w:hint="default" w:ascii="Times New Roman" w:hAnsi="Times New Roman" w:eastAsia="黑体" w:cs="Times New Roman"/>
                <w:b/>
                <w:bCs/>
                <w:i/>
                <w:iCs/>
                <w:color w:val="000000"/>
                <w:sz w:val="24"/>
                <w:szCs w:val="24"/>
                <w:highlight w:val="none"/>
                <w:u w:val="none"/>
              </w:rPr>
              <w:t>P</w:t>
            </w:r>
            <w:r>
              <w:rPr>
                <w:rFonts w:hint="default" w:ascii="Times New Roman" w:hAnsi="Times New Roman" w:eastAsia="黑体" w:cs="Times New Roman"/>
                <w:b/>
                <w:bCs/>
                <w:i w:val="0"/>
                <w:iCs w:val="0"/>
                <w:color w:val="000000"/>
                <w:sz w:val="24"/>
                <w:szCs w:val="24"/>
                <w:highlight w:val="none"/>
                <w:u w:val="none"/>
              </w:rPr>
              <w:t xml:space="preserve"> </w:t>
            </w:r>
            <w:r>
              <w:rPr>
                <w:rFonts w:hint="default" w:ascii="Times New Roman" w:hAnsi="Times New Roman" w:eastAsia="黑体" w:cs="Times New Roman"/>
                <w:b/>
                <w:bCs/>
                <w:i w:val="0"/>
                <w:iCs w:val="0"/>
                <w:color w:val="000000"/>
                <w:sz w:val="24"/>
                <w:szCs w:val="24"/>
                <w:highlight w:val="none"/>
                <w:u w:val="none"/>
                <w:lang w:val="en-US" w:eastAsia="zh-CN"/>
              </w:rPr>
              <w:t>v</w:t>
            </w:r>
            <w:r>
              <w:rPr>
                <w:rFonts w:hint="default" w:ascii="Times New Roman" w:hAnsi="Times New Roman" w:eastAsia="黑体" w:cs="Times New Roman"/>
                <w:b/>
                <w:bCs/>
                <w:i w:val="0"/>
                <w:iCs w:val="0"/>
                <w:color w:val="000000"/>
                <w:sz w:val="24"/>
                <w:szCs w:val="24"/>
                <w:highlight w:val="none"/>
                <w:u w:val="none"/>
              </w:rPr>
              <w:t>alue</w:t>
            </w:r>
          </w:p>
        </w:tc>
      </w:tr>
      <w:tr w14:paraId="657D0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0B95A2D9">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Age , years</w:t>
            </w:r>
          </w:p>
        </w:tc>
        <w:tc>
          <w:tcPr>
            <w:tcW w:w="2561" w:type="dxa"/>
            <w:tcBorders>
              <w:top w:val="nil"/>
              <w:left w:val="nil"/>
              <w:bottom w:val="nil"/>
              <w:right w:val="nil"/>
            </w:tcBorders>
            <w:shd w:val="clear" w:color="auto" w:fill="FFFFFF"/>
            <w:vAlign w:val="center"/>
          </w:tcPr>
          <w:p w14:paraId="1A10B174">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65.00[57.00-71.00]</w:t>
            </w:r>
          </w:p>
        </w:tc>
        <w:tc>
          <w:tcPr>
            <w:tcW w:w="2561" w:type="dxa"/>
            <w:tcBorders>
              <w:top w:val="nil"/>
              <w:left w:val="nil"/>
              <w:bottom w:val="nil"/>
              <w:right w:val="nil"/>
            </w:tcBorders>
            <w:shd w:val="clear" w:color="auto" w:fill="FFFFFF"/>
            <w:vAlign w:val="center"/>
          </w:tcPr>
          <w:p w14:paraId="55AAB447">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69.00[65.00-74.00]</w:t>
            </w:r>
          </w:p>
        </w:tc>
        <w:tc>
          <w:tcPr>
            <w:tcW w:w="991" w:type="dxa"/>
            <w:tcBorders>
              <w:top w:val="nil"/>
              <w:left w:val="nil"/>
              <w:bottom w:val="nil"/>
              <w:right w:val="nil"/>
            </w:tcBorders>
            <w:shd w:val="clear" w:color="auto" w:fill="FFFFFF"/>
            <w:vAlign w:val="center"/>
          </w:tcPr>
          <w:p w14:paraId="7DEE7CAC">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&lt;0.001</w:t>
            </w:r>
          </w:p>
        </w:tc>
      </w:tr>
      <w:tr w14:paraId="38FE9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0CB3A901">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Male,n (%)</w:t>
            </w:r>
          </w:p>
        </w:tc>
        <w:tc>
          <w:tcPr>
            <w:tcW w:w="2561" w:type="dxa"/>
            <w:tcBorders>
              <w:top w:val="nil"/>
              <w:left w:val="nil"/>
              <w:bottom w:val="nil"/>
              <w:right w:val="nil"/>
            </w:tcBorders>
            <w:shd w:val="clear" w:color="auto" w:fill="FFFFFF"/>
            <w:vAlign w:val="center"/>
          </w:tcPr>
          <w:p w14:paraId="03010905">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118(74.2%)</w:t>
            </w:r>
          </w:p>
        </w:tc>
        <w:tc>
          <w:tcPr>
            <w:tcW w:w="2561" w:type="dxa"/>
            <w:tcBorders>
              <w:top w:val="nil"/>
              <w:left w:val="nil"/>
              <w:bottom w:val="nil"/>
              <w:right w:val="nil"/>
            </w:tcBorders>
            <w:shd w:val="clear" w:color="auto" w:fill="FFFFFF"/>
            <w:vAlign w:val="center"/>
          </w:tcPr>
          <w:p w14:paraId="760B8878">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89(53.0%)</w:t>
            </w:r>
          </w:p>
        </w:tc>
        <w:tc>
          <w:tcPr>
            <w:tcW w:w="991" w:type="dxa"/>
            <w:tcBorders>
              <w:top w:val="nil"/>
              <w:left w:val="nil"/>
              <w:bottom w:val="nil"/>
              <w:right w:val="nil"/>
            </w:tcBorders>
            <w:shd w:val="clear" w:color="auto" w:fill="FFFFFF"/>
            <w:vAlign w:val="center"/>
          </w:tcPr>
          <w:p w14:paraId="29E5E17B">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&lt;0.001</w:t>
            </w:r>
          </w:p>
        </w:tc>
      </w:tr>
      <w:tr w14:paraId="6B05F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227B25D3">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Female,n (%)</w:t>
            </w:r>
          </w:p>
        </w:tc>
        <w:tc>
          <w:tcPr>
            <w:tcW w:w="2561" w:type="dxa"/>
            <w:tcBorders>
              <w:top w:val="nil"/>
              <w:left w:val="nil"/>
              <w:bottom w:val="nil"/>
              <w:right w:val="nil"/>
            </w:tcBorders>
            <w:shd w:val="clear" w:color="auto" w:fill="FFFFFF"/>
            <w:vAlign w:val="center"/>
          </w:tcPr>
          <w:p w14:paraId="5C379D75">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41(25.8%)</w:t>
            </w:r>
          </w:p>
        </w:tc>
        <w:tc>
          <w:tcPr>
            <w:tcW w:w="2561" w:type="dxa"/>
            <w:tcBorders>
              <w:top w:val="nil"/>
              <w:left w:val="nil"/>
              <w:bottom w:val="nil"/>
              <w:right w:val="nil"/>
            </w:tcBorders>
            <w:shd w:val="clear" w:color="auto" w:fill="FFFFFF"/>
            <w:vAlign w:val="center"/>
          </w:tcPr>
          <w:p w14:paraId="1A120A4A">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79(47.0%)</w:t>
            </w:r>
          </w:p>
        </w:tc>
        <w:tc>
          <w:tcPr>
            <w:tcW w:w="991" w:type="dxa"/>
            <w:tcBorders>
              <w:top w:val="nil"/>
              <w:left w:val="nil"/>
              <w:bottom w:val="nil"/>
              <w:right w:val="nil"/>
            </w:tcBorders>
            <w:shd w:val="clear" w:color="auto" w:fill="FFFFFF"/>
            <w:vAlign w:val="center"/>
          </w:tcPr>
          <w:p w14:paraId="5A3FFD91">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&lt;0.001</w:t>
            </w:r>
          </w:p>
        </w:tc>
      </w:tr>
      <w:tr w14:paraId="14292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2076478C">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Smoking history,n (%)</w:t>
            </w:r>
          </w:p>
        </w:tc>
        <w:tc>
          <w:tcPr>
            <w:tcW w:w="2561" w:type="dxa"/>
            <w:tcBorders>
              <w:top w:val="nil"/>
              <w:left w:val="nil"/>
              <w:bottom w:val="nil"/>
              <w:right w:val="nil"/>
            </w:tcBorders>
            <w:shd w:val="clear" w:color="auto" w:fill="FFFFFF"/>
            <w:vAlign w:val="center"/>
          </w:tcPr>
          <w:p w14:paraId="7AB573D3">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35(22.0%)</w:t>
            </w:r>
          </w:p>
        </w:tc>
        <w:tc>
          <w:tcPr>
            <w:tcW w:w="2561" w:type="dxa"/>
            <w:tcBorders>
              <w:top w:val="nil"/>
              <w:left w:val="nil"/>
              <w:bottom w:val="nil"/>
              <w:right w:val="nil"/>
            </w:tcBorders>
            <w:shd w:val="clear" w:color="auto" w:fill="FFFFFF"/>
            <w:vAlign w:val="center"/>
          </w:tcPr>
          <w:p w14:paraId="01D0F302">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35(20.8%)</w:t>
            </w:r>
          </w:p>
        </w:tc>
        <w:tc>
          <w:tcPr>
            <w:tcW w:w="991" w:type="dxa"/>
            <w:tcBorders>
              <w:top w:val="nil"/>
              <w:left w:val="nil"/>
              <w:bottom w:val="nil"/>
              <w:right w:val="nil"/>
            </w:tcBorders>
            <w:shd w:val="clear" w:color="auto" w:fill="FFFFFF"/>
            <w:vAlign w:val="center"/>
          </w:tcPr>
          <w:p w14:paraId="466FC7AB">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0.901</w:t>
            </w:r>
          </w:p>
        </w:tc>
      </w:tr>
      <w:tr w14:paraId="76071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67F4A168">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Drinking history,n (%)</w:t>
            </w:r>
          </w:p>
        </w:tc>
        <w:tc>
          <w:tcPr>
            <w:tcW w:w="2561" w:type="dxa"/>
            <w:tcBorders>
              <w:top w:val="nil"/>
              <w:left w:val="nil"/>
              <w:bottom w:val="nil"/>
              <w:right w:val="nil"/>
            </w:tcBorders>
            <w:shd w:val="clear" w:color="auto" w:fill="FFFFFF"/>
            <w:vAlign w:val="center"/>
          </w:tcPr>
          <w:p w14:paraId="58045CA4">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37(23.3%)</w:t>
            </w:r>
          </w:p>
        </w:tc>
        <w:tc>
          <w:tcPr>
            <w:tcW w:w="2561" w:type="dxa"/>
            <w:tcBorders>
              <w:top w:val="nil"/>
              <w:left w:val="nil"/>
              <w:bottom w:val="nil"/>
              <w:right w:val="nil"/>
            </w:tcBorders>
            <w:shd w:val="clear" w:color="auto" w:fill="FFFFFF"/>
            <w:vAlign w:val="center"/>
          </w:tcPr>
          <w:p w14:paraId="656566ED">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25(14.9%)</w:t>
            </w:r>
          </w:p>
        </w:tc>
        <w:tc>
          <w:tcPr>
            <w:tcW w:w="991" w:type="dxa"/>
            <w:tcBorders>
              <w:top w:val="nil"/>
              <w:left w:val="nil"/>
              <w:bottom w:val="nil"/>
              <w:right w:val="nil"/>
            </w:tcBorders>
            <w:shd w:val="clear" w:color="auto" w:fill="FFFFFF"/>
            <w:vAlign w:val="center"/>
          </w:tcPr>
          <w:p w14:paraId="1032D551">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0.073</w:t>
            </w:r>
          </w:p>
        </w:tc>
      </w:tr>
      <w:tr w14:paraId="60685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66062B90">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Systolic blood pressure, mm Hg</w:t>
            </w:r>
          </w:p>
        </w:tc>
        <w:tc>
          <w:tcPr>
            <w:tcW w:w="2561" w:type="dxa"/>
            <w:tcBorders>
              <w:top w:val="nil"/>
              <w:left w:val="nil"/>
              <w:bottom w:val="nil"/>
              <w:right w:val="nil"/>
            </w:tcBorders>
            <w:shd w:val="clear" w:color="auto" w:fill="FFFFFF"/>
            <w:vAlign w:val="center"/>
          </w:tcPr>
          <w:p w14:paraId="0DEAE542">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130.00[120.50-139.50]</w:t>
            </w:r>
          </w:p>
        </w:tc>
        <w:tc>
          <w:tcPr>
            <w:tcW w:w="2561" w:type="dxa"/>
            <w:tcBorders>
              <w:top w:val="nil"/>
              <w:left w:val="nil"/>
              <w:bottom w:val="nil"/>
              <w:right w:val="nil"/>
            </w:tcBorders>
            <w:shd w:val="clear" w:color="auto" w:fill="FFFFFF"/>
            <w:vAlign w:val="center"/>
          </w:tcPr>
          <w:p w14:paraId="76E48AFF">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131.00[119.00-140.00]</w:t>
            </w:r>
          </w:p>
        </w:tc>
        <w:tc>
          <w:tcPr>
            <w:tcW w:w="991" w:type="dxa"/>
            <w:tcBorders>
              <w:top w:val="nil"/>
              <w:left w:val="nil"/>
              <w:bottom w:val="nil"/>
              <w:right w:val="nil"/>
            </w:tcBorders>
            <w:shd w:val="clear" w:color="auto" w:fill="FFFFFF"/>
            <w:vAlign w:val="center"/>
          </w:tcPr>
          <w:p w14:paraId="34E41E62">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0.569</w:t>
            </w:r>
          </w:p>
        </w:tc>
      </w:tr>
      <w:tr w14:paraId="3D8F2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7D11A675">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Diastolic blood pressure, mm Hg</w:t>
            </w:r>
          </w:p>
        </w:tc>
        <w:tc>
          <w:tcPr>
            <w:tcW w:w="2561" w:type="dxa"/>
            <w:tcBorders>
              <w:top w:val="nil"/>
              <w:left w:val="nil"/>
              <w:bottom w:val="nil"/>
              <w:right w:val="nil"/>
            </w:tcBorders>
            <w:shd w:val="clear" w:color="auto" w:fill="FFFFFF"/>
            <w:vAlign w:val="center"/>
          </w:tcPr>
          <w:p w14:paraId="543C1E2E">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83.00[74.50-91.00]</w:t>
            </w:r>
          </w:p>
        </w:tc>
        <w:tc>
          <w:tcPr>
            <w:tcW w:w="2561" w:type="dxa"/>
            <w:tcBorders>
              <w:top w:val="nil"/>
              <w:left w:val="nil"/>
              <w:bottom w:val="nil"/>
              <w:right w:val="nil"/>
            </w:tcBorders>
            <w:shd w:val="clear" w:color="auto" w:fill="FFFFFF"/>
            <w:vAlign w:val="center"/>
          </w:tcPr>
          <w:p w14:paraId="3AB1F140">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83.00[75.00-89.25]</w:t>
            </w:r>
          </w:p>
        </w:tc>
        <w:tc>
          <w:tcPr>
            <w:tcW w:w="991" w:type="dxa"/>
            <w:tcBorders>
              <w:top w:val="nil"/>
              <w:left w:val="nil"/>
              <w:bottom w:val="nil"/>
              <w:right w:val="nil"/>
            </w:tcBorders>
            <w:shd w:val="clear" w:color="auto" w:fill="FFFFFF"/>
            <w:vAlign w:val="center"/>
          </w:tcPr>
          <w:p w14:paraId="7E4FD480">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0.774</w:t>
            </w:r>
          </w:p>
        </w:tc>
      </w:tr>
      <w:tr w14:paraId="0EF5F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1728B282">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Body-mass index, kg/m²</w:t>
            </w:r>
          </w:p>
        </w:tc>
        <w:tc>
          <w:tcPr>
            <w:tcW w:w="2561" w:type="dxa"/>
            <w:tcBorders>
              <w:top w:val="nil"/>
              <w:left w:val="nil"/>
              <w:bottom w:val="nil"/>
              <w:right w:val="nil"/>
            </w:tcBorders>
            <w:shd w:val="clear" w:color="auto" w:fill="FFFFFF"/>
            <w:vAlign w:val="center"/>
          </w:tcPr>
          <w:p w14:paraId="0F9706C3">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25.51[23.91-28.44]</w:t>
            </w:r>
          </w:p>
        </w:tc>
        <w:tc>
          <w:tcPr>
            <w:tcW w:w="2561" w:type="dxa"/>
            <w:tcBorders>
              <w:top w:val="nil"/>
              <w:left w:val="nil"/>
              <w:bottom w:val="nil"/>
              <w:right w:val="nil"/>
            </w:tcBorders>
            <w:shd w:val="clear" w:color="auto" w:fill="FFFFFF"/>
            <w:vAlign w:val="center"/>
          </w:tcPr>
          <w:p w14:paraId="6E199B0A">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25.33[23.05-27.77]</w:t>
            </w:r>
          </w:p>
        </w:tc>
        <w:tc>
          <w:tcPr>
            <w:tcW w:w="991" w:type="dxa"/>
            <w:tcBorders>
              <w:top w:val="nil"/>
              <w:left w:val="nil"/>
              <w:bottom w:val="nil"/>
              <w:right w:val="nil"/>
            </w:tcBorders>
            <w:shd w:val="clear" w:color="auto" w:fill="FFFFFF"/>
            <w:vAlign w:val="center"/>
          </w:tcPr>
          <w:p w14:paraId="622871EC">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0.129</w:t>
            </w:r>
          </w:p>
        </w:tc>
      </w:tr>
      <w:tr w14:paraId="2476D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2CDEDE83">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CHA2DS2-VASc score</w:t>
            </w:r>
          </w:p>
        </w:tc>
        <w:tc>
          <w:tcPr>
            <w:tcW w:w="2561" w:type="dxa"/>
            <w:tcBorders>
              <w:top w:val="nil"/>
              <w:left w:val="nil"/>
              <w:bottom w:val="nil"/>
              <w:right w:val="nil"/>
            </w:tcBorders>
            <w:shd w:val="clear" w:color="auto" w:fill="FFFFFF"/>
            <w:vAlign w:val="center"/>
          </w:tcPr>
          <w:p w14:paraId="16C95ED3">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3.00[2.00-4.00]</w:t>
            </w:r>
          </w:p>
        </w:tc>
        <w:tc>
          <w:tcPr>
            <w:tcW w:w="2561" w:type="dxa"/>
            <w:tcBorders>
              <w:top w:val="nil"/>
              <w:left w:val="nil"/>
              <w:bottom w:val="nil"/>
              <w:right w:val="nil"/>
            </w:tcBorders>
            <w:shd w:val="clear" w:color="auto" w:fill="FFFFFF"/>
            <w:vAlign w:val="center"/>
          </w:tcPr>
          <w:p w14:paraId="3D814505">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4.00[3.00-5.00]</w:t>
            </w:r>
          </w:p>
        </w:tc>
        <w:tc>
          <w:tcPr>
            <w:tcW w:w="991" w:type="dxa"/>
            <w:tcBorders>
              <w:top w:val="nil"/>
              <w:left w:val="nil"/>
              <w:bottom w:val="nil"/>
              <w:right w:val="nil"/>
            </w:tcBorders>
            <w:shd w:val="clear" w:color="auto" w:fill="FFFFFF"/>
            <w:vAlign w:val="center"/>
          </w:tcPr>
          <w:p w14:paraId="05AA91FA">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&lt;0.001</w:t>
            </w:r>
          </w:p>
        </w:tc>
      </w:tr>
      <w:tr w14:paraId="7A358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7F447361">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Atrial fibrillation duration，years</w:t>
            </w:r>
          </w:p>
        </w:tc>
        <w:tc>
          <w:tcPr>
            <w:tcW w:w="2561" w:type="dxa"/>
            <w:tcBorders>
              <w:top w:val="nil"/>
              <w:left w:val="nil"/>
              <w:bottom w:val="nil"/>
              <w:right w:val="nil"/>
            </w:tcBorders>
            <w:shd w:val="clear" w:color="auto" w:fill="FFFFFF"/>
            <w:vAlign w:val="center"/>
          </w:tcPr>
          <w:p w14:paraId="5C3BF074">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1.00[0.24-3.00]</w:t>
            </w:r>
          </w:p>
        </w:tc>
        <w:tc>
          <w:tcPr>
            <w:tcW w:w="2561" w:type="dxa"/>
            <w:tcBorders>
              <w:top w:val="nil"/>
              <w:left w:val="nil"/>
              <w:bottom w:val="nil"/>
              <w:right w:val="nil"/>
            </w:tcBorders>
            <w:shd w:val="clear" w:color="auto" w:fill="FFFFFF"/>
            <w:vAlign w:val="center"/>
          </w:tcPr>
          <w:p w14:paraId="50059FC2">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1.00[0.24-4.00]</w:t>
            </w:r>
          </w:p>
        </w:tc>
        <w:tc>
          <w:tcPr>
            <w:tcW w:w="991" w:type="dxa"/>
            <w:tcBorders>
              <w:top w:val="nil"/>
              <w:left w:val="nil"/>
              <w:bottom w:val="nil"/>
              <w:right w:val="nil"/>
            </w:tcBorders>
            <w:shd w:val="clear" w:color="auto" w:fill="FFFFFF"/>
            <w:vAlign w:val="center"/>
          </w:tcPr>
          <w:p w14:paraId="220064CB">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0.277</w:t>
            </w:r>
          </w:p>
        </w:tc>
      </w:tr>
      <w:tr w14:paraId="2E720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2FF137CB">
            <w:pPr>
              <w:keepNext w:val="0"/>
              <w:keepLines w:val="0"/>
              <w:widowControl/>
              <w:suppressLineNumbers w:val="0"/>
              <w:jc w:val="center"/>
              <w:textAlignment w:val="center"/>
              <w:rPr>
                <w:rFonts w:hint="default" w:ascii="Times New Roman" w:hAnsi="Times New Roman" w:eastAsia="黑体" w:cs="Times New Roman"/>
                <w:b/>
                <w:bCs/>
                <w:i w:val="0"/>
                <w:iCs w:val="0"/>
                <w:color w:val="08090C"/>
                <w:sz w:val="24"/>
                <w:szCs w:val="24"/>
                <w:highlight w:val="none"/>
                <w:u w:val="none"/>
              </w:rPr>
            </w:pPr>
            <w:r>
              <w:rPr>
                <w:rFonts w:hint="default" w:ascii="Times New Roman" w:hAnsi="Times New Roman" w:eastAsia="黑体" w:cs="Times New Roman"/>
                <w:b/>
                <w:bCs/>
                <w:i w:val="0"/>
                <w:iCs w:val="0"/>
                <w:color w:val="08090C"/>
                <w:kern w:val="0"/>
                <w:sz w:val="24"/>
                <w:szCs w:val="24"/>
                <w:highlight w:val="none"/>
                <w:u w:val="none"/>
                <w:lang w:val="en-US" w:eastAsia="zh-CN" w:bidi="ar"/>
              </w:rPr>
              <w:t>Laboratory findings</w:t>
            </w:r>
          </w:p>
        </w:tc>
        <w:tc>
          <w:tcPr>
            <w:tcW w:w="2561" w:type="dxa"/>
            <w:tcBorders>
              <w:top w:val="nil"/>
              <w:left w:val="nil"/>
              <w:bottom w:val="nil"/>
              <w:right w:val="nil"/>
            </w:tcBorders>
            <w:shd w:val="clear" w:color="auto" w:fill="FFFFFF"/>
            <w:vAlign w:val="center"/>
          </w:tcPr>
          <w:p w14:paraId="22579B8A">
            <w:pPr>
              <w:jc w:val="center"/>
              <w:rPr>
                <w:rFonts w:hint="default" w:ascii="Times New Roman" w:hAnsi="Times New Roman" w:eastAsia="黑体" w:cs="Times New Roman"/>
                <w:i w:val="0"/>
                <w:iCs w:val="0"/>
                <w:color w:val="08090C"/>
                <w:sz w:val="24"/>
                <w:szCs w:val="24"/>
                <w:highlight w:val="none"/>
                <w:u w:val="none"/>
              </w:rPr>
            </w:pPr>
          </w:p>
        </w:tc>
        <w:tc>
          <w:tcPr>
            <w:tcW w:w="2561" w:type="dxa"/>
            <w:tcBorders>
              <w:top w:val="nil"/>
              <w:left w:val="nil"/>
              <w:bottom w:val="nil"/>
              <w:right w:val="nil"/>
            </w:tcBorders>
            <w:shd w:val="clear" w:color="auto" w:fill="FFFFFF"/>
            <w:vAlign w:val="center"/>
          </w:tcPr>
          <w:p w14:paraId="00DC4EAD">
            <w:pPr>
              <w:jc w:val="center"/>
              <w:rPr>
                <w:rFonts w:hint="default" w:ascii="Times New Roman" w:hAnsi="Times New Roman" w:eastAsia="黑体" w:cs="Times New Roman"/>
                <w:i w:val="0"/>
                <w:iCs w:val="0"/>
                <w:color w:val="08090C"/>
                <w:sz w:val="24"/>
                <w:szCs w:val="24"/>
                <w:highlight w:val="none"/>
                <w:u w:val="none"/>
              </w:rPr>
            </w:pPr>
          </w:p>
        </w:tc>
        <w:tc>
          <w:tcPr>
            <w:tcW w:w="991" w:type="dxa"/>
            <w:tcBorders>
              <w:top w:val="nil"/>
              <w:left w:val="nil"/>
              <w:bottom w:val="nil"/>
              <w:right w:val="nil"/>
            </w:tcBorders>
            <w:shd w:val="clear" w:color="auto" w:fill="FFFFFF"/>
            <w:vAlign w:val="center"/>
          </w:tcPr>
          <w:p w14:paraId="3C33E849">
            <w:pPr>
              <w:jc w:val="center"/>
              <w:rPr>
                <w:rFonts w:hint="default" w:ascii="Times New Roman" w:hAnsi="Times New Roman" w:eastAsia="黑体" w:cs="Times New Roman"/>
                <w:i w:val="0"/>
                <w:iCs w:val="0"/>
                <w:color w:val="000000"/>
                <w:sz w:val="24"/>
                <w:szCs w:val="24"/>
                <w:highlight w:val="none"/>
                <w:u w:val="none"/>
              </w:rPr>
            </w:pPr>
          </w:p>
        </w:tc>
      </w:tr>
      <w:tr w14:paraId="426C3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6084A156">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Total Cholesterol, mmol/L</w:t>
            </w:r>
          </w:p>
        </w:tc>
        <w:tc>
          <w:tcPr>
            <w:tcW w:w="2561" w:type="dxa"/>
            <w:tcBorders>
              <w:top w:val="nil"/>
              <w:left w:val="nil"/>
              <w:bottom w:val="nil"/>
              <w:right w:val="nil"/>
            </w:tcBorders>
            <w:shd w:val="clear" w:color="auto" w:fill="FFFFFF"/>
            <w:vAlign w:val="center"/>
          </w:tcPr>
          <w:p w14:paraId="149A8507">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4.28±1.04</w:t>
            </w:r>
          </w:p>
        </w:tc>
        <w:tc>
          <w:tcPr>
            <w:tcW w:w="2561" w:type="dxa"/>
            <w:tcBorders>
              <w:top w:val="nil"/>
              <w:left w:val="nil"/>
              <w:bottom w:val="nil"/>
              <w:right w:val="nil"/>
            </w:tcBorders>
            <w:shd w:val="clear" w:color="auto" w:fill="FFFFFF"/>
            <w:vAlign w:val="center"/>
          </w:tcPr>
          <w:p w14:paraId="738D6D3E">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4.04±0.89</w:t>
            </w:r>
          </w:p>
        </w:tc>
        <w:tc>
          <w:tcPr>
            <w:tcW w:w="991" w:type="dxa"/>
            <w:tcBorders>
              <w:top w:val="nil"/>
              <w:left w:val="nil"/>
              <w:bottom w:val="nil"/>
              <w:right w:val="nil"/>
            </w:tcBorders>
            <w:shd w:val="clear" w:color="auto" w:fill="FFFFFF"/>
            <w:vAlign w:val="center"/>
          </w:tcPr>
          <w:p w14:paraId="743B9042">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0.027</w:t>
            </w:r>
          </w:p>
        </w:tc>
      </w:tr>
      <w:tr w14:paraId="160B6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13ED152C">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Triglycerides, mmol/L</w:t>
            </w:r>
          </w:p>
        </w:tc>
        <w:tc>
          <w:tcPr>
            <w:tcW w:w="2561" w:type="dxa"/>
            <w:tcBorders>
              <w:top w:val="nil"/>
              <w:left w:val="nil"/>
              <w:bottom w:val="nil"/>
              <w:right w:val="nil"/>
            </w:tcBorders>
            <w:shd w:val="clear" w:color="auto" w:fill="FFFFFF"/>
            <w:vAlign w:val="center"/>
          </w:tcPr>
          <w:p w14:paraId="540866C7">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1.23[0.92-1.85]</w:t>
            </w:r>
          </w:p>
        </w:tc>
        <w:tc>
          <w:tcPr>
            <w:tcW w:w="2561" w:type="dxa"/>
            <w:tcBorders>
              <w:top w:val="nil"/>
              <w:left w:val="nil"/>
              <w:bottom w:val="nil"/>
              <w:right w:val="nil"/>
            </w:tcBorders>
            <w:shd w:val="clear" w:color="auto" w:fill="FFFFFF"/>
            <w:vAlign w:val="center"/>
          </w:tcPr>
          <w:p w14:paraId="56592DAE">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1.21[0.85-1.90]</w:t>
            </w:r>
          </w:p>
        </w:tc>
        <w:tc>
          <w:tcPr>
            <w:tcW w:w="991" w:type="dxa"/>
            <w:tcBorders>
              <w:top w:val="nil"/>
              <w:left w:val="nil"/>
              <w:bottom w:val="nil"/>
              <w:right w:val="nil"/>
            </w:tcBorders>
            <w:shd w:val="clear" w:color="auto" w:fill="FFFFFF"/>
            <w:vAlign w:val="center"/>
          </w:tcPr>
          <w:p w14:paraId="7F9FE25E">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0.432</w:t>
            </w:r>
          </w:p>
        </w:tc>
      </w:tr>
      <w:tr w14:paraId="5E122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31F5E440">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HDL-C, mmol/L</w:t>
            </w:r>
          </w:p>
        </w:tc>
        <w:tc>
          <w:tcPr>
            <w:tcW w:w="2561" w:type="dxa"/>
            <w:tcBorders>
              <w:top w:val="nil"/>
              <w:left w:val="nil"/>
              <w:bottom w:val="nil"/>
              <w:right w:val="nil"/>
            </w:tcBorders>
            <w:shd w:val="clear" w:color="auto" w:fill="FFFFFF"/>
            <w:vAlign w:val="center"/>
          </w:tcPr>
          <w:p w14:paraId="30F37A16">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1.13[1.00-1.26]</w:t>
            </w:r>
          </w:p>
        </w:tc>
        <w:tc>
          <w:tcPr>
            <w:tcW w:w="2561" w:type="dxa"/>
            <w:tcBorders>
              <w:top w:val="nil"/>
              <w:left w:val="nil"/>
              <w:bottom w:val="nil"/>
              <w:right w:val="nil"/>
            </w:tcBorders>
            <w:shd w:val="clear" w:color="auto" w:fill="FFFFFF"/>
            <w:vAlign w:val="center"/>
          </w:tcPr>
          <w:p w14:paraId="12227E94">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1.17[1.00-1.40]</w:t>
            </w:r>
          </w:p>
        </w:tc>
        <w:tc>
          <w:tcPr>
            <w:tcW w:w="991" w:type="dxa"/>
            <w:tcBorders>
              <w:top w:val="nil"/>
              <w:left w:val="nil"/>
              <w:bottom w:val="nil"/>
              <w:right w:val="nil"/>
            </w:tcBorders>
            <w:shd w:val="clear" w:color="auto" w:fill="FFFFFF"/>
            <w:vAlign w:val="center"/>
          </w:tcPr>
          <w:p w14:paraId="5D6F9DAE">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0.081</w:t>
            </w:r>
          </w:p>
        </w:tc>
      </w:tr>
      <w:tr w14:paraId="3A11B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052B3EB5">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LDL-C, mmol/L</w:t>
            </w:r>
          </w:p>
        </w:tc>
        <w:tc>
          <w:tcPr>
            <w:tcW w:w="2561" w:type="dxa"/>
            <w:tcBorders>
              <w:top w:val="nil"/>
              <w:left w:val="nil"/>
              <w:bottom w:val="nil"/>
              <w:right w:val="nil"/>
            </w:tcBorders>
            <w:shd w:val="clear" w:color="auto" w:fill="FFFFFF"/>
            <w:vAlign w:val="center"/>
          </w:tcPr>
          <w:p w14:paraId="25D50BB5">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2.54±0.81</w:t>
            </w:r>
          </w:p>
        </w:tc>
        <w:tc>
          <w:tcPr>
            <w:tcW w:w="2561" w:type="dxa"/>
            <w:tcBorders>
              <w:top w:val="nil"/>
              <w:left w:val="nil"/>
              <w:bottom w:val="nil"/>
              <w:right w:val="nil"/>
            </w:tcBorders>
            <w:shd w:val="clear" w:color="auto" w:fill="FFFFFF"/>
            <w:vAlign w:val="center"/>
          </w:tcPr>
          <w:p w14:paraId="781063D6">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2.30±0.70</w:t>
            </w:r>
          </w:p>
        </w:tc>
        <w:tc>
          <w:tcPr>
            <w:tcW w:w="991" w:type="dxa"/>
            <w:tcBorders>
              <w:top w:val="nil"/>
              <w:left w:val="nil"/>
              <w:bottom w:val="nil"/>
              <w:right w:val="nil"/>
            </w:tcBorders>
            <w:shd w:val="clear" w:color="auto" w:fill="FFFFFF"/>
            <w:vAlign w:val="center"/>
          </w:tcPr>
          <w:p w14:paraId="156F0F61">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0.005</w:t>
            </w:r>
          </w:p>
        </w:tc>
      </w:tr>
      <w:tr w14:paraId="3FB94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2511AF49">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Fasting Blood Glucose, mmol/L</w:t>
            </w:r>
          </w:p>
        </w:tc>
        <w:tc>
          <w:tcPr>
            <w:tcW w:w="2561" w:type="dxa"/>
            <w:tcBorders>
              <w:top w:val="nil"/>
              <w:left w:val="nil"/>
              <w:bottom w:val="nil"/>
              <w:right w:val="nil"/>
            </w:tcBorders>
            <w:shd w:val="clear" w:color="auto" w:fill="FFFFFF"/>
            <w:vAlign w:val="center"/>
          </w:tcPr>
          <w:p w14:paraId="3A624B39">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5.42[4.95-6.32]</w:t>
            </w:r>
          </w:p>
        </w:tc>
        <w:tc>
          <w:tcPr>
            <w:tcW w:w="2561" w:type="dxa"/>
            <w:tcBorders>
              <w:top w:val="nil"/>
              <w:left w:val="nil"/>
              <w:bottom w:val="nil"/>
              <w:right w:val="nil"/>
            </w:tcBorders>
            <w:shd w:val="clear" w:color="auto" w:fill="FFFFFF"/>
            <w:vAlign w:val="center"/>
          </w:tcPr>
          <w:p w14:paraId="26D9BB15">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5.45[4.91-6.63]</w:t>
            </w:r>
          </w:p>
        </w:tc>
        <w:tc>
          <w:tcPr>
            <w:tcW w:w="991" w:type="dxa"/>
            <w:tcBorders>
              <w:top w:val="nil"/>
              <w:left w:val="nil"/>
              <w:bottom w:val="nil"/>
              <w:right w:val="nil"/>
            </w:tcBorders>
            <w:shd w:val="clear" w:color="auto" w:fill="FFFFFF"/>
            <w:vAlign w:val="center"/>
          </w:tcPr>
          <w:p w14:paraId="3DC0A961">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0.798</w:t>
            </w:r>
          </w:p>
        </w:tc>
      </w:tr>
      <w:tr w14:paraId="0C54E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365F45EE">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lang w:val="en-US"/>
              </w:rPr>
            </w:pPr>
            <w:r>
              <w:rPr>
                <w:rFonts w:hint="default" w:ascii="Times New Roman" w:hAnsi="Times New Roman" w:eastAsia="黑体" w:cs="Times New Roman"/>
                <w:i w:val="0"/>
                <w:iCs w:val="0"/>
                <w:color w:val="08090C"/>
                <w:kern w:val="0"/>
                <w:sz w:val="24"/>
                <w:szCs w:val="24"/>
                <w:highlight w:val="none"/>
                <w:u w:val="none"/>
                <w:lang w:val="en-US" w:eastAsia="zh-CN" w:bidi="ar"/>
              </w:rPr>
              <w:t>TSH, μIU/mL</w:t>
            </w:r>
          </w:p>
        </w:tc>
        <w:tc>
          <w:tcPr>
            <w:tcW w:w="2561" w:type="dxa"/>
            <w:tcBorders>
              <w:top w:val="nil"/>
              <w:left w:val="nil"/>
              <w:bottom w:val="nil"/>
              <w:right w:val="nil"/>
            </w:tcBorders>
            <w:shd w:val="clear" w:color="auto" w:fill="FFFFFF"/>
            <w:vAlign w:val="center"/>
          </w:tcPr>
          <w:p w14:paraId="1C10A982">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1.85[1.23-2.71]</w:t>
            </w:r>
          </w:p>
        </w:tc>
        <w:tc>
          <w:tcPr>
            <w:tcW w:w="2561" w:type="dxa"/>
            <w:tcBorders>
              <w:top w:val="nil"/>
              <w:left w:val="nil"/>
              <w:bottom w:val="nil"/>
              <w:right w:val="nil"/>
            </w:tcBorders>
            <w:shd w:val="clear" w:color="auto" w:fill="FFFFFF"/>
            <w:vAlign w:val="center"/>
          </w:tcPr>
          <w:p w14:paraId="74EA81FD">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2.34[1.43-3.21]</w:t>
            </w:r>
          </w:p>
        </w:tc>
        <w:tc>
          <w:tcPr>
            <w:tcW w:w="991" w:type="dxa"/>
            <w:tcBorders>
              <w:top w:val="nil"/>
              <w:left w:val="nil"/>
              <w:bottom w:val="nil"/>
              <w:right w:val="nil"/>
            </w:tcBorders>
            <w:shd w:val="clear" w:color="auto" w:fill="FFFFFF"/>
            <w:vAlign w:val="center"/>
          </w:tcPr>
          <w:p w14:paraId="7BCB4934">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0.024</w:t>
            </w:r>
          </w:p>
        </w:tc>
      </w:tr>
      <w:tr w14:paraId="545AA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083C587B">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T3, pmol/L</w:t>
            </w:r>
          </w:p>
        </w:tc>
        <w:tc>
          <w:tcPr>
            <w:tcW w:w="2561" w:type="dxa"/>
            <w:tcBorders>
              <w:top w:val="nil"/>
              <w:left w:val="nil"/>
              <w:bottom w:val="nil"/>
              <w:right w:val="nil"/>
            </w:tcBorders>
            <w:shd w:val="clear" w:color="auto" w:fill="FFFFFF"/>
            <w:vAlign w:val="center"/>
          </w:tcPr>
          <w:p w14:paraId="080DA0B3">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4.74[4.30-5.20]</w:t>
            </w:r>
          </w:p>
        </w:tc>
        <w:tc>
          <w:tcPr>
            <w:tcW w:w="2561" w:type="dxa"/>
            <w:tcBorders>
              <w:top w:val="nil"/>
              <w:left w:val="nil"/>
              <w:bottom w:val="nil"/>
              <w:right w:val="nil"/>
            </w:tcBorders>
            <w:shd w:val="clear" w:color="auto" w:fill="FFFFFF"/>
            <w:vAlign w:val="center"/>
          </w:tcPr>
          <w:p w14:paraId="5A5A012B">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4.65[4.22-4.91]</w:t>
            </w:r>
          </w:p>
        </w:tc>
        <w:tc>
          <w:tcPr>
            <w:tcW w:w="991" w:type="dxa"/>
            <w:tcBorders>
              <w:top w:val="nil"/>
              <w:left w:val="nil"/>
              <w:bottom w:val="nil"/>
              <w:right w:val="nil"/>
            </w:tcBorders>
            <w:shd w:val="clear" w:color="auto" w:fill="FFFFFF"/>
            <w:vAlign w:val="center"/>
          </w:tcPr>
          <w:p w14:paraId="116C40FB">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0.012</w:t>
            </w:r>
          </w:p>
        </w:tc>
      </w:tr>
      <w:tr w14:paraId="5B255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51D62ED6">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T4, pmol/L</w:t>
            </w:r>
          </w:p>
        </w:tc>
        <w:tc>
          <w:tcPr>
            <w:tcW w:w="2561" w:type="dxa"/>
            <w:tcBorders>
              <w:top w:val="nil"/>
              <w:left w:val="nil"/>
              <w:bottom w:val="nil"/>
              <w:right w:val="nil"/>
            </w:tcBorders>
            <w:shd w:val="clear" w:color="auto" w:fill="FFFFFF"/>
            <w:vAlign w:val="center"/>
          </w:tcPr>
          <w:p w14:paraId="64237C10">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17.06[15.35-18.43]</w:t>
            </w:r>
          </w:p>
        </w:tc>
        <w:tc>
          <w:tcPr>
            <w:tcW w:w="2561" w:type="dxa"/>
            <w:tcBorders>
              <w:top w:val="nil"/>
              <w:left w:val="nil"/>
              <w:bottom w:val="nil"/>
              <w:right w:val="nil"/>
            </w:tcBorders>
            <w:shd w:val="clear" w:color="auto" w:fill="FFFFFF"/>
            <w:vAlign w:val="center"/>
          </w:tcPr>
          <w:p w14:paraId="14CD4B66">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17.06[15.41-18.17]</w:t>
            </w:r>
          </w:p>
        </w:tc>
        <w:tc>
          <w:tcPr>
            <w:tcW w:w="991" w:type="dxa"/>
            <w:tcBorders>
              <w:top w:val="nil"/>
              <w:left w:val="nil"/>
              <w:bottom w:val="nil"/>
              <w:right w:val="nil"/>
            </w:tcBorders>
            <w:shd w:val="clear" w:color="auto" w:fill="FFFFFF"/>
            <w:vAlign w:val="center"/>
          </w:tcPr>
          <w:p w14:paraId="36FC591A">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0.99</w:t>
            </w:r>
          </w:p>
        </w:tc>
      </w:tr>
      <w:tr w14:paraId="74790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215C5981">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Serum Potassium, mmol/L</w:t>
            </w:r>
          </w:p>
        </w:tc>
        <w:tc>
          <w:tcPr>
            <w:tcW w:w="2561" w:type="dxa"/>
            <w:tcBorders>
              <w:top w:val="nil"/>
              <w:left w:val="nil"/>
              <w:bottom w:val="nil"/>
              <w:right w:val="nil"/>
            </w:tcBorders>
            <w:shd w:val="clear" w:color="auto" w:fill="FFFFFF"/>
            <w:vAlign w:val="center"/>
          </w:tcPr>
          <w:p w14:paraId="0A54E88E">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3.97[3.73-4.20]</w:t>
            </w:r>
          </w:p>
        </w:tc>
        <w:tc>
          <w:tcPr>
            <w:tcW w:w="2561" w:type="dxa"/>
            <w:tcBorders>
              <w:top w:val="nil"/>
              <w:left w:val="nil"/>
              <w:bottom w:val="nil"/>
              <w:right w:val="nil"/>
            </w:tcBorders>
            <w:shd w:val="clear" w:color="auto" w:fill="FFFFFF"/>
            <w:vAlign w:val="center"/>
          </w:tcPr>
          <w:p w14:paraId="2EBC2F55">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3.96[3.67-4.18]</w:t>
            </w:r>
          </w:p>
        </w:tc>
        <w:tc>
          <w:tcPr>
            <w:tcW w:w="991" w:type="dxa"/>
            <w:tcBorders>
              <w:top w:val="nil"/>
              <w:left w:val="nil"/>
              <w:bottom w:val="nil"/>
              <w:right w:val="nil"/>
            </w:tcBorders>
            <w:shd w:val="clear" w:color="auto" w:fill="FFFFFF"/>
            <w:vAlign w:val="center"/>
          </w:tcPr>
          <w:p w14:paraId="2C62BB20">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0.556</w:t>
            </w:r>
          </w:p>
        </w:tc>
      </w:tr>
      <w:tr w14:paraId="596F3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094DFD40">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Blood Uric Acid, μmol/L</w:t>
            </w:r>
          </w:p>
        </w:tc>
        <w:tc>
          <w:tcPr>
            <w:tcW w:w="2561" w:type="dxa"/>
            <w:tcBorders>
              <w:top w:val="nil"/>
              <w:left w:val="nil"/>
              <w:bottom w:val="nil"/>
              <w:right w:val="nil"/>
            </w:tcBorders>
            <w:shd w:val="clear" w:color="auto" w:fill="FFFFFF"/>
            <w:vAlign w:val="center"/>
          </w:tcPr>
          <w:p w14:paraId="3DDC251B">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370.20[314.35-441.25]</w:t>
            </w:r>
          </w:p>
        </w:tc>
        <w:tc>
          <w:tcPr>
            <w:tcW w:w="2561" w:type="dxa"/>
            <w:tcBorders>
              <w:top w:val="nil"/>
              <w:left w:val="nil"/>
              <w:bottom w:val="nil"/>
              <w:right w:val="nil"/>
            </w:tcBorders>
            <w:shd w:val="clear" w:color="auto" w:fill="FFFFFF"/>
            <w:vAlign w:val="center"/>
          </w:tcPr>
          <w:p w14:paraId="772B2D04">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361.95[297.68-449.15]</w:t>
            </w:r>
          </w:p>
        </w:tc>
        <w:tc>
          <w:tcPr>
            <w:tcW w:w="991" w:type="dxa"/>
            <w:tcBorders>
              <w:top w:val="nil"/>
              <w:left w:val="nil"/>
              <w:bottom w:val="nil"/>
              <w:right w:val="nil"/>
            </w:tcBorders>
            <w:shd w:val="clear" w:color="auto" w:fill="FFFFFF"/>
            <w:vAlign w:val="center"/>
          </w:tcPr>
          <w:p w14:paraId="3303A0F6">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0.562</w:t>
            </w:r>
          </w:p>
        </w:tc>
      </w:tr>
      <w:tr w14:paraId="61F0A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24A643D1">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Blood Urea Nitrogen, mmol/L</w:t>
            </w:r>
          </w:p>
        </w:tc>
        <w:tc>
          <w:tcPr>
            <w:tcW w:w="2561" w:type="dxa"/>
            <w:tcBorders>
              <w:top w:val="nil"/>
              <w:left w:val="nil"/>
              <w:bottom w:val="nil"/>
              <w:right w:val="nil"/>
            </w:tcBorders>
            <w:shd w:val="clear" w:color="auto" w:fill="FFFFFF"/>
            <w:vAlign w:val="center"/>
          </w:tcPr>
          <w:p w14:paraId="7FFFE6CF">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5.78[4.76-6.88]</w:t>
            </w:r>
          </w:p>
        </w:tc>
        <w:tc>
          <w:tcPr>
            <w:tcW w:w="2561" w:type="dxa"/>
            <w:tcBorders>
              <w:top w:val="nil"/>
              <w:left w:val="nil"/>
              <w:bottom w:val="nil"/>
              <w:right w:val="nil"/>
            </w:tcBorders>
            <w:shd w:val="clear" w:color="auto" w:fill="FFFFFF"/>
            <w:vAlign w:val="center"/>
          </w:tcPr>
          <w:p w14:paraId="06CAF2DE">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5.71[4.80-6.84]</w:t>
            </w:r>
          </w:p>
        </w:tc>
        <w:tc>
          <w:tcPr>
            <w:tcW w:w="991" w:type="dxa"/>
            <w:tcBorders>
              <w:top w:val="nil"/>
              <w:left w:val="nil"/>
              <w:bottom w:val="nil"/>
              <w:right w:val="nil"/>
            </w:tcBorders>
            <w:shd w:val="clear" w:color="auto" w:fill="FFFFFF"/>
            <w:vAlign w:val="center"/>
          </w:tcPr>
          <w:p w14:paraId="54EB035E">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0.969</w:t>
            </w:r>
          </w:p>
        </w:tc>
      </w:tr>
      <w:tr w14:paraId="4DDD1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59955638">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Blood Creatinine, μmol/L</w:t>
            </w:r>
          </w:p>
        </w:tc>
        <w:tc>
          <w:tcPr>
            <w:tcW w:w="2561" w:type="dxa"/>
            <w:tcBorders>
              <w:top w:val="nil"/>
              <w:left w:val="nil"/>
              <w:bottom w:val="nil"/>
              <w:right w:val="nil"/>
            </w:tcBorders>
            <w:shd w:val="clear" w:color="auto" w:fill="FFFFFF"/>
            <w:vAlign w:val="center"/>
          </w:tcPr>
          <w:p w14:paraId="19E1F644">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73.00[62.50-85.40]</w:t>
            </w:r>
          </w:p>
        </w:tc>
        <w:tc>
          <w:tcPr>
            <w:tcW w:w="2561" w:type="dxa"/>
            <w:tcBorders>
              <w:top w:val="nil"/>
              <w:left w:val="nil"/>
              <w:bottom w:val="nil"/>
              <w:right w:val="nil"/>
            </w:tcBorders>
            <w:shd w:val="clear" w:color="auto" w:fill="FFFFFF"/>
            <w:vAlign w:val="center"/>
          </w:tcPr>
          <w:p w14:paraId="06FDCF05">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71.25[62.75-83.00]</w:t>
            </w:r>
          </w:p>
        </w:tc>
        <w:tc>
          <w:tcPr>
            <w:tcW w:w="991" w:type="dxa"/>
            <w:tcBorders>
              <w:top w:val="nil"/>
              <w:left w:val="nil"/>
              <w:bottom w:val="nil"/>
              <w:right w:val="nil"/>
            </w:tcBorders>
            <w:shd w:val="clear" w:color="auto" w:fill="FFFFFF"/>
            <w:vAlign w:val="center"/>
          </w:tcPr>
          <w:p w14:paraId="56D43760">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0.447</w:t>
            </w:r>
          </w:p>
        </w:tc>
      </w:tr>
      <w:tr w14:paraId="2B91F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70F82C5D">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eGFR, mL/min/1.73m²</w:t>
            </w:r>
          </w:p>
        </w:tc>
        <w:tc>
          <w:tcPr>
            <w:tcW w:w="2561" w:type="dxa"/>
            <w:tcBorders>
              <w:top w:val="nil"/>
              <w:left w:val="nil"/>
              <w:bottom w:val="nil"/>
              <w:right w:val="nil"/>
            </w:tcBorders>
            <w:shd w:val="clear" w:color="auto" w:fill="FFFFFF"/>
            <w:vAlign w:val="center"/>
          </w:tcPr>
          <w:p w14:paraId="50807B24">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97.91[83.43-120.24]</w:t>
            </w:r>
          </w:p>
        </w:tc>
        <w:tc>
          <w:tcPr>
            <w:tcW w:w="2561" w:type="dxa"/>
            <w:tcBorders>
              <w:top w:val="nil"/>
              <w:left w:val="nil"/>
              <w:bottom w:val="nil"/>
              <w:right w:val="nil"/>
            </w:tcBorders>
            <w:shd w:val="clear" w:color="auto" w:fill="FFFFFF"/>
            <w:vAlign w:val="center"/>
          </w:tcPr>
          <w:p w14:paraId="11FB6EEE">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95.00[84.69-110.32]</w:t>
            </w:r>
          </w:p>
        </w:tc>
        <w:tc>
          <w:tcPr>
            <w:tcW w:w="991" w:type="dxa"/>
            <w:tcBorders>
              <w:top w:val="nil"/>
              <w:left w:val="nil"/>
              <w:bottom w:val="nil"/>
              <w:right w:val="nil"/>
            </w:tcBorders>
            <w:shd w:val="clear" w:color="auto" w:fill="FFFFFF"/>
            <w:vAlign w:val="center"/>
          </w:tcPr>
          <w:p w14:paraId="436BE92E">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0.179</w:t>
            </w:r>
          </w:p>
        </w:tc>
      </w:tr>
      <w:tr w14:paraId="6930F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36ACF4E4">
            <w:pPr>
              <w:keepNext w:val="0"/>
              <w:keepLines w:val="0"/>
              <w:widowControl/>
              <w:suppressLineNumbers w:val="0"/>
              <w:jc w:val="center"/>
              <w:textAlignment w:val="center"/>
              <w:rPr>
                <w:rFonts w:hint="default" w:ascii="Times New Roman" w:hAnsi="Times New Roman" w:eastAsia="黑体" w:cs="Times New Roman"/>
                <w:b/>
                <w:bCs/>
                <w:i w:val="0"/>
                <w:iCs w:val="0"/>
                <w:color w:val="08090C"/>
                <w:sz w:val="24"/>
                <w:szCs w:val="24"/>
                <w:highlight w:val="none"/>
                <w:u w:val="none"/>
              </w:rPr>
            </w:pPr>
            <w:r>
              <w:rPr>
                <w:rFonts w:hint="default" w:ascii="Times New Roman" w:hAnsi="Times New Roman" w:eastAsia="黑体" w:cs="Times New Roman"/>
                <w:b/>
                <w:bCs/>
                <w:i w:val="0"/>
                <w:iCs w:val="0"/>
                <w:color w:val="08090C"/>
                <w:kern w:val="0"/>
                <w:sz w:val="24"/>
                <w:szCs w:val="24"/>
                <w:highlight w:val="none"/>
                <w:u w:val="none"/>
                <w:lang w:val="en-US" w:eastAsia="zh-CN" w:bidi="ar"/>
              </w:rPr>
              <w:t>Other auxiliary examinations</w:t>
            </w:r>
          </w:p>
        </w:tc>
        <w:tc>
          <w:tcPr>
            <w:tcW w:w="2561" w:type="dxa"/>
            <w:tcBorders>
              <w:top w:val="nil"/>
              <w:left w:val="nil"/>
              <w:bottom w:val="nil"/>
              <w:right w:val="nil"/>
            </w:tcBorders>
            <w:shd w:val="clear" w:color="auto" w:fill="FFFFFF"/>
            <w:vAlign w:val="center"/>
          </w:tcPr>
          <w:p w14:paraId="29D7DF55">
            <w:pPr>
              <w:jc w:val="center"/>
              <w:rPr>
                <w:rFonts w:hint="default" w:ascii="Times New Roman" w:hAnsi="Times New Roman" w:eastAsia="黑体" w:cs="Times New Roman"/>
                <w:i w:val="0"/>
                <w:iCs w:val="0"/>
                <w:color w:val="08090C"/>
                <w:sz w:val="24"/>
                <w:szCs w:val="24"/>
                <w:highlight w:val="none"/>
                <w:u w:val="none"/>
              </w:rPr>
            </w:pPr>
          </w:p>
        </w:tc>
        <w:tc>
          <w:tcPr>
            <w:tcW w:w="2561" w:type="dxa"/>
            <w:tcBorders>
              <w:top w:val="nil"/>
              <w:left w:val="nil"/>
              <w:bottom w:val="nil"/>
              <w:right w:val="nil"/>
            </w:tcBorders>
            <w:shd w:val="clear" w:color="auto" w:fill="FFFFFF"/>
            <w:vAlign w:val="center"/>
          </w:tcPr>
          <w:p w14:paraId="61E50C89">
            <w:pPr>
              <w:jc w:val="center"/>
              <w:rPr>
                <w:rFonts w:hint="default" w:ascii="Times New Roman" w:hAnsi="Times New Roman" w:eastAsia="黑体" w:cs="Times New Roman"/>
                <w:i w:val="0"/>
                <w:iCs w:val="0"/>
                <w:color w:val="08090C"/>
                <w:sz w:val="24"/>
                <w:szCs w:val="24"/>
                <w:highlight w:val="none"/>
                <w:u w:val="none"/>
              </w:rPr>
            </w:pPr>
          </w:p>
        </w:tc>
        <w:tc>
          <w:tcPr>
            <w:tcW w:w="991" w:type="dxa"/>
            <w:tcBorders>
              <w:top w:val="nil"/>
              <w:left w:val="nil"/>
              <w:bottom w:val="nil"/>
              <w:right w:val="nil"/>
            </w:tcBorders>
            <w:shd w:val="clear" w:color="auto" w:fill="FFFFFF"/>
            <w:vAlign w:val="center"/>
          </w:tcPr>
          <w:p w14:paraId="314B749C">
            <w:pPr>
              <w:jc w:val="center"/>
              <w:rPr>
                <w:rFonts w:hint="default" w:ascii="Times New Roman" w:hAnsi="Times New Roman" w:eastAsia="黑体" w:cs="Times New Roman"/>
                <w:i w:val="0"/>
                <w:iCs w:val="0"/>
                <w:color w:val="000000"/>
                <w:sz w:val="24"/>
                <w:szCs w:val="24"/>
                <w:highlight w:val="none"/>
                <w:u w:val="none"/>
              </w:rPr>
            </w:pPr>
          </w:p>
        </w:tc>
      </w:tr>
      <w:tr w14:paraId="1B610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3793F445">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Left atrial diameter, mm</w:t>
            </w:r>
          </w:p>
        </w:tc>
        <w:tc>
          <w:tcPr>
            <w:tcW w:w="2561" w:type="dxa"/>
            <w:tcBorders>
              <w:top w:val="nil"/>
              <w:left w:val="nil"/>
              <w:bottom w:val="nil"/>
              <w:right w:val="nil"/>
            </w:tcBorders>
            <w:shd w:val="clear" w:color="auto" w:fill="FFFFFF"/>
            <w:vAlign w:val="center"/>
          </w:tcPr>
          <w:p w14:paraId="7444EE63">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45.00[42.00-48.00]</w:t>
            </w:r>
          </w:p>
        </w:tc>
        <w:tc>
          <w:tcPr>
            <w:tcW w:w="2561" w:type="dxa"/>
            <w:tcBorders>
              <w:top w:val="nil"/>
              <w:left w:val="nil"/>
              <w:bottom w:val="nil"/>
              <w:right w:val="nil"/>
            </w:tcBorders>
            <w:shd w:val="clear" w:color="auto" w:fill="FFFFFF"/>
            <w:vAlign w:val="center"/>
          </w:tcPr>
          <w:p w14:paraId="4C847456">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47.00[43.75-50.00]</w:t>
            </w:r>
          </w:p>
        </w:tc>
        <w:tc>
          <w:tcPr>
            <w:tcW w:w="991" w:type="dxa"/>
            <w:tcBorders>
              <w:top w:val="nil"/>
              <w:left w:val="nil"/>
              <w:bottom w:val="nil"/>
              <w:right w:val="nil"/>
            </w:tcBorders>
            <w:shd w:val="clear" w:color="auto" w:fill="FFFFFF"/>
            <w:vAlign w:val="center"/>
          </w:tcPr>
          <w:p w14:paraId="6D7B3B51">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&lt;0.001</w:t>
            </w:r>
          </w:p>
        </w:tc>
      </w:tr>
      <w:tr w14:paraId="79EBA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2473C1C1">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Left ventricular ejection fraction, %</w:t>
            </w:r>
          </w:p>
        </w:tc>
        <w:tc>
          <w:tcPr>
            <w:tcW w:w="2561" w:type="dxa"/>
            <w:tcBorders>
              <w:top w:val="nil"/>
              <w:left w:val="nil"/>
              <w:bottom w:val="nil"/>
              <w:right w:val="nil"/>
            </w:tcBorders>
            <w:shd w:val="clear" w:color="auto" w:fill="FFFFFF"/>
            <w:vAlign w:val="center"/>
          </w:tcPr>
          <w:p w14:paraId="45C8E7A2">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57.00[54.00-61.00]</w:t>
            </w:r>
          </w:p>
        </w:tc>
        <w:tc>
          <w:tcPr>
            <w:tcW w:w="2561" w:type="dxa"/>
            <w:tcBorders>
              <w:top w:val="nil"/>
              <w:left w:val="nil"/>
              <w:bottom w:val="nil"/>
              <w:right w:val="nil"/>
            </w:tcBorders>
            <w:shd w:val="clear" w:color="auto" w:fill="FFFFFF"/>
            <w:vAlign w:val="center"/>
          </w:tcPr>
          <w:p w14:paraId="440F60CB">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58.00[55.00-61.00]</w:t>
            </w:r>
          </w:p>
        </w:tc>
        <w:tc>
          <w:tcPr>
            <w:tcW w:w="991" w:type="dxa"/>
            <w:tcBorders>
              <w:top w:val="nil"/>
              <w:left w:val="nil"/>
              <w:bottom w:val="nil"/>
              <w:right w:val="nil"/>
            </w:tcBorders>
            <w:shd w:val="clear" w:color="auto" w:fill="FFFFFF"/>
            <w:vAlign w:val="center"/>
          </w:tcPr>
          <w:p w14:paraId="262479D4">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0.951</w:t>
            </w:r>
          </w:p>
        </w:tc>
      </w:tr>
      <w:tr w14:paraId="0CC4C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237118E5">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f-wave amplitude, mV</w:t>
            </w:r>
          </w:p>
        </w:tc>
        <w:tc>
          <w:tcPr>
            <w:tcW w:w="2561" w:type="dxa"/>
            <w:tcBorders>
              <w:top w:val="nil"/>
              <w:left w:val="nil"/>
              <w:bottom w:val="nil"/>
              <w:right w:val="nil"/>
            </w:tcBorders>
            <w:shd w:val="clear" w:color="auto" w:fill="FFFFFF"/>
            <w:vAlign w:val="center"/>
          </w:tcPr>
          <w:p w14:paraId="1986F521">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0.15[0.11-0.19]</w:t>
            </w:r>
          </w:p>
        </w:tc>
        <w:tc>
          <w:tcPr>
            <w:tcW w:w="2561" w:type="dxa"/>
            <w:tcBorders>
              <w:top w:val="nil"/>
              <w:left w:val="nil"/>
              <w:bottom w:val="nil"/>
              <w:right w:val="nil"/>
            </w:tcBorders>
            <w:shd w:val="clear" w:color="auto" w:fill="FFFFFF"/>
            <w:vAlign w:val="center"/>
          </w:tcPr>
          <w:p w14:paraId="653774EE">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0.12[0.08-0.16]</w:t>
            </w:r>
          </w:p>
        </w:tc>
        <w:tc>
          <w:tcPr>
            <w:tcW w:w="991" w:type="dxa"/>
            <w:tcBorders>
              <w:top w:val="nil"/>
              <w:left w:val="nil"/>
              <w:bottom w:val="nil"/>
              <w:right w:val="nil"/>
            </w:tcBorders>
            <w:shd w:val="clear" w:color="auto" w:fill="FFFFFF"/>
            <w:vAlign w:val="center"/>
          </w:tcPr>
          <w:p w14:paraId="3CF840B6">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&lt;0.001</w:t>
            </w:r>
          </w:p>
        </w:tc>
      </w:tr>
      <w:tr w14:paraId="2DC97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5FDA6472">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Basal heart rate, bpm</w:t>
            </w:r>
          </w:p>
        </w:tc>
        <w:tc>
          <w:tcPr>
            <w:tcW w:w="2561" w:type="dxa"/>
            <w:tcBorders>
              <w:top w:val="nil"/>
              <w:left w:val="nil"/>
              <w:bottom w:val="nil"/>
              <w:right w:val="nil"/>
            </w:tcBorders>
            <w:shd w:val="clear" w:color="auto" w:fill="FFFFFF"/>
            <w:vAlign w:val="center"/>
          </w:tcPr>
          <w:p w14:paraId="23F15883">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91.00[78.00-104.50]</w:t>
            </w:r>
          </w:p>
        </w:tc>
        <w:tc>
          <w:tcPr>
            <w:tcW w:w="2561" w:type="dxa"/>
            <w:tcBorders>
              <w:top w:val="nil"/>
              <w:left w:val="nil"/>
              <w:bottom w:val="nil"/>
              <w:right w:val="nil"/>
            </w:tcBorders>
            <w:shd w:val="clear" w:color="auto" w:fill="FFFFFF"/>
            <w:vAlign w:val="center"/>
          </w:tcPr>
          <w:p w14:paraId="3501ED9B">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87.00[73.00-107.25]</w:t>
            </w:r>
          </w:p>
        </w:tc>
        <w:tc>
          <w:tcPr>
            <w:tcW w:w="991" w:type="dxa"/>
            <w:tcBorders>
              <w:top w:val="nil"/>
              <w:left w:val="nil"/>
              <w:bottom w:val="nil"/>
              <w:right w:val="nil"/>
            </w:tcBorders>
            <w:shd w:val="clear" w:color="auto" w:fill="FFFFFF"/>
            <w:vAlign w:val="center"/>
          </w:tcPr>
          <w:p w14:paraId="2B706ACC">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0.279</w:t>
            </w:r>
          </w:p>
        </w:tc>
      </w:tr>
      <w:tr w14:paraId="719ED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2B160734">
            <w:pPr>
              <w:keepNext w:val="0"/>
              <w:keepLines w:val="0"/>
              <w:widowControl/>
              <w:suppressLineNumbers w:val="0"/>
              <w:jc w:val="center"/>
              <w:textAlignment w:val="center"/>
              <w:rPr>
                <w:rFonts w:hint="default" w:ascii="Times New Roman" w:hAnsi="Times New Roman" w:eastAsia="黑体" w:cs="Times New Roman"/>
                <w:b/>
                <w:bCs/>
                <w:i w:val="0"/>
                <w:iCs w:val="0"/>
                <w:color w:val="08090C"/>
                <w:sz w:val="24"/>
                <w:szCs w:val="24"/>
                <w:highlight w:val="none"/>
                <w:u w:val="none"/>
              </w:rPr>
            </w:pPr>
            <w:r>
              <w:rPr>
                <w:rFonts w:hint="default" w:ascii="Times New Roman" w:hAnsi="Times New Roman" w:eastAsia="黑体" w:cs="Times New Roman"/>
                <w:b/>
                <w:bCs/>
                <w:i w:val="0"/>
                <w:iCs w:val="0"/>
                <w:color w:val="08090C"/>
                <w:kern w:val="0"/>
                <w:sz w:val="24"/>
                <w:szCs w:val="24"/>
                <w:highlight w:val="none"/>
                <w:u w:val="none"/>
                <w:lang w:val="en-US" w:eastAsia="zh-CN" w:bidi="ar"/>
              </w:rPr>
              <w:t>Cardiovascular history</w:t>
            </w:r>
          </w:p>
        </w:tc>
        <w:tc>
          <w:tcPr>
            <w:tcW w:w="2561" w:type="dxa"/>
            <w:tcBorders>
              <w:top w:val="nil"/>
              <w:left w:val="nil"/>
              <w:bottom w:val="nil"/>
              <w:right w:val="nil"/>
            </w:tcBorders>
            <w:shd w:val="clear" w:color="auto" w:fill="FFFFFF"/>
            <w:vAlign w:val="center"/>
          </w:tcPr>
          <w:p w14:paraId="76F377BF">
            <w:pPr>
              <w:jc w:val="center"/>
              <w:rPr>
                <w:rFonts w:hint="default" w:ascii="Times New Roman" w:hAnsi="Times New Roman" w:eastAsia="黑体" w:cs="Times New Roman"/>
                <w:i w:val="0"/>
                <w:iCs w:val="0"/>
                <w:color w:val="08090C"/>
                <w:sz w:val="24"/>
                <w:szCs w:val="24"/>
                <w:highlight w:val="none"/>
                <w:u w:val="none"/>
              </w:rPr>
            </w:pPr>
          </w:p>
        </w:tc>
        <w:tc>
          <w:tcPr>
            <w:tcW w:w="2561" w:type="dxa"/>
            <w:tcBorders>
              <w:top w:val="nil"/>
              <w:left w:val="nil"/>
              <w:bottom w:val="nil"/>
              <w:right w:val="nil"/>
            </w:tcBorders>
            <w:shd w:val="clear" w:color="auto" w:fill="FFFFFF"/>
            <w:vAlign w:val="center"/>
          </w:tcPr>
          <w:p w14:paraId="22834C45">
            <w:pPr>
              <w:jc w:val="center"/>
              <w:rPr>
                <w:rFonts w:hint="default" w:ascii="Times New Roman" w:hAnsi="Times New Roman" w:eastAsia="黑体" w:cs="Times New Roman"/>
                <w:i w:val="0"/>
                <w:iCs w:val="0"/>
                <w:color w:val="08090C"/>
                <w:sz w:val="24"/>
                <w:szCs w:val="24"/>
                <w:highlight w:val="none"/>
                <w:u w:val="none"/>
              </w:rPr>
            </w:pPr>
          </w:p>
        </w:tc>
        <w:tc>
          <w:tcPr>
            <w:tcW w:w="991" w:type="dxa"/>
            <w:tcBorders>
              <w:top w:val="nil"/>
              <w:left w:val="nil"/>
              <w:bottom w:val="nil"/>
              <w:right w:val="nil"/>
            </w:tcBorders>
            <w:shd w:val="clear" w:color="auto" w:fill="FFFFFF"/>
            <w:vAlign w:val="center"/>
          </w:tcPr>
          <w:p w14:paraId="60AE1164">
            <w:pPr>
              <w:jc w:val="center"/>
              <w:rPr>
                <w:rFonts w:hint="default" w:ascii="Times New Roman" w:hAnsi="Times New Roman" w:eastAsia="黑体" w:cs="Times New Roman"/>
                <w:i w:val="0"/>
                <w:iCs w:val="0"/>
                <w:color w:val="000000"/>
                <w:sz w:val="24"/>
                <w:szCs w:val="24"/>
                <w:highlight w:val="none"/>
                <w:u w:val="none"/>
              </w:rPr>
            </w:pPr>
          </w:p>
        </w:tc>
      </w:tr>
      <w:tr w14:paraId="35450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69F27B43">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Hypertension,n (%)</w:t>
            </w:r>
          </w:p>
        </w:tc>
        <w:tc>
          <w:tcPr>
            <w:tcW w:w="2561" w:type="dxa"/>
            <w:tcBorders>
              <w:top w:val="nil"/>
              <w:left w:val="nil"/>
              <w:bottom w:val="nil"/>
              <w:right w:val="nil"/>
            </w:tcBorders>
            <w:shd w:val="clear" w:color="auto" w:fill="FFFFFF"/>
            <w:vAlign w:val="center"/>
          </w:tcPr>
          <w:p w14:paraId="260C9E54">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114(71.7%)</w:t>
            </w:r>
          </w:p>
        </w:tc>
        <w:tc>
          <w:tcPr>
            <w:tcW w:w="2561" w:type="dxa"/>
            <w:tcBorders>
              <w:top w:val="nil"/>
              <w:left w:val="nil"/>
              <w:bottom w:val="nil"/>
              <w:right w:val="nil"/>
            </w:tcBorders>
            <w:shd w:val="clear" w:color="auto" w:fill="FFFFFF"/>
            <w:vAlign w:val="center"/>
          </w:tcPr>
          <w:p w14:paraId="2D3AE9CC">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120(71.4%)</w:t>
            </w:r>
          </w:p>
        </w:tc>
        <w:tc>
          <w:tcPr>
            <w:tcW w:w="991" w:type="dxa"/>
            <w:tcBorders>
              <w:top w:val="nil"/>
              <w:left w:val="nil"/>
              <w:bottom w:val="nil"/>
              <w:right w:val="nil"/>
            </w:tcBorders>
            <w:shd w:val="clear" w:color="auto" w:fill="FFFFFF"/>
            <w:vAlign w:val="center"/>
          </w:tcPr>
          <w:p w14:paraId="130AA441">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1</w:t>
            </w:r>
          </w:p>
        </w:tc>
      </w:tr>
      <w:tr w14:paraId="3214D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1E5DC192">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Coronary artery disease,n (%)</w:t>
            </w:r>
          </w:p>
        </w:tc>
        <w:tc>
          <w:tcPr>
            <w:tcW w:w="2561" w:type="dxa"/>
            <w:tcBorders>
              <w:top w:val="nil"/>
              <w:left w:val="nil"/>
              <w:bottom w:val="nil"/>
              <w:right w:val="nil"/>
            </w:tcBorders>
            <w:shd w:val="clear" w:color="auto" w:fill="FFFFFF"/>
            <w:vAlign w:val="center"/>
          </w:tcPr>
          <w:p w14:paraId="7E9930EB">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27(17.0%)</w:t>
            </w:r>
          </w:p>
        </w:tc>
        <w:tc>
          <w:tcPr>
            <w:tcW w:w="2561" w:type="dxa"/>
            <w:tcBorders>
              <w:top w:val="nil"/>
              <w:left w:val="nil"/>
              <w:bottom w:val="nil"/>
              <w:right w:val="nil"/>
            </w:tcBorders>
            <w:shd w:val="clear" w:color="auto" w:fill="FFFFFF"/>
            <w:vAlign w:val="center"/>
          </w:tcPr>
          <w:p w14:paraId="125729FA">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28(16.7%)</w:t>
            </w:r>
          </w:p>
        </w:tc>
        <w:tc>
          <w:tcPr>
            <w:tcW w:w="991" w:type="dxa"/>
            <w:tcBorders>
              <w:top w:val="nil"/>
              <w:left w:val="nil"/>
              <w:bottom w:val="nil"/>
              <w:right w:val="nil"/>
            </w:tcBorders>
            <w:shd w:val="clear" w:color="auto" w:fill="FFFFFF"/>
            <w:vAlign w:val="center"/>
          </w:tcPr>
          <w:p w14:paraId="3A518A6F">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1</w:t>
            </w:r>
          </w:p>
        </w:tc>
      </w:tr>
      <w:tr w14:paraId="571E9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0DB5EB40">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Heart failure,n (%)</w:t>
            </w:r>
          </w:p>
        </w:tc>
        <w:tc>
          <w:tcPr>
            <w:tcW w:w="2561" w:type="dxa"/>
            <w:tcBorders>
              <w:top w:val="nil"/>
              <w:left w:val="nil"/>
              <w:bottom w:val="nil"/>
              <w:right w:val="nil"/>
            </w:tcBorders>
            <w:shd w:val="clear" w:color="auto" w:fill="FFFFFF"/>
            <w:vAlign w:val="center"/>
          </w:tcPr>
          <w:p w14:paraId="60B9C66B">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39(24.5%)</w:t>
            </w:r>
          </w:p>
        </w:tc>
        <w:tc>
          <w:tcPr>
            <w:tcW w:w="2561" w:type="dxa"/>
            <w:tcBorders>
              <w:top w:val="nil"/>
              <w:left w:val="nil"/>
              <w:bottom w:val="nil"/>
              <w:right w:val="nil"/>
            </w:tcBorders>
            <w:shd w:val="clear" w:color="auto" w:fill="FFFFFF"/>
            <w:vAlign w:val="center"/>
          </w:tcPr>
          <w:p w14:paraId="5DDEF942">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57(33.9%)</w:t>
            </w:r>
          </w:p>
        </w:tc>
        <w:tc>
          <w:tcPr>
            <w:tcW w:w="991" w:type="dxa"/>
            <w:tcBorders>
              <w:top w:val="nil"/>
              <w:left w:val="nil"/>
              <w:bottom w:val="nil"/>
              <w:right w:val="nil"/>
            </w:tcBorders>
            <w:shd w:val="clear" w:color="auto" w:fill="FFFFFF"/>
            <w:vAlign w:val="center"/>
          </w:tcPr>
          <w:p w14:paraId="1C5CD391">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0.081</w:t>
            </w:r>
          </w:p>
        </w:tc>
      </w:tr>
      <w:tr w14:paraId="584EA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4E81CAA5">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Previous stroke,n (%)</w:t>
            </w:r>
          </w:p>
        </w:tc>
        <w:tc>
          <w:tcPr>
            <w:tcW w:w="2561" w:type="dxa"/>
            <w:tcBorders>
              <w:top w:val="nil"/>
              <w:left w:val="nil"/>
              <w:bottom w:val="nil"/>
              <w:right w:val="nil"/>
            </w:tcBorders>
            <w:shd w:val="clear" w:color="auto" w:fill="FFFFFF"/>
            <w:vAlign w:val="center"/>
          </w:tcPr>
          <w:p w14:paraId="41449132">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26(16.4%)</w:t>
            </w:r>
          </w:p>
        </w:tc>
        <w:tc>
          <w:tcPr>
            <w:tcW w:w="2561" w:type="dxa"/>
            <w:tcBorders>
              <w:top w:val="nil"/>
              <w:left w:val="nil"/>
              <w:bottom w:val="nil"/>
              <w:right w:val="nil"/>
            </w:tcBorders>
            <w:shd w:val="clear" w:color="auto" w:fill="FFFFFF"/>
            <w:vAlign w:val="center"/>
          </w:tcPr>
          <w:p w14:paraId="033D6D89">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26(15.5%)</w:t>
            </w:r>
          </w:p>
        </w:tc>
        <w:tc>
          <w:tcPr>
            <w:tcW w:w="991" w:type="dxa"/>
            <w:tcBorders>
              <w:top w:val="nil"/>
              <w:left w:val="nil"/>
              <w:bottom w:val="nil"/>
              <w:right w:val="nil"/>
            </w:tcBorders>
            <w:shd w:val="clear" w:color="auto" w:fill="FFFFFF"/>
            <w:vAlign w:val="center"/>
          </w:tcPr>
          <w:p w14:paraId="3AAA5BDE">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0.948</w:t>
            </w:r>
          </w:p>
        </w:tc>
      </w:tr>
      <w:tr w14:paraId="33EB1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6075D55B">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Cardiomyopathy,n (%)</w:t>
            </w:r>
          </w:p>
        </w:tc>
        <w:tc>
          <w:tcPr>
            <w:tcW w:w="2561" w:type="dxa"/>
            <w:tcBorders>
              <w:top w:val="nil"/>
              <w:left w:val="nil"/>
              <w:bottom w:val="nil"/>
              <w:right w:val="nil"/>
            </w:tcBorders>
            <w:shd w:val="clear" w:color="auto" w:fill="FFFFFF"/>
            <w:vAlign w:val="center"/>
          </w:tcPr>
          <w:p w14:paraId="5EA0E257">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1(0.6%)</w:t>
            </w:r>
          </w:p>
        </w:tc>
        <w:tc>
          <w:tcPr>
            <w:tcW w:w="2561" w:type="dxa"/>
            <w:tcBorders>
              <w:top w:val="nil"/>
              <w:left w:val="nil"/>
              <w:bottom w:val="nil"/>
              <w:right w:val="nil"/>
            </w:tcBorders>
            <w:shd w:val="clear" w:color="auto" w:fill="FFFFFF"/>
            <w:vAlign w:val="center"/>
          </w:tcPr>
          <w:p w14:paraId="1331FCCD">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3(1.8%)</w:t>
            </w:r>
          </w:p>
        </w:tc>
        <w:tc>
          <w:tcPr>
            <w:tcW w:w="991" w:type="dxa"/>
            <w:tcBorders>
              <w:top w:val="nil"/>
              <w:left w:val="nil"/>
              <w:bottom w:val="nil"/>
              <w:right w:val="nil"/>
            </w:tcBorders>
            <w:shd w:val="clear" w:color="auto" w:fill="FFFFFF"/>
            <w:vAlign w:val="center"/>
          </w:tcPr>
          <w:p w14:paraId="5837FD16">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0.623</w:t>
            </w:r>
          </w:p>
        </w:tc>
      </w:tr>
      <w:tr w14:paraId="78676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4EC28490">
            <w:pPr>
              <w:keepNext w:val="0"/>
              <w:keepLines w:val="0"/>
              <w:widowControl/>
              <w:suppressLineNumbers w:val="0"/>
              <w:jc w:val="center"/>
              <w:textAlignment w:val="center"/>
              <w:rPr>
                <w:rFonts w:hint="default" w:ascii="Times New Roman" w:hAnsi="Times New Roman" w:eastAsia="黑体" w:cs="Times New Roman"/>
                <w:b/>
                <w:bCs/>
                <w:i w:val="0"/>
                <w:iCs w:val="0"/>
                <w:color w:val="08090C"/>
                <w:sz w:val="24"/>
                <w:szCs w:val="24"/>
                <w:highlight w:val="none"/>
                <w:u w:val="none"/>
              </w:rPr>
            </w:pPr>
            <w:r>
              <w:rPr>
                <w:rFonts w:hint="default" w:ascii="Times New Roman" w:hAnsi="Times New Roman" w:eastAsia="黑体" w:cs="Times New Roman"/>
                <w:b/>
                <w:bCs/>
                <w:i w:val="0"/>
                <w:iCs w:val="0"/>
                <w:color w:val="08090C"/>
                <w:kern w:val="0"/>
                <w:sz w:val="24"/>
                <w:szCs w:val="24"/>
                <w:highlight w:val="none"/>
                <w:u w:val="none"/>
                <w:lang w:val="en-US" w:eastAsia="zh-CN" w:bidi="ar"/>
              </w:rPr>
              <w:t>Other medical history</w:t>
            </w:r>
          </w:p>
        </w:tc>
        <w:tc>
          <w:tcPr>
            <w:tcW w:w="2561" w:type="dxa"/>
            <w:tcBorders>
              <w:top w:val="nil"/>
              <w:left w:val="nil"/>
              <w:bottom w:val="nil"/>
              <w:right w:val="nil"/>
            </w:tcBorders>
            <w:shd w:val="clear" w:color="auto" w:fill="FFFFFF"/>
            <w:vAlign w:val="center"/>
          </w:tcPr>
          <w:p w14:paraId="40154267">
            <w:pPr>
              <w:jc w:val="center"/>
              <w:rPr>
                <w:rFonts w:hint="default" w:ascii="Times New Roman" w:hAnsi="Times New Roman" w:eastAsia="黑体" w:cs="Times New Roman"/>
                <w:i w:val="0"/>
                <w:iCs w:val="0"/>
                <w:color w:val="08090C"/>
                <w:sz w:val="24"/>
                <w:szCs w:val="24"/>
                <w:highlight w:val="none"/>
                <w:u w:val="none"/>
              </w:rPr>
            </w:pPr>
          </w:p>
        </w:tc>
        <w:tc>
          <w:tcPr>
            <w:tcW w:w="2561" w:type="dxa"/>
            <w:tcBorders>
              <w:top w:val="nil"/>
              <w:left w:val="nil"/>
              <w:bottom w:val="nil"/>
              <w:right w:val="nil"/>
            </w:tcBorders>
            <w:shd w:val="clear" w:color="auto" w:fill="FFFFFF"/>
            <w:vAlign w:val="center"/>
          </w:tcPr>
          <w:p w14:paraId="4F8EDEF9">
            <w:pPr>
              <w:jc w:val="center"/>
              <w:rPr>
                <w:rFonts w:hint="default" w:ascii="Times New Roman" w:hAnsi="Times New Roman" w:eastAsia="黑体" w:cs="Times New Roman"/>
                <w:i w:val="0"/>
                <w:iCs w:val="0"/>
                <w:color w:val="08090C"/>
                <w:sz w:val="24"/>
                <w:szCs w:val="24"/>
                <w:highlight w:val="none"/>
                <w:u w:val="none"/>
              </w:rPr>
            </w:pPr>
          </w:p>
        </w:tc>
        <w:tc>
          <w:tcPr>
            <w:tcW w:w="991" w:type="dxa"/>
            <w:tcBorders>
              <w:top w:val="nil"/>
              <w:left w:val="nil"/>
              <w:bottom w:val="nil"/>
              <w:right w:val="nil"/>
            </w:tcBorders>
            <w:shd w:val="clear" w:color="auto" w:fill="FFFFFF"/>
            <w:vAlign w:val="center"/>
          </w:tcPr>
          <w:p w14:paraId="16A41BEF">
            <w:pPr>
              <w:jc w:val="center"/>
              <w:rPr>
                <w:rFonts w:hint="default" w:ascii="Times New Roman" w:hAnsi="Times New Roman" w:eastAsia="黑体" w:cs="Times New Roman"/>
                <w:i w:val="0"/>
                <w:iCs w:val="0"/>
                <w:color w:val="000000"/>
                <w:sz w:val="24"/>
                <w:szCs w:val="24"/>
                <w:highlight w:val="none"/>
                <w:u w:val="none"/>
              </w:rPr>
            </w:pPr>
          </w:p>
        </w:tc>
      </w:tr>
      <w:tr w14:paraId="1336A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375D3B88">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COPD,n (%)</w:t>
            </w:r>
          </w:p>
        </w:tc>
        <w:tc>
          <w:tcPr>
            <w:tcW w:w="2561" w:type="dxa"/>
            <w:tcBorders>
              <w:top w:val="nil"/>
              <w:left w:val="nil"/>
              <w:bottom w:val="nil"/>
              <w:right w:val="nil"/>
            </w:tcBorders>
            <w:shd w:val="clear" w:color="auto" w:fill="FFFFFF"/>
            <w:vAlign w:val="center"/>
          </w:tcPr>
          <w:p w14:paraId="10916EE0">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11(6.9%)</w:t>
            </w:r>
          </w:p>
        </w:tc>
        <w:tc>
          <w:tcPr>
            <w:tcW w:w="2561" w:type="dxa"/>
            <w:tcBorders>
              <w:top w:val="nil"/>
              <w:left w:val="nil"/>
              <w:bottom w:val="nil"/>
              <w:right w:val="nil"/>
            </w:tcBorders>
            <w:shd w:val="clear" w:color="auto" w:fill="FFFFFF"/>
            <w:vAlign w:val="center"/>
          </w:tcPr>
          <w:p w14:paraId="255852AF">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14(8.3%)</w:t>
            </w:r>
          </w:p>
        </w:tc>
        <w:tc>
          <w:tcPr>
            <w:tcW w:w="991" w:type="dxa"/>
            <w:tcBorders>
              <w:top w:val="nil"/>
              <w:left w:val="nil"/>
              <w:bottom w:val="nil"/>
              <w:right w:val="nil"/>
            </w:tcBorders>
            <w:shd w:val="clear" w:color="auto" w:fill="FFFFFF"/>
            <w:vAlign w:val="center"/>
          </w:tcPr>
          <w:p w14:paraId="5375D5F3">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0.785</w:t>
            </w:r>
          </w:p>
        </w:tc>
      </w:tr>
      <w:tr w14:paraId="706B5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4936B2ED">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Diabetes,n (%)</w:t>
            </w:r>
          </w:p>
        </w:tc>
        <w:tc>
          <w:tcPr>
            <w:tcW w:w="2561" w:type="dxa"/>
            <w:tcBorders>
              <w:top w:val="nil"/>
              <w:left w:val="nil"/>
              <w:bottom w:val="nil"/>
              <w:right w:val="nil"/>
            </w:tcBorders>
            <w:shd w:val="clear" w:color="auto" w:fill="FFFFFF"/>
            <w:vAlign w:val="center"/>
          </w:tcPr>
          <w:p w14:paraId="3E29659F">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24(15.1%)</w:t>
            </w:r>
          </w:p>
        </w:tc>
        <w:tc>
          <w:tcPr>
            <w:tcW w:w="2561" w:type="dxa"/>
            <w:tcBorders>
              <w:top w:val="nil"/>
              <w:left w:val="nil"/>
              <w:bottom w:val="nil"/>
              <w:right w:val="nil"/>
            </w:tcBorders>
            <w:shd w:val="clear" w:color="auto" w:fill="FFFFFF"/>
            <w:vAlign w:val="center"/>
          </w:tcPr>
          <w:p w14:paraId="7A8A2C94">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32(19.0%)</w:t>
            </w:r>
          </w:p>
        </w:tc>
        <w:tc>
          <w:tcPr>
            <w:tcW w:w="991" w:type="dxa"/>
            <w:tcBorders>
              <w:top w:val="nil"/>
              <w:left w:val="nil"/>
              <w:bottom w:val="nil"/>
              <w:right w:val="nil"/>
            </w:tcBorders>
            <w:shd w:val="clear" w:color="auto" w:fill="FFFFFF"/>
            <w:vAlign w:val="center"/>
          </w:tcPr>
          <w:p w14:paraId="3FE19E69">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0.423</w:t>
            </w:r>
          </w:p>
        </w:tc>
      </w:tr>
      <w:tr w14:paraId="7DEDA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2782EE98">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Fatty liver,n (%)</w:t>
            </w:r>
          </w:p>
        </w:tc>
        <w:tc>
          <w:tcPr>
            <w:tcW w:w="2561" w:type="dxa"/>
            <w:tcBorders>
              <w:top w:val="nil"/>
              <w:left w:val="nil"/>
              <w:bottom w:val="nil"/>
              <w:right w:val="nil"/>
            </w:tcBorders>
            <w:shd w:val="clear" w:color="auto" w:fill="FFFFFF"/>
            <w:vAlign w:val="center"/>
          </w:tcPr>
          <w:p w14:paraId="659CAB76">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48(30.2%)</w:t>
            </w:r>
          </w:p>
        </w:tc>
        <w:tc>
          <w:tcPr>
            <w:tcW w:w="2561" w:type="dxa"/>
            <w:tcBorders>
              <w:top w:val="nil"/>
              <w:left w:val="nil"/>
              <w:bottom w:val="nil"/>
              <w:right w:val="nil"/>
            </w:tcBorders>
            <w:shd w:val="clear" w:color="auto" w:fill="FFFFFF"/>
            <w:vAlign w:val="center"/>
          </w:tcPr>
          <w:p w14:paraId="19E8C4F3">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42(25.0%)</w:t>
            </w:r>
          </w:p>
        </w:tc>
        <w:tc>
          <w:tcPr>
            <w:tcW w:w="991" w:type="dxa"/>
            <w:tcBorders>
              <w:top w:val="nil"/>
              <w:left w:val="nil"/>
              <w:bottom w:val="nil"/>
              <w:right w:val="nil"/>
            </w:tcBorders>
            <w:shd w:val="clear" w:color="auto" w:fill="FFFFFF"/>
            <w:vAlign w:val="center"/>
          </w:tcPr>
          <w:p w14:paraId="1C85201A">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0.354</w:t>
            </w:r>
          </w:p>
        </w:tc>
      </w:tr>
      <w:tr w14:paraId="2266B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25639A04">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Renal disease,n (%)</w:t>
            </w:r>
          </w:p>
        </w:tc>
        <w:tc>
          <w:tcPr>
            <w:tcW w:w="2561" w:type="dxa"/>
            <w:tcBorders>
              <w:top w:val="nil"/>
              <w:left w:val="nil"/>
              <w:bottom w:val="nil"/>
              <w:right w:val="nil"/>
            </w:tcBorders>
            <w:shd w:val="clear" w:color="auto" w:fill="FFFFFF"/>
            <w:vAlign w:val="center"/>
          </w:tcPr>
          <w:p w14:paraId="45BCC0AE">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10(6.3%)</w:t>
            </w:r>
          </w:p>
        </w:tc>
        <w:tc>
          <w:tcPr>
            <w:tcW w:w="2561" w:type="dxa"/>
            <w:tcBorders>
              <w:top w:val="nil"/>
              <w:left w:val="nil"/>
              <w:bottom w:val="nil"/>
              <w:right w:val="nil"/>
            </w:tcBorders>
            <w:shd w:val="clear" w:color="auto" w:fill="FFFFFF"/>
            <w:vAlign w:val="center"/>
          </w:tcPr>
          <w:p w14:paraId="74A9DF4B">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6(3.6%)</w:t>
            </w:r>
          </w:p>
        </w:tc>
        <w:tc>
          <w:tcPr>
            <w:tcW w:w="991" w:type="dxa"/>
            <w:tcBorders>
              <w:top w:val="nil"/>
              <w:left w:val="nil"/>
              <w:bottom w:val="nil"/>
              <w:right w:val="nil"/>
            </w:tcBorders>
            <w:shd w:val="clear" w:color="auto" w:fill="FFFFFF"/>
            <w:vAlign w:val="center"/>
          </w:tcPr>
          <w:p w14:paraId="7F226022">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0.378</w:t>
            </w:r>
          </w:p>
        </w:tc>
      </w:tr>
      <w:tr w14:paraId="22B63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54BE4103">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Hyperthyroidism,n (%)</w:t>
            </w:r>
          </w:p>
        </w:tc>
        <w:tc>
          <w:tcPr>
            <w:tcW w:w="2561" w:type="dxa"/>
            <w:tcBorders>
              <w:top w:val="nil"/>
              <w:left w:val="nil"/>
              <w:bottom w:val="nil"/>
              <w:right w:val="nil"/>
            </w:tcBorders>
            <w:shd w:val="clear" w:color="auto" w:fill="FFFFFF"/>
            <w:vAlign w:val="center"/>
          </w:tcPr>
          <w:p w14:paraId="06F33A12">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1(0.6%)</w:t>
            </w:r>
          </w:p>
        </w:tc>
        <w:tc>
          <w:tcPr>
            <w:tcW w:w="2561" w:type="dxa"/>
            <w:tcBorders>
              <w:top w:val="nil"/>
              <w:left w:val="nil"/>
              <w:bottom w:val="nil"/>
              <w:right w:val="nil"/>
            </w:tcBorders>
            <w:shd w:val="clear" w:color="auto" w:fill="FFFFFF"/>
            <w:vAlign w:val="center"/>
          </w:tcPr>
          <w:p w14:paraId="323A0041">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2(1.2%)</w:t>
            </w:r>
          </w:p>
        </w:tc>
        <w:tc>
          <w:tcPr>
            <w:tcW w:w="991" w:type="dxa"/>
            <w:tcBorders>
              <w:top w:val="nil"/>
              <w:left w:val="nil"/>
              <w:bottom w:val="nil"/>
              <w:right w:val="nil"/>
            </w:tcBorders>
            <w:shd w:val="clear" w:color="auto" w:fill="FFFFFF"/>
            <w:vAlign w:val="center"/>
          </w:tcPr>
          <w:p w14:paraId="1E5802C0">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1</w:t>
            </w:r>
          </w:p>
        </w:tc>
      </w:tr>
      <w:tr w14:paraId="6DC51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1CE62385">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Hyperlipidemia,n (%)</w:t>
            </w:r>
          </w:p>
        </w:tc>
        <w:tc>
          <w:tcPr>
            <w:tcW w:w="2561" w:type="dxa"/>
            <w:tcBorders>
              <w:top w:val="nil"/>
              <w:left w:val="nil"/>
              <w:bottom w:val="nil"/>
              <w:right w:val="nil"/>
            </w:tcBorders>
            <w:shd w:val="clear" w:color="auto" w:fill="FFFFFF"/>
            <w:vAlign w:val="center"/>
          </w:tcPr>
          <w:p w14:paraId="3200B082">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20(12.6%)</w:t>
            </w:r>
          </w:p>
        </w:tc>
        <w:tc>
          <w:tcPr>
            <w:tcW w:w="2561" w:type="dxa"/>
            <w:tcBorders>
              <w:top w:val="nil"/>
              <w:left w:val="nil"/>
              <w:bottom w:val="nil"/>
              <w:right w:val="nil"/>
            </w:tcBorders>
            <w:shd w:val="clear" w:color="auto" w:fill="FFFFFF"/>
            <w:vAlign w:val="center"/>
          </w:tcPr>
          <w:p w14:paraId="48B44CB4">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22(13.1%)</w:t>
            </w:r>
          </w:p>
        </w:tc>
        <w:tc>
          <w:tcPr>
            <w:tcW w:w="991" w:type="dxa"/>
            <w:tcBorders>
              <w:top w:val="nil"/>
              <w:left w:val="nil"/>
              <w:bottom w:val="nil"/>
              <w:right w:val="nil"/>
            </w:tcBorders>
            <w:shd w:val="clear" w:color="auto" w:fill="FFFFFF"/>
            <w:vAlign w:val="center"/>
          </w:tcPr>
          <w:p w14:paraId="2070DD54">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1</w:t>
            </w:r>
          </w:p>
        </w:tc>
      </w:tr>
      <w:tr w14:paraId="7F955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05A0351A">
            <w:pPr>
              <w:keepNext w:val="0"/>
              <w:keepLines w:val="0"/>
              <w:widowControl/>
              <w:suppressLineNumbers w:val="0"/>
              <w:jc w:val="center"/>
              <w:textAlignment w:val="center"/>
              <w:rPr>
                <w:rFonts w:hint="default" w:ascii="Times New Roman" w:hAnsi="Times New Roman" w:eastAsia="黑体" w:cs="Times New Roman"/>
                <w:b/>
                <w:bCs/>
                <w:i w:val="0"/>
                <w:iCs w:val="0"/>
                <w:color w:val="08090C"/>
                <w:sz w:val="24"/>
                <w:szCs w:val="24"/>
                <w:highlight w:val="none"/>
                <w:u w:val="none"/>
              </w:rPr>
            </w:pPr>
            <w:r>
              <w:rPr>
                <w:rFonts w:hint="default" w:ascii="Times New Roman" w:hAnsi="Times New Roman" w:eastAsia="黑体" w:cs="Times New Roman"/>
                <w:b/>
                <w:bCs/>
                <w:i w:val="0"/>
                <w:iCs w:val="0"/>
                <w:color w:val="08090C"/>
                <w:kern w:val="0"/>
                <w:sz w:val="24"/>
                <w:szCs w:val="24"/>
                <w:highlight w:val="none"/>
                <w:u w:val="none"/>
                <w:lang w:val="en-US" w:eastAsia="zh-CN" w:bidi="ar"/>
              </w:rPr>
              <w:t>Medications</w:t>
            </w:r>
          </w:p>
        </w:tc>
        <w:tc>
          <w:tcPr>
            <w:tcW w:w="2561" w:type="dxa"/>
            <w:tcBorders>
              <w:top w:val="nil"/>
              <w:left w:val="nil"/>
              <w:bottom w:val="nil"/>
              <w:right w:val="nil"/>
            </w:tcBorders>
            <w:shd w:val="clear" w:color="auto" w:fill="FFFFFF"/>
            <w:vAlign w:val="center"/>
          </w:tcPr>
          <w:p w14:paraId="02F73C12">
            <w:pPr>
              <w:jc w:val="center"/>
              <w:rPr>
                <w:rFonts w:hint="default" w:ascii="Times New Roman" w:hAnsi="Times New Roman" w:eastAsia="黑体" w:cs="Times New Roman"/>
                <w:i w:val="0"/>
                <w:iCs w:val="0"/>
                <w:color w:val="08090C"/>
                <w:sz w:val="24"/>
                <w:szCs w:val="24"/>
                <w:highlight w:val="none"/>
                <w:u w:val="none"/>
              </w:rPr>
            </w:pPr>
          </w:p>
        </w:tc>
        <w:tc>
          <w:tcPr>
            <w:tcW w:w="2561" w:type="dxa"/>
            <w:tcBorders>
              <w:top w:val="nil"/>
              <w:left w:val="nil"/>
              <w:bottom w:val="nil"/>
              <w:right w:val="nil"/>
            </w:tcBorders>
            <w:shd w:val="clear" w:color="auto" w:fill="FFFFFF"/>
            <w:vAlign w:val="center"/>
          </w:tcPr>
          <w:p w14:paraId="3A320CFC">
            <w:pPr>
              <w:jc w:val="center"/>
              <w:rPr>
                <w:rFonts w:hint="default" w:ascii="Times New Roman" w:hAnsi="Times New Roman" w:eastAsia="黑体" w:cs="Times New Roman"/>
                <w:i w:val="0"/>
                <w:iCs w:val="0"/>
                <w:color w:val="08090C"/>
                <w:sz w:val="24"/>
                <w:szCs w:val="24"/>
                <w:highlight w:val="none"/>
                <w:u w:val="none"/>
              </w:rPr>
            </w:pPr>
          </w:p>
        </w:tc>
        <w:tc>
          <w:tcPr>
            <w:tcW w:w="991" w:type="dxa"/>
            <w:tcBorders>
              <w:top w:val="nil"/>
              <w:left w:val="nil"/>
              <w:bottom w:val="nil"/>
              <w:right w:val="nil"/>
            </w:tcBorders>
            <w:shd w:val="clear" w:color="auto" w:fill="FFFFFF"/>
            <w:vAlign w:val="center"/>
          </w:tcPr>
          <w:p w14:paraId="0D5D0C34">
            <w:pPr>
              <w:jc w:val="center"/>
              <w:rPr>
                <w:rFonts w:hint="default" w:ascii="Times New Roman" w:hAnsi="Times New Roman" w:eastAsia="黑体" w:cs="Times New Roman"/>
                <w:i w:val="0"/>
                <w:iCs w:val="0"/>
                <w:color w:val="000000"/>
                <w:sz w:val="24"/>
                <w:szCs w:val="24"/>
                <w:highlight w:val="none"/>
                <w:u w:val="none"/>
              </w:rPr>
            </w:pPr>
          </w:p>
        </w:tc>
      </w:tr>
      <w:tr w14:paraId="69C72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26990E09">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Statins,n (%)</w:t>
            </w:r>
          </w:p>
        </w:tc>
        <w:tc>
          <w:tcPr>
            <w:tcW w:w="2561" w:type="dxa"/>
            <w:tcBorders>
              <w:top w:val="nil"/>
              <w:left w:val="nil"/>
              <w:bottom w:val="nil"/>
              <w:right w:val="nil"/>
            </w:tcBorders>
            <w:shd w:val="clear" w:color="auto" w:fill="FFFFFF"/>
            <w:vAlign w:val="center"/>
          </w:tcPr>
          <w:p w14:paraId="2BB6C2BC">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55(34.6%)</w:t>
            </w:r>
          </w:p>
        </w:tc>
        <w:tc>
          <w:tcPr>
            <w:tcW w:w="2561" w:type="dxa"/>
            <w:tcBorders>
              <w:top w:val="nil"/>
              <w:left w:val="nil"/>
              <w:bottom w:val="nil"/>
              <w:right w:val="nil"/>
            </w:tcBorders>
            <w:shd w:val="clear" w:color="auto" w:fill="FFFFFF"/>
            <w:vAlign w:val="center"/>
          </w:tcPr>
          <w:p w14:paraId="5BBA7BF6">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66(39.3%)</w:t>
            </w:r>
          </w:p>
        </w:tc>
        <w:tc>
          <w:tcPr>
            <w:tcW w:w="991" w:type="dxa"/>
            <w:tcBorders>
              <w:top w:val="nil"/>
              <w:left w:val="nil"/>
              <w:bottom w:val="nil"/>
              <w:right w:val="nil"/>
            </w:tcBorders>
            <w:shd w:val="clear" w:color="auto" w:fill="FFFFFF"/>
            <w:vAlign w:val="center"/>
          </w:tcPr>
          <w:p w14:paraId="17358111">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0.445</w:t>
            </w:r>
          </w:p>
        </w:tc>
      </w:tr>
      <w:tr w14:paraId="372B2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183D3510">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Antiplatelet,n (%)</w:t>
            </w:r>
          </w:p>
        </w:tc>
        <w:tc>
          <w:tcPr>
            <w:tcW w:w="2561" w:type="dxa"/>
            <w:tcBorders>
              <w:top w:val="nil"/>
              <w:left w:val="nil"/>
              <w:bottom w:val="nil"/>
              <w:right w:val="nil"/>
            </w:tcBorders>
            <w:shd w:val="clear" w:color="auto" w:fill="FFFFFF"/>
            <w:vAlign w:val="center"/>
          </w:tcPr>
          <w:p w14:paraId="0B499ACF">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15(9.4%)</w:t>
            </w:r>
          </w:p>
        </w:tc>
        <w:tc>
          <w:tcPr>
            <w:tcW w:w="2561" w:type="dxa"/>
            <w:tcBorders>
              <w:top w:val="nil"/>
              <w:left w:val="nil"/>
              <w:bottom w:val="nil"/>
              <w:right w:val="nil"/>
            </w:tcBorders>
            <w:shd w:val="clear" w:color="auto" w:fill="FFFFFF"/>
            <w:vAlign w:val="center"/>
          </w:tcPr>
          <w:p w14:paraId="3FE74CCE">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9(5.4%)</w:t>
            </w:r>
          </w:p>
        </w:tc>
        <w:tc>
          <w:tcPr>
            <w:tcW w:w="991" w:type="dxa"/>
            <w:tcBorders>
              <w:top w:val="nil"/>
              <w:left w:val="nil"/>
              <w:bottom w:val="nil"/>
              <w:right w:val="nil"/>
            </w:tcBorders>
            <w:shd w:val="clear" w:color="auto" w:fill="FFFFFF"/>
            <w:vAlign w:val="center"/>
          </w:tcPr>
          <w:p w14:paraId="2747F1D4">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0.23</w:t>
            </w:r>
          </w:p>
        </w:tc>
      </w:tr>
      <w:tr w14:paraId="382B4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55666681">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Diuretic,n (%)</w:t>
            </w:r>
          </w:p>
        </w:tc>
        <w:tc>
          <w:tcPr>
            <w:tcW w:w="2561" w:type="dxa"/>
            <w:tcBorders>
              <w:top w:val="nil"/>
              <w:left w:val="nil"/>
              <w:bottom w:val="nil"/>
              <w:right w:val="nil"/>
            </w:tcBorders>
            <w:shd w:val="clear" w:color="auto" w:fill="FFFFFF"/>
            <w:vAlign w:val="center"/>
          </w:tcPr>
          <w:p w14:paraId="3AF02C62">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53(33.3%)</w:t>
            </w:r>
          </w:p>
        </w:tc>
        <w:tc>
          <w:tcPr>
            <w:tcW w:w="2561" w:type="dxa"/>
            <w:tcBorders>
              <w:top w:val="nil"/>
              <w:left w:val="nil"/>
              <w:bottom w:val="nil"/>
              <w:right w:val="nil"/>
            </w:tcBorders>
            <w:shd w:val="clear" w:color="auto" w:fill="FFFFFF"/>
            <w:vAlign w:val="center"/>
          </w:tcPr>
          <w:p w14:paraId="19CF50C3">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lang w:val="en-US"/>
              </w:rPr>
            </w:pPr>
            <w:r>
              <w:rPr>
                <w:rFonts w:hint="default" w:ascii="Times New Roman" w:hAnsi="Times New Roman" w:eastAsia="黑体" w:cs="Times New Roman"/>
                <w:i w:val="0"/>
                <w:iCs w:val="0"/>
                <w:color w:val="08090C"/>
                <w:kern w:val="0"/>
                <w:sz w:val="24"/>
                <w:szCs w:val="24"/>
                <w:highlight w:val="none"/>
                <w:u w:val="none"/>
                <w:lang w:val="en-US" w:eastAsia="zh-CN" w:bidi="ar"/>
              </w:rPr>
              <w:t>67(39.9%)</w:t>
            </w:r>
          </w:p>
        </w:tc>
        <w:tc>
          <w:tcPr>
            <w:tcW w:w="991" w:type="dxa"/>
            <w:tcBorders>
              <w:top w:val="nil"/>
              <w:left w:val="nil"/>
              <w:bottom w:val="nil"/>
              <w:right w:val="nil"/>
            </w:tcBorders>
            <w:shd w:val="clear" w:color="auto" w:fill="FFFFFF"/>
            <w:vAlign w:val="center"/>
          </w:tcPr>
          <w:p w14:paraId="69CF6738">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0.309</w:t>
            </w:r>
          </w:p>
        </w:tc>
      </w:tr>
      <w:tr w14:paraId="031AA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063564BF">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Anticoagulant,n (%)</w:t>
            </w:r>
          </w:p>
        </w:tc>
        <w:tc>
          <w:tcPr>
            <w:tcW w:w="2561" w:type="dxa"/>
            <w:tcBorders>
              <w:top w:val="nil"/>
              <w:left w:val="nil"/>
              <w:bottom w:val="nil"/>
              <w:right w:val="nil"/>
            </w:tcBorders>
            <w:shd w:val="clear" w:color="auto" w:fill="FFFFFF"/>
            <w:vAlign w:val="center"/>
          </w:tcPr>
          <w:p w14:paraId="12565728">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159(100.0%)</w:t>
            </w:r>
          </w:p>
        </w:tc>
        <w:tc>
          <w:tcPr>
            <w:tcW w:w="2561" w:type="dxa"/>
            <w:tcBorders>
              <w:top w:val="nil"/>
              <w:left w:val="nil"/>
              <w:bottom w:val="nil"/>
              <w:right w:val="nil"/>
            </w:tcBorders>
            <w:shd w:val="clear" w:color="auto" w:fill="FFFFFF"/>
            <w:vAlign w:val="center"/>
          </w:tcPr>
          <w:p w14:paraId="58F56BED">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167(99.4%)</w:t>
            </w:r>
          </w:p>
        </w:tc>
        <w:tc>
          <w:tcPr>
            <w:tcW w:w="991" w:type="dxa"/>
            <w:tcBorders>
              <w:top w:val="nil"/>
              <w:left w:val="nil"/>
              <w:bottom w:val="nil"/>
              <w:right w:val="nil"/>
            </w:tcBorders>
            <w:shd w:val="clear" w:color="auto" w:fill="FFFFFF"/>
            <w:vAlign w:val="center"/>
          </w:tcPr>
          <w:p w14:paraId="62BB6222">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1</w:t>
            </w:r>
          </w:p>
        </w:tc>
      </w:tr>
      <w:tr w14:paraId="537D0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7131409C">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β-Blocker,n (%)</w:t>
            </w:r>
          </w:p>
        </w:tc>
        <w:tc>
          <w:tcPr>
            <w:tcW w:w="2561" w:type="dxa"/>
            <w:tcBorders>
              <w:top w:val="nil"/>
              <w:left w:val="nil"/>
              <w:bottom w:val="nil"/>
              <w:right w:val="nil"/>
            </w:tcBorders>
            <w:shd w:val="clear" w:color="auto" w:fill="FFFFFF"/>
            <w:vAlign w:val="center"/>
          </w:tcPr>
          <w:p w14:paraId="4781860E">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102(64.2%)</w:t>
            </w:r>
          </w:p>
        </w:tc>
        <w:tc>
          <w:tcPr>
            <w:tcW w:w="2561" w:type="dxa"/>
            <w:tcBorders>
              <w:top w:val="nil"/>
              <w:left w:val="nil"/>
              <w:bottom w:val="nil"/>
              <w:right w:val="nil"/>
            </w:tcBorders>
            <w:shd w:val="clear" w:color="auto" w:fill="FFFFFF"/>
            <w:vAlign w:val="center"/>
          </w:tcPr>
          <w:p w14:paraId="3AB0BD60">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107(63.7%)</w:t>
            </w:r>
          </w:p>
        </w:tc>
        <w:tc>
          <w:tcPr>
            <w:tcW w:w="991" w:type="dxa"/>
            <w:tcBorders>
              <w:top w:val="nil"/>
              <w:left w:val="nil"/>
              <w:bottom w:val="nil"/>
              <w:right w:val="nil"/>
            </w:tcBorders>
            <w:shd w:val="clear" w:color="auto" w:fill="FFFFFF"/>
            <w:vAlign w:val="center"/>
          </w:tcPr>
          <w:p w14:paraId="348C1216">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1</w:t>
            </w:r>
          </w:p>
        </w:tc>
      </w:tr>
      <w:tr w14:paraId="7A7C3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nil"/>
              <w:right w:val="nil"/>
            </w:tcBorders>
            <w:shd w:val="clear" w:color="auto" w:fill="FFFFFF"/>
            <w:vAlign w:val="center"/>
          </w:tcPr>
          <w:p w14:paraId="5BED58E2">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lang w:val="en-US"/>
              </w:rPr>
            </w:pPr>
            <w:r>
              <w:rPr>
                <w:rFonts w:hint="default" w:ascii="Times New Roman" w:hAnsi="Times New Roman" w:eastAsia="黑体" w:cs="Times New Roman"/>
                <w:i w:val="0"/>
                <w:iCs w:val="0"/>
                <w:color w:val="08090C"/>
                <w:kern w:val="0"/>
                <w:sz w:val="24"/>
                <w:szCs w:val="24"/>
                <w:highlight w:val="none"/>
                <w:u w:val="none"/>
                <w:lang w:val="en-US" w:eastAsia="zh-CN" w:bidi="ar"/>
              </w:rPr>
              <w:t>ACEI or ARB, n (%)</w:t>
            </w:r>
          </w:p>
        </w:tc>
        <w:tc>
          <w:tcPr>
            <w:tcW w:w="2561" w:type="dxa"/>
            <w:tcBorders>
              <w:top w:val="nil"/>
              <w:left w:val="nil"/>
              <w:bottom w:val="nil"/>
              <w:right w:val="nil"/>
            </w:tcBorders>
            <w:shd w:val="clear" w:color="auto" w:fill="FFFFFF"/>
            <w:vAlign w:val="center"/>
          </w:tcPr>
          <w:p w14:paraId="152A58A2">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76(47.9%)</w:t>
            </w:r>
          </w:p>
        </w:tc>
        <w:tc>
          <w:tcPr>
            <w:tcW w:w="2561" w:type="dxa"/>
            <w:tcBorders>
              <w:top w:val="nil"/>
              <w:left w:val="nil"/>
              <w:bottom w:val="nil"/>
              <w:right w:val="nil"/>
            </w:tcBorders>
            <w:shd w:val="clear" w:color="auto" w:fill="FFFFFF"/>
            <w:vAlign w:val="center"/>
          </w:tcPr>
          <w:p w14:paraId="14B7469D">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88(52.4%)</w:t>
            </w:r>
          </w:p>
        </w:tc>
        <w:tc>
          <w:tcPr>
            <w:tcW w:w="991" w:type="dxa"/>
            <w:tcBorders>
              <w:top w:val="nil"/>
              <w:left w:val="nil"/>
              <w:bottom w:val="nil"/>
              <w:right w:val="nil"/>
            </w:tcBorders>
            <w:shd w:val="clear" w:color="auto" w:fill="FFFFFF"/>
            <w:vAlign w:val="center"/>
          </w:tcPr>
          <w:p w14:paraId="42464D0F">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0.671</w:t>
            </w:r>
          </w:p>
        </w:tc>
      </w:tr>
      <w:tr w14:paraId="120AE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3421" w:type="dxa"/>
            <w:tcBorders>
              <w:top w:val="nil"/>
              <w:left w:val="nil"/>
              <w:bottom w:val="single" w:color="000000" w:sz="12" w:space="0"/>
              <w:right w:val="nil"/>
            </w:tcBorders>
            <w:shd w:val="clear" w:color="auto" w:fill="FFFFFF"/>
            <w:vAlign w:val="center"/>
          </w:tcPr>
          <w:p w14:paraId="5371E3B7">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CCBs,n (%)</w:t>
            </w:r>
          </w:p>
        </w:tc>
        <w:tc>
          <w:tcPr>
            <w:tcW w:w="2561" w:type="dxa"/>
            <w:tcBorders>
              <w:top w:val="nil"/>
              <w:left w:val="nil"/>
              <w:bottom w:val="single" w:color="000000" w:sz="12" w:space="0"/>
              <w:right w:val="nil"/>
            </w:tcBorders>
            <w:shd w:val="clear" w:color="auto" w:fill="FFFFFF"/>
            <w:vAlign w:val="center"/>
          </w:tcPr>
          <w:p w14:paraId="4DDF6F05">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65(40.9%)</w:t>
            </w:r>
          </w:p>
        </w:tc>
        <w:tc>
          <w:tcPr>
            <w:tcW w:w="2561" w:type="dxa"/>
            <w:tcBorders>
              <w:top w:val="nil"/>
              <w:left w:val="nil"/>
              <w:bottom w:val="single" w:color="000000" w:sz="12" w:space="0"/>
              <w:right w:val="nil"/>
            </w:tcBorders>
            <w:shd w:val="clear" w:color="auto" w:fill="FFFFFF"/>
            <w:vAlign w:val="center"/>
          </w:tcPr>
          <w:p w14:paraId="6D17F885">
            <w:pPr>
              <w:keepNext w:val="0"/>
              <w:keepLines w:val="0"/>
              <w:widowControl/>
              <w:suppressLineNumbers w:val="0"/>
              <w:jc w:val="center"/>
              <w:textAlignment w:val="center"/>
              <w:rPr>
                <w:rFonts w:hint="default" w:ascii="Times New Roman" w:hAnsi="Times New Roman" w:eastAsia="黑体" w:cs="Times New Roman"/>
                <w:i w:val="0"/>
                <w:iCs w:val="0"/>
                <w:color w:val="08090C"/>
                <w:sz w:val="24"/>
                <w:szCs w:val="24"/>
                <w:highlight w:val="none"/>
                <w:u w:val="none"/>
              </w:rPr>
            </w:pPr>
            <w:r>
              <w:rPr>
                <w:rFonts w:hint="default" w:ascii="Times New Roman" w:hAnsi="Times New Roman" w:eastAsia="黑体" w:cs="Times New Roman"/>
                <w:i w:val="0"/>
                <w:iCs w:val="0"/>
                <w:color w:val="08090C"/>
                <w:kern w:val="0"/>
                <w:sz w:val="24"/>
                <w:szCs w:val="24"/>
                <w:highlight w:val="none"/>
                <w:u w:val="none"/>
                <w:lang w:val="en-US" w:eastAsia="zh-CN" w:bidi="ar"/>
              </w:rPr>
              <w:t>79(47.0%)</w:t>
            </w:r>
          </w:p>
        </w:tc>
        <w:tc>
          <w:tcPr>
            <w:tcW w:w="991" w:type="dxa"/>
            <w:tcBorders>
              <w:top w:val="nil"/>
              <w:left w:val="nil"/>
              <w:bottom w:val="single" w:color="000000" w:sz="12" w:space="0"/>
              <w:right w:val="nil"/>
            </w:tcBorders>
            <w:shd w:val="clear" w:color="auto" w:fill="FFFFFF"/>
            <w:vAlign w:val="center"/>
          </w:tcPr>
          <w:p w14:paraId="3F27EF4D">
            <w:pPr>
              <w:keepNext w:val="0"/>
              <w:keepLines w:val="0"/>
              <w:widowControl/>
              <w:suppressLineNumbers w:val="0"/>
              <w:jc w:val="center"/>
              <w:textAlignment w:val="center"/>
              <w:rPr>
                <w:rFonts w:hint="default" w:ascii="Times New Roman" w:hAnsi="Times New Roman" w:eastAsia="黑体" w:cs="Times New Roman"/>
                <w:i w:val="0"/>
                <w:iCs w:val="0"/>
                <w:color w:val="000000"/>
                <w:sz w:val="24"/>
                <w:szCs w:val="24"/>
                <w:highlight w:val="none"/>
                <w:u w:val="none"/>
              </w:rPr>
            </w:pPr>
            <w:r>
              <w:rPr>
                <w:rFonts w:hint="default" w:ascii="Times New Roman" w:hAnsi="Times New Roman" w:eastAsia="黑体" w:cs="Times New Roman"/>
                <w:i w:val="0"/>
                <w:iCs w:val="0"/>
                <w:color w:val="000000"/>
                <w:kern w:val="0"/>
                <w:sz w:val="24"/>
                <w:szCs w:val="24"/>
                <w:highlight w:val="none"/>
                <w:u w:val="none"/>
                <w:lang w:val="en-US" w:eastAsia="zh-CN" w:bidi="ar"/>
              </w:rPr>
              <w:t>0.314</w:t>
            </w:r>
          </w:p>
        </w:tc>
      </w:tr>
    </w:tbl>
    <w:p w14:paraId="4421CCCE">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 xml:space="preserve">This table summarizes patients who underwent substrate mapping exclusively during sinus rhythm. Values are presented as n (%), mean ± standard deviation, or median [interquartile range], as provided in the source worksheet. In this subgroup, 168 of 327 patients had LVAs, and LDL-C levels were lower in patients with LVAs than in those without LVAs (2.30 ± 0.70 vs 2.54 ± 0.81 mmol/L; </w:t>
      </w:r>
      <w:r>
        <w:rPr>
          <w:rFonts w:hint="default" w:ascii="Times New Roman" w:hAnsi="Times New Roman" w:eastAsia="宋体" w:cs="Times New Roman"/>
          <w:i/>
          <w:iCs/>
          <w:kern w:val="2"/>
          <w:sz w:val="24"/>
          <w:szCs w:val="24"/>
          <w:highlight w:val="none"/>
          <w:lang w:val="en-US" w:eastAsia="zh-CN" w:bidi="ar"/>
        </w:rPr>
        <w:t xml:space="preserve">P </w:t>
      </w:r>
      <w:r>
        <w:rPr>
          <w:rFonts w:hint="default" w:ascii="Times New Roman" w:hAnsi="Times New Roman" w:eastAsia="宋体" w:cs="Times New Roman"/>
          <w:kern w:val="2"/>
          <w:sz w:val="24"/>
          <w:szCs w:val="24"/>
          <w:highlight w:val="none"/>
          <w:lang w:val="en-US" w:eastAsia="zh-CN" w:bidi="ar"/>
        </w:rPr>
        <w:t>= 0.005).</w:t>
      </w:r>
    </w:p>
    <w:p w14:paraId="20017CAB">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b/>
          <w:bCs/>
          <w:kern w:val="2"/>
          <w:sz w:val="24"/>
          <w:szCs w:val="24"/>
          <w:highlight w:val="none"/>
          <w:lang w:val="en-US" w:eastAsia="zh-CN" w:bidi="ar"/>
        </w:rPr>
        <w:t xml:space="preserve">Abbreviations: </w:t>
      </w:r>
      <w:r>
        <w:rPr>
          <w:rFonts w:hint="default" w:ascii="Times New Roman" w:hAnsi="Times New Roman" w:eastAsia="宋体" w:cs="Times New Roman"/>
          <w:kern w:val="2"/>
          <w:sz w:val="24"/>
          <w:szCs w:val="24"/>
          <w:highlight w:val="none"/>
          <w:lang w:val="en-US" w:eastAsia="zh-CN" w:bidi="ar"/>
        </w:rPr>
        <w:t>ACEI, angiotensin-converting enzyme inhibitor; ARB, angiotensin receptor blocker; CCB, calcium channel blocker; CHA2DS2-VASc, congestive heart failure, hypertension, age, diabetes, stroke/transient ischemic attack, vascular disease, and sex category; COPD, chronic obstructive pulmonary disease; eGFR, estimated glomerular filtration rate; HDL-C, high-density lipoprotein cholesterol; LDL-C, low-density lipoprotein cholesterol; LVAs, left atrial low-voltage areas; T3, triiodothyronine; T4, thyroxine; TSH, thyroid-stimulating hormone.</w:t>
      </w:r>
    </w:p>
    <w:p w14:paraId="5624CC50">
      <w:pPr>
        <w:spacing w:line="480" w:lineRule="auto"/>
        <w:rPr>
          <w:rFonts w:hint="default" w:ascii="Times New Roman" w:hAnsi="Times New Roman" w:cs="Times New Roman"/>
          <w:b w:val="0"/>
          <w:bCs w:val="0"/>
          <w:kern w:val="0"/>
          <w:sz w:val="24"/>
          <w:szCs w:val="24"/>
          <w:highlight w:val="none"/>
          <w:lang w:val="en-US" w:eastAsia="zh-CN" w:bidi="ar"/>
        </w:rPr>
      </w:pPr>
      <w:r>
        <w:rPr>
          <w:rFonts w:hint="default" w:ascii="Times New Roman" w:hAnsi="Times New Roman" w:cs="Times New Roman" w:eastAsiaTheme="minorEastAsia"/>
          <w:b/>
          <w:bCs/>
          <w:kern w:val="0"/>
          <w:sz w:val="24"/>
          <w:szCs w:val="24"/>
          <w:highlight w:val="none"/>
          <w:lang w:val="en-US" w:eastAsia="zh-CN" w:bidi="ar"/>
        </w:rPr>
        <w:t>Supplementary Table S14.</w:t>
      </w:r>
      <w:r>
        <w:rPr>
          <w:rFonts w:hint="default" w:ascii="Times New Roman" w:hAnsi="Times New Roman" w:cs="Times New Roman" w:eastAsiaTheme="minorEastAsia"/>
          <w:b w:val="0"/>
          <w:bCs w:val="0"/>
          <w:kern w:val="0"/>
          <w:sz w:val="24"/>
          <w:szCs w:val="24"/>
          <w:highlight w:val="none"/>
          <w:lang w:val="en-US" w:eastAsia="zh-CN" w:bidi="ar"/>
        </w:rPr>
        <w:t xml:space="preserve"> Incrementally adjusted logistic regression models for the association between continuous LDL-C levels and LVA presence in the sinus-rhythm mapping subgroup</w:t>
      </w:r>
      <w:r>
        <w:rPr>
          <w:rFonts w:hint="default" w:ascii="Times New Roman" w:hAnsi="Times New Roman" w:cs="Times New Roman"/>
          <w:b w:val="0"/>
          <w:bCs w:val="0"/>
          <w:kern w:val="0"/>
          <w:sz w:val="24"/>
          <w:szCs w:val="24"/>
          <w:highlight w:val="none"/>
          <w:lang w:val="en-US" w:eastAsia="zh-CN" w:bidi="ar"/>
        </w:rPr>
        <w:t>.</w:t>
      </w:r>
    </w:p>
    <w:tbl>
      <w:tblPr>
        <w:tblStyle w:val="8"/>
        <w:tblW w:w="85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229"/>
        <w:gridCol w:w="1615"/>
        <w:gridCol w:w="2160"/>
        <w:gridCol w:w="902"/>
        <w:gridCol w:w="1520"/>
        <w:gridCol w:w="1078"/>
      </w:tblGrid>
      <w:tr w14:paraId="71697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229" w:type="dxa"/>
            <w:tcBorders>
              <w:top w:val="single" w:color="000000" w:sz="12" w:space="0"/>
              <w:bottom w:val="single" w:color="000000" w:sz="4" w:space="0"/>
              <w:tl2br w:val="nil"/>
            </w:tcBorders>
            <w:shd w:val="clear" w:color="auto" w:fill="FFFFFF"/>
            <w:tcMar>
              <w:top w:w="80" w:type="dxa"/>
              <w:left w:w="90" w:type="dxa"/>
              <w:bottom w:w="80" w:type="dxa"/>
              <w:right w:w="90" w:type="dxa"/>
            </w:tcMar>
            <w:vAlign w:val="center"/>
          </w:tcPr>
          <w:p w14:paraId="6BE152A1">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color w:val="000000"/>
                <w:sz w:val="24"/>
                <w:szCs w:val="24"/>
                <w:highlight w:val="none"/>
              </w:rPr>
            </w:pPr>
            <w:r>
              <w:rPr>
                <w:rFonts w:hint="default" w:ascii="Times New Roman" w:hAnsi="Times New Roman" w:eastAsia="Times New Roman" w:cs="Times New Roman"/>
                <w:b/>
                <w:color w:val="000000"/>
                <w:sz w:val="24"/>
                <w:szCs w:val="24"/>
                <w:highlight w:val="none"/>
              </w:rPr>
              <w:t>Model</w:t>
            </w:r>
          </w:p>
        </w:tc>
        <w:tc>
          <w:tcPr>
            <w:tcW w:w="1615" w:type="dxa"/>
            <w:tcBorders>
              <w:top w:val="single" w:color="000000" w:sz="12" w:space="0"/>
              <w:bottom w:val="single" w:color="000000" w:sz="4" w:space="0"/>
            </w:tcBorders>
            <w:shd w:val="clear" w:color="auto" w:fill="FFFFFF"/>
            <w:tcMar>
              <w:top w:w="80" w:type="dxa"/>
              <w:left w:w="90" w:type="dxa"/>
              <w:bottom w:w="80" w:type="dxa"/>
              <w:right w:w="90" w:type="dxa"/>
            </w:tcMar>
            <w:vAlign w:val="center"/>
          </w:tcPr>
          <w:p w14:paraId="3F565723">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color w:val="000000"/>
                <w:sz w:val="24"/>
                <w:szCs w:val="24"/>
                <w:highlight w:val="none"/>
              </w:rPr>
            </w:pPr>
            <w:r>
              <w:rPr>
                <w:rFonts w:hint="default" w:ascii="Times New Roman" w:hAnsi="Times New Roman" w:eastAsia="Times New Roman" w:cs="Times New Roman"/>
                <w:b/>
                <w:color w:val="000000"/>
                <w:sz w:val="24"/>
                <w:szCs w:val="24"/>
                <w:highlight w:val="none"/>
              </w:rPr>
              <w:t>Sample size</w:t>
            </w:r>
          </w:p>
        </w:tc>
        <w:tc>
          <w:tcPr>
            <w:tcW w:w="2160" w:type="dxa"/>
            <w:tcBorders>
              <w:top w:val="single" w:color="000000" w:sz="12" w:space="0"/>
              <w:bottom w:val="single" w:color="000000" w:sz="4" w:space="0"/>
            </w:tcBorders>
            <w:shd w:val="clear" w:color="auto" w:fill="FFFFFF"/>
            <w:tcMar>
              <w:top w:w="80" w:type="dxa"/>
              <w:left w:w="90" w:type="dxa"/>
              <w:bottom w:w="80" w:type="dxa"/>
              <w:right w:w="90" w:type="dxa"/>
            </w:tcMar>
            <w:vAlign w:val="center"/>
          </w:tcPr>
          <w:p w14:paraId="5B251057">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color w:val="000000"/>
                <w:sz w:val="24"/>
                <w:szCs w:val="24"/>
                <w:highlight w:val="none"/>
              </w:rPr>
            </w:pPr>
            <w:r>
              <w:rPr>
                <w:rFonts w:hint="default" w:ascii="Times New Roman" w:hAnsi="Times New Roman" w:eastAsia="Times New Roman" w:cs="Times New Roman"/>
                <w:b/>
                <w:bCs/>
                <w:color w:val="000000"/>
                <w:sz w:val="24"/>
                <w:szCs w:val="24"/>
                <w:highlight w:val="none"/>
              </w:rPr>
              <w:t>No. of predictors</w:t>
            </w:r>
          </w:p>
        </w:tc>
        <w:tc>
          <w:tcPr>
            <w:tcW w:w="902" w:type="dxa"/>
            <w:tcBorders>
              <w:top w:val="single" w:color="000000" w:sz="12" w:space="0"/>
              <w:bottom w:val="single" w:color="000000" w:sz="4" w:space="0"/>
            </w:tcBorders>
            <w:shd w:val="clear" w:color="auto" w:fill="FFFFFF"/>
            <w:tcMar>
              <w:top w:w="80" w:type="dxa"/>
              <w:left w:w="90" w:type="dxa"/>
              <w:bottom w:w="80" w:type="dxa"/>
              <w:right w:w="90" w:type="dxa"/>
            </w:tcMar>
            <w:vAlign w:val="center"/>
          </w:tcPr>
          <w:p w14:paraId="1214F146">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color w:val="000000"/>
                <w:sz w:val="24"/>
                <w:szCs w:val="24"/>
                <w:highlight w:val="none"/>
              </w:rPr>
            </w:pPr>
            <w:r>
              <w:rPr>
                <w:rFonts w:hint="default" w:ascii="Times New Roman" w:hAnsi="Times New Roman" w:eastAsia="Times New Roman" w:cs="Times New Roman"/>
                <w:b/>
                <w:color w:val="000000"/>
                <w:sz w:val="24"/>
                <w:szCs w:val="24"/>
                <w:highlight w:val="none"/>
              </w:rPr>
              <w:t>OR</w:t>
            </w:r>
          </w:p>
        </w:tc>
        <w:tc>
          <w:tcPr>
            <w:tcW w:w="1520" w:type="dxa"/>
            <w:tcBorders>
              <w:top w:val="single" w:color="000000" w:sz="12" w:space="0"/>
              <w:bottom w:val="single" w:color="000000" w:sz="4" w:space="0"/>
            </w:tcBorders>
            <w:shd w:val="clear" w:color="auto" w:fill="FFFFFF"/>
            <w:tcMar>
              <w:top w:w="80" w:type="dxa"/>
              <w:left w:w="90" w:type="dxa"/>
              <w:bottom w:w="80" w:type="dxa"/>
              <w:right w:w="90" w:type="dxa"/>
            </w:tcMar>
            <w:vAlign w:val="center"/>
          </w:tcPr>
          <w:p w14:paraId="1DCB4558">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color w:val="000000"/>
                <w:sz w:val="24"/>
                <w:szCs w:val="24"/>
                <w:highlight w:val="none"/>
              </w:rPr>
            </w:pPr>
            <w:r>
              <w:rPr>
                <w:rFonts w:hint="default" w:ascii="Times New Roman" w:hAnsi="Times New Roman" w:eastAsia="Times New Roman" w:cs="Times New Roman"/>
                <w:b/>
                <w:color w:val="000000"/>
                <w:sz w:val="24"/>
                <w:szCs w:val="24"/>
                <w:highlight w:val="none"/>
              </w:rPr>
              <w:t>95% CI</w:t>
            </w:r>
          </w:p>
        </w:tc>
        <w:tc>
          <w:tcPr>
            <w:tcW w:w="1078" w:type="dxa"/>
            <w:tcBorders>
              <w:top w:val="single" w:color="000000" w:sz="12" w:space="0"/>
              <w:bottom w:val="single" w:color="000000" w:sz="4" w:space="0"/>
            </w:tcBorders>
            <w:shd w:val="clear" w:color="auto" w:fill="FFFFFF"/>
            <w:tcMar>
              <w:top w:w="80" w:type="dxa"/>
              <w:left w:w="90" w:type="dxa"/>
              <w:bottom w:w="80" w:type="dxa"/>
              <w:right w:w="90" w:type="dxa"/>
            </w:tcMar>
            <w:vAlign w:val="center"/>
          </w:tcPr>
          <w:p w14:paraId="05BA4BA3">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color w:val="000000"/>
                <w:sz w:val="24"/>
                <w:szCs w:val="24"/>
                <w:highlight w:val="none"/>
              </w:rPr>
            </w:pPr>
            <w:r>
              <w:rPr>
                <w:rFonts w:hint="default" w:ascii="Times New Roman" w:hAnsi="Times New Roman" w:eastAsia="Times New Roman" w:cs="Times New Roman"/>
                <w:b/>
                <w:i/>
                <w:iCs/>
                <w:color w:val="000000"/>
                <w:sz w:val="24"/>
                <w:szCs w:val="24"/>
                <w:highlight w:val="none"/>
              </w:rPr>
              <w:t>P</w:t>
            </w:r>
            <w:r>
              <w:rPr>
                <w:rFonts w:hint="default" w:ascii="Times New Roman" w:hAnsi="Times New Roman" w:eastAsia="Times New Roman" w:cs="Times New Roman"/>
                <w:b/>
                <w:color w:val="000000"/>
                <w:sz w:val="24"/>
                <w:szCs w:val="24"/>
                <w:highlight w:val="none"/>
              </w:rPr>
              <w:t xml:space="preserve"> </w:t>
            </w:r>
            <w:r>
              <w:rPr>
                <w:rFonts w:hint="default" w:ascii="Times New Roman" w:hAnsi="Times New Roman" w:eastAsia="宋体" w:cs="Times New Roman"/>
                <w:b/>
                <w:color w:val="000000"/>
                <w:sz w:val="24"/>
                <w:szCs w:val="24"/>
                <w:highlight w:val="none"/>
                <w:lang w:val="en-US" w:eastAsia="zh-CN"/>
              </w:rPr>
              <w:t>v</w:t>
            </w:r>
            <w:r>
              <w:rPr>
                <w:rFonts w:hint="default" w:ascii="Times New Roman" w:hAnsi="Times New Roman" w:eastAsia="Times New Roman" w:cs="Times New Roman"/>
                <w:b/>
                <w:color w:val="000000"/>
                <w:sz w:val="24"/>
                <w:szCs w:val="24"/>
                <w:highlight w:val="none"/>
              </w:rPr>
              <w:t>alue</w:t>
            </w:r>
          </w:p>
        </w:tc>
      </w:tr>
      <w:tr w14:paraId="48E79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229" w:type="dxa"/>
            <w:tcBorders>
              <w:top w:val="single" w:color="000000" w:sz="4" w:space="0"/>
            </w:tcBorders>
            <w:shd w:val="clear" w:color="auto" w:fill="FFFFFF"/>
            <w:tcMar>
              <w:top w:w="80" w:type="dxa"/>
              <w:left w:w="90" w:type="dxa"/>
              <w:bottom w:w="80" w:type="dxa"/>
              <w:right w:w="90" w:type="dxa"/>
            </w:tcMar>
            <w:vAlign w:val="center"/>
          </w:tcPr>
          <w:p w14:paraId="72D98557">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Model 1d</w:t>
            </w:r>
          </w:p>
        </w:tc>
        <w:tc>
          <w:tcPr>
            <w:tcW w:w="1615" w:type="dxa"/>
            <w:tcBorders>
              <w:top w:val="single" w:color="000000" w:sz="4" w:space="0"/>
            </w:tcBorders>
            <w:shd w:val="clear" w:color="auto" w:fill="FFFFFF"/>
            <w:tcMar>
              <w:top w:w="80" w:type="dxa"/>
              <w:left w:w="90" w:type="dxa"/>
              <w:bottom w:w="80" w:type="dxa"/>
              <w:right w:w="90" w:type="dxa"/>
            </w:tcMar>
            <w:vAlign w:val="center"/>
          </w:tcPr>
          <w:p w14:paraId="40D31005">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327</w:t>
            </w:r>
          </w:p>
        </w:tc>
        <w:tc>
          <w:tcPr>
            <w:tcW w:w="2160" w:type="dxa"/>
            <w:tcBorders>
              <w:top w:val="single" w:color="000000" w:sz="4" w:space="0"/>
            </w:tcBorders>
            <w:shd w:val="clear" w:color="auto" w:fill="FFFFFF"/>
            <w:tcMar>
              <w:top w:w="80" w:type="dxa"/>
              <w:left w:w="90" w:type="dxa"/>
              <w:bottom w:w="80" w:type="dxa"/>
              <w:right w:w="90" w:type="dxa"/>
            </w:tcMar>
            <w:vAlign w:val="center"/>
          </w:tcPr>
          <w:p w14:paraId="1919FB18">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lang w:val="en-US" w:eastAsia="zh-CN"/>
              </w:rPr>
            </w:pPr>
            <w:r>
              <w:rPr>
                <w:rFonts w:hint="default" w:ascii="Times New Roman" w:hAnsi="Times New Roman" w:eastAsia="Times New Roman" w:cs="Times New Roman"/>
                <w:b w:val="0"/>
                <w:color w:val="000000"/>
                <w:sz w:val="24"/>
                <w:szCs w:val="24"/>
                <w:highlight w:val="none"/>
                <w:lang w:val="en-US" w:eastAsia="zh-CN"/>
              </w:rPr>
              <w:t>1</w:t>
            </w:r>
          </w:p>
        </w:tc>
        <w:tc>
          <w:tcPr>
            <w:tcW w:w="902" w:type="dxa"/>
            <w:tcBorders>
              <w:top w:val="single" w:color="000000" w:sz="4" w:space="0"/>
            </w:tcBorders>
            <w:shd w:val="clear" w:color="auto" w:fill="FFFFFF"/>
            <w:tcMar>
              <w:top w:w="80" w:type="dxa"/>
              <w:left w:w="90" w:type="dxa"/>
              <w:bottom w:w="80" w:type="dxa"/>
              <w:right w:w="90" w:type="dxa"/>
            </w:tcMar>
            <w:vAlign w:val="center"/>
          </w:tcPr>
          <w:p w14:paraId="66974AFE">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0.657</w:t>
            </w:r>
          </w:p>
        </w:tc>
        <w:tc>
          <w:tcPr>
            <w:tcW w:w="1520" w:type="dxa"/>
            <w:tcBorders>
              <w:top w:val="single" w:color="000000" w:sz="4" w:space="0"/>
            </w:tcBorders>
            <w:shd w:val="clear" w:color="auto" w:fill="FFFFFF"/>
            <w:tcMar>
              <w:top w:w="80" w:type="dxa"/>
              <w:left w:w="90" w:type="dxa"/>
              <w:bottom w:w="80" w:type="dxa"/>
              <w:right w:w="90" w:type="dxa"/>
            </w:tcMar>
            <w:vAlign w:val="center"/>
          </w:tcPr>
          <w:p w14:paraId="45613CEC">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0.490-0.882</w:t>
            </w:r>
          </w:p>
        </w:tc>
        <w:tc>
          <w:tcPr>
            <w:tcW w:w="1078" w:type="dxa"/>
            <w:tcBorders>
              <w:top w:val="single" w:color="000000" w:sz="4" w:space="0"/>
            </w:tcBorders>
            <w:shd w:val="clear" w:color="auto" w:fill="FFFFFF"/>
            <w:tcMar>
              <w:top w:w="80" w:type="dxa"/>
              <w:left w:w="90" w:type="dxa"/>
              <w:bottom w:w="80" w:type="dxa"/>
              <w:right w:w="90" w:type="dxa"/>
            </w:tcMar>
            <w:vAlign w:val="center"/>
          </w:tcPr>
          <w:p w14:paraId="45127499">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0.005</w:t>
            </w:r>
          </w:p>
        </w:tc>
      </w:tr>
      <w:tr w14:paraId="2C162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229" w:type="dxa"/>
            <w:shd w:val="clear" w:color="auto" w:fill="FFFFFF"/>
            <w:tcMar>
              <w:top w:w="80" w:type="dxa"/>
              <w:left w:w="90" w:type="dxa"/>
              <w:bottom w:w="80" w:type="dxa"/>
              <w:right w:w="90" w:type="dxa"/>
            </w:tcMar>
            <w:vAlign w:val="center"/>
          </w:tcPr>
          <w:p w14:paraId="640CC071">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Model 2d</w:t>
            </w:r>
          </w:p>
        </w:tc>
        <w:tc>
          <w:tcPr>
            <w:tcW w:w="1615" w:type="dxa"/>
            <w:shd w:val="clear" w:color="auto" w:fill="FFFFFF"/>
            <w:tcMar>
              <w:top w:w="80" w:type="dxa"/>
              <w:left w:w="90" w:type="dxa"/>
              <w:bottom w:w="80" w:type="dxa"/>
              <w:right w:w="90" w:type="dxa"/>
            </w:tcMar>
            <w:vAlign w:val="center"/>
          </w:tcPr>
          <w:p w14:paraId="09011A00">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327</w:t>
            </w:r>
          </w:p>
        </w:tc>
        <w:tc>
          <w:tcPr>
            <w:tcW w:w="2160" w:type="dxa"/>
            <w:shd w:val="clear" w:color="auto" w:fill="FFFFFF"/>
            <w:tcMar>
              <w:top w:w="80" w:type="dxa"/>
              <w:left w:w="90" w:type="dxa"/>
              <w:bottom w:w="80" w:type="dxa"/>
              <w:right w:w="90" w:type="dxa"/>
            </w:tcMar>
            <w:vAlign w:val="center"/>
          </w:tcPr>
          <w:p w14:paraId="5A973DE9">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w:t>
            </w:r>
          </w:p>
        </w:tc>
        <w:tc>
          <w:tcPr>
            <w:tcW w:w="902" w:type="dxa"/>
            <w:shd w:val="clear" w:color="auto" w:fill="FFFFFF"/>
            <w:tcMar>
              <w:top w:w="80" w:type="dxa"/>
              <w:left w:w="90" w:type="dxa"/>
              <w:bottom w:w="80" w:type="dxa"/>
              <w:right w:w="90" w:type="dxa"/>
            </w:tcMar>
            <w:vAlign w:val="center"/>
          </w:tcPr>
          <w:p w14:paraId="0CC6F8AD">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0.697</w:t>
            </w:r>
          </w:p>
        </w:tc>
        <w:tc>
          <w:tcPr>
            <w:tcW w:w="1520" w:type="dxa"/>
            <w:shd w:val="clear" w:color="auto" w:fill="FFFFFF"/>
            <w:tcMar>
              <w:top w:w="80" w:type="dxa"/>
              <w:left w:w="90" w:type="dxa"/>
              <w:bottom w:w="80" w:type="dxa"/>
              <w:right w:w="90" w:type="dxa"/>
            </w:tcMar>
            <w:vAlign w:val="center"/>
          </w:tcPr>
          <w:p w14:paraId="67E2F127">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0.509-0.954</w:t>
            </w:r>
          </w:p>
        </w:tc>
        <w:tc>
          <w:tcPr>
            <w:tcW w:w="1078" w:type="dxa"/>
            <w:shd w:val="clear" w:color="auto" w:fill="FFFFFF"/>
            <w:tcMar>
              <w:top w:w="80" w:type="dxa"/>
              <w:left w:w="90" w:type="dxa"/>
              <w:bottom w:w="80" w:type="dxa"/>
              <w:right w:w="90" w:type="dxa"/>
            </w:tcMar>
            <w:vAlign w:val="center"/>
          </w:tcPr>
          <w:p w14:paraId="694A4C6B">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0.024</w:t>
            </w:r>
          </w:p>
        </w:tc>
      </w:tr>
      <w:tr w14:paraId="4399C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229" w:type="dxa"/>
            <w:shd w:val="clear" w:color="auto" w:fill="FFFFFF"/>
            <w:tcMar>
              <w:top w:w="80" w:type="dxa"/>
              <w:left w:w="90" w:type="dxa"/>
              <w:bottom w:w="80" w:type="dxa"/>
              <w:right w:w="90" w:type="dxa"/>
            </w:tcMar>
            <w:vAlign w:val="center"/>
          </w:tcPr>
          <w:p w14:paraId="0DB6AE95">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Model 3d</w:t>
            </w:r>
          </w:p>
        </w:tc>
        <w:tc>
          <w:tcPr>
            <w:tcW w:w="1615" w:type="dxa"/>
            <w:shd w:val="clear" w:color="auto" w:fill="FFFFFF"/>
            <w:tcMar>
              <w:top w:w="80" w:type="dxa"/>
              <w:left w:w="90" w:type="dxa"/>
              <w:bottom w:w="80" w:type="dxa"/>
              <w:right w:w="90" w:type="dxa"/>
            </w:tcMar>
            <w:vAlign w:val="center"/>
          </w:tcPr>
          <w:p w14:paraId="7FFCAF68">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327</w:t>
            </w:r>
          </w:p>
        </w:tc>
        <w:tc>
          <w:tcPr>
            <w:tcW w:w="2160" w:type="dxa"/>
            <w:shd w:val="clear" w:color="auto" w:fill="FFFFFF"/>
            <w:tcMar>
              <w:top w:w="80" w:type="dxa"/>
              <w:left w:w="90" w:type="dxa"/>
              <w:bottom w:w="80" w:type="dxa"/>
              <w:right w:w="90" w:type="dxa"/>
            </w:tcMar>
            <w:vAlign w:val="center"/>
          </w:tcPr>
          <w:p w14:paraId="0978B22F">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11</w:t>
            </w:r>
          </w:p>
        </w:tc>
        <w:tc>
          <w:tcPr>
            <w:tcW w:w="902" w:type="dxa"/>
            <w:shd w:val="clear" w:color="auto" w:fill="FFFFFF"/>
            <w:tcMar>
              <w:top w:w="80" w:type="dxa"/>
              <w:left w:w="90" w:type="dxa"/>
              <w:bottom w:w="80" w:type="dxa"/>
              <w:right w:w="90" w:type="dxa"/>
            </w:tcMar>
            <w:vAlign w:val="center"/>
          </w:tcPr>
          <w:p w14:paraId="71C4A2D1">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0.681</w:t>
            </w:r>
          </w:p>
        </w:tc>
        <w:tc>
          <w:tcPr>
            <w:tcW w:w="1520" w:type="dxa"/>
            <w:shd w:val="clear" w:color="auto" w:fill="FFFFFF"/>
            <w:tcMar>
              <w:top w:w="80" w:type="dxa"/>
              <w:left w:w="90" w:type="dxa"/>
              <w:bottom w:w="80" w:type="dxa"/>
              <w:right w:w="90" w:type="dxa"/>
            </w:tcMar>
            <w:vAlign w:val="center"/>
          </w:tcPr>
          <w:p w14:paraId="17F91DCD">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0.491-0.944</w:t>
            </w:r>
          </w:p>
        </w:tc>
        <w:tc>
          <w:tcPr>
            <w:tcW w:w="1078" w:type="dxa"/>
            <w:shd w:val="clear" w:color="auto" w:fill="FFFFFF"/>
            <w:tcMar>
              <w:top w:w="80" w:type="dxa"/>
              <w:left w:w="90" w:type="dxa"/>
              <w:bottom w:w="80" w:type="dxa"/>
              <w:right w:w="90" w:type="dxa"/>
            </w:tcMar>
            <w:vAlign w:val="center"/>
          </w:tcPr>
          <w:p w14:paraId="2A491CFD">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0.021</w:t>
            </w:r>
          </w:p>
        </w:tc>
      </w:tr>
      <w:tr w14:paraId="45E7A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229" w:type="dxa"/>
            <w:shd w:val="clear" w:color="auto" w:fill="FFFFFF"/>
            <w:tcMar>
              <w:top w:w="80" w:type="dxa"/>
              <w:left w:w="90" w:type="dxa"/>
              <w:bottom w:w="80" w:type="dxa"/>
              <w:right w:w="90" w:type="dxa"/>
            </w:tcMar>
            <w:vAlign w:val="center"/>
          </w:tcPr>
          <w:p w14:paraId="346190CE">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Model 4d</w:t>
            </w:r>
          </w:p>
        </w:tc>
        <w:tc>
          <w:tcPr>
            <w:tcW w:w="1615" w:type="dxa"/>
            <w:shd w:val="clear" w:color="auto" w:fill="FFFFFF"/>
            <w:tcMar>
              <w:top w:w="80" w:type="dxa"/>
              <w:left w:w="90" w:type="dxa"/>
              <w:bottom w:w="80" w:type="dxa"/>
              <w:right w:w="90" w:type="dxa"/>
            </w:tcMar>
            <w:vAlign w:val="center"/>
          </w:tcPr>
          <w:p w14:paraId="1D81A5E3">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327</w:t>
            </w:r>
          </w:p>
        </w:tc>
        <w:tc>
          <w:tcPr>
            <w:tcW w:w="2160" w:type="dxa"/>
            <w:shd w:val="clear" w:color="auto" w:fill="FFFFFF"/>
            <w:tcMar>
              <w:top w:w="80" w:type="dxa"/>
              <w:left w:w="90" w:type="dxa"/>
              <w:bottom w:w="80" w:type="dxa"/>
              <w:right w:w="90" w:type="dxa"/>
            </w:tcMar>
            <w:vAlign w:val="center"/>
          </w:tcPr>
          <w:p w14:paraId="5A81715B">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15</w:t>
            </w:r>
          </w:p>
        </w:tc>
        <w:tc>
          <w:tcPr>
            <w:tcW w:w="902" w:type="dxa"/>
            <w:shd w:val="clear" w:color="auto" w:fill="FFFFFF"/>
            <w:tcMar>
              <w:top w:w="80" w:type="dxa"/>
              <w:left w:w="90" w:type="dxa"/>
              <w:bottom w:w="80" w:type="dxa"/>
              <w:right w:w="90" w:type="dxa"/>
            </w:tcMar>
            <w:vAlign w:val="center"/>
          </w:tcPr>
          <w:p w14:paraId="021284D7">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0.616</w:t>
            </w:r>
          </w:p>
        </w:tc>
        <w:tc>
          <w:tcPr>
            <w:tcW w:w="1520" w:type="dxa"/>
            <w:shd w:val="clear" w:color="auto" w:fill="FFFFFF"/>
            <w:tcMar>
              <w:top w:w="80" w:type="dxa"/>
              <w:left w:w="90" w:type="dxa"/>
              <w:bottom w:w="80" w:type="dxa"/>
              <w:right w:w="90" w:type="dxa"/>
            </w:tcMar>
            <w:vAlign w:val="center"/>
          </w:tcPr>
          <w:p w14:paraId="55CC990B">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0.431-0.881</w:t>
            </w:r>
          </w:p>
        </w:tc>
        <w:tc>
          <w:tcPr>
            <w:tcW w:w="1078" w:type="dxa"/>
            <w:shd w:val="clear" w:color="auto" w:fill="FFFFFF"/>
            <w:tcMar>
              <w:top w:w="80" w:type="dxa"/>
              <w:left w:w="90" w:type="dxa"/>
              <w:bottom w:w="80" w:type="dxa"/>
              <w:right w:w="90" w:type="dxa"/>
            </w:tcMar>
            <w:vAlign w:val="center"/>
          </w:tcPr>
          <w:p w14:paraId="20420B71">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0.008</w:t>
            </w:r>
          </w:p>
        </w:tc>
      </w:tr>
      <w:tr w14:paraId="7BA5E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229" w:type="dxa"/>
            <w:tcBorders>
              <w:bottom w:val="single" w:color="000000" w:sz="12" w:space="0"/>
            </w:tcBorders>
            <w:shd w:val="clear" w:color="auto" w:fill="FFFFFF"/>
            <w:tcMar>
              <w:top w:w="80" w:type="dxa"/>
              <w:left w:w="90" w:type="dxa"/>
              <w:bottom w:w="80" w:type="dxa"/>
              <w:right w:w="90" w:type="dxa"/>
            </w:tcMar>
            <w:vAlign w:val="center"/>
          </w:tcPr>
          <w:p w14:paraId="5620BDF4">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Model 5d</w:t>
            </w:r>
          </w:p>
        </w:tc>
        <w:tc>
          <w:tcPr>
            <w:tcW w:w="1615" w:type="dxa"/>
            <w:tcBorders>
              <w:bottom w:val="single" w:color="000000" w:sz="12" w:space="0"/>
            </w:tcBorders>
            <w:shd w:val="clear" w:color="auto" w:fill="FFFFFF"/>
            <w:tcMar>
              <w:top w:w="80" w:type="dxa"/>
              <w:left w:w="90" w:type="dxa"/>
              <w:bottom w:w="80" w:type="dxa"/>
              <w:right w:w="90" w:type="dxa"/>
            </w:tcMar>
            <w:vAlign w:val="center"/>
          </w:tcPr>
          <w:p w14:paraId="69731053">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327</w:t>
            </w:r>
          </w:p>
        </w:tc>
        <w:tc>
          <w:tcPr>
            <w:tcW w:w="2160" w:type="dxa"/>
            <w:tcBorders>
              <w:bottom w:val="single" w:color="000000" w:sz="12" w:space="0"/>
            </w:tcBorders>
            <w:shd w:val="clear" w:color="auto" w:fill="FFFFFF"/>
            <w:tcMar>
              <w:top w:w="80" w:type="dxa"/>
              <w:left w:w="90" w:type="dxa"/>
              <w:bottom w:w="80" w:type="dxa"/>
              <w:right w:w="90" w:type="dxa"/>
            </w:tcMar>
            <w:vAlign w:val="center"/>
          </w:tcPr>
          <w:p w14:paraId="6F141EA1">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16</w:t>
            </w:r>
          </w:p>
        </w:tc>
        <w:tc>
          <w:tcPr>
            <w:tcW w:w="902" w:type="dxa"/>
            <w:tcBorders>
              <w:bottom w:val="single" w:color="000000" w:sz="12" w:space="0"/>
            </w:tcBorders>
            <w:shd w:val="clear" w:color="auto" w:fill="FFFFFF"/>
            <w:tcMar>
              <w:top w:w="80" w:type="dxa"/>
              <w:left w:w="90" w:type="dxa"/>
              <w:bottom w:w="80" w:type="dxa"/>
              <w:right w:w="90" w:type="dxa"/>
            </w:tcMar>
            <w:vAlign w:val="center"/>
          </w:tcPr>
          <w:p w14:paraId="28A3DCA3">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0.688</w:t>
            </w:r>
          </w:p>
        </w:tc>
        <w:tc>
          <w:tcPr>
            <w:tcW w:w="1520" w:type="dxa"/>
            <w:tcBorders>
              <w:bottom w:val="single" w:color="000000" w:sz="12" w:space="0"/>
            </w:tcBorders>
            <w:shd w:val="clear" w:color="auto" w:fill="FFFFFF"/>
            <w:tcMar>
              <w:top w:w="80" w:type="dxa"/>
              <w:left w:w="90" w:type="dxa"/>
              <w:bottom w:w="80" w:type="dxa"/>
              <w:right w:w="90" w:type="dxa"/>
            </w:tcMar>
            <w:vAlign w:val="center"/>
          </w:tcPr>
          <w:p w14:paraId="58A88EDF">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0.476-0.997</w:t>
            </w:r>
          </w:p>
        </w:tc>
        <w:tc>
          <w:tcPr>
            <w:tcW w:w="1078" w:type="dxa"/>
            <w:tcBorders>
              <w:bottom w:val="single" w:color="000000" w:sz="12" w:space="0"/>
            </w:tcBorders>
            <w:shd w:val="clear" w:color="auto" w:fill="FFFFFF"/>
            <w:tcMar>
              <w:top w:w="80" w:type="dxa"/>
              <w:left w:w="90" w:type="dxa"/>
              <w:bottom w:w="80" w:type="dxa"/>
              <w:right w:w="90" w:type="dxa"/>
            </w:tcMar>
            <w:vAlign w:val="center"/>
          </w:tcPr>
          <w:p w14:paraId="4F89D5CC">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0.048</w:t>
            </w:r>
          </w:p>
        </w:tc>
      </w:tr>
    </w:tbl>
    <w:p w14:paraId="5C8C28E9">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Odds ratios with 95% confidence intervals were estimated per 1 mmol/L increase in LDL-C using logistic regression in the sinus-rhythm mapping subgroup. Across all five progressively adjusted models, higher LDL-C levels remained significantly associated with a lower likelihood of LVAs, including the fully adjusted model that additionally incorporated LAD. These findings supported the robustness of the inverse association between LDL-C and LVAs in the subgroup restricted to sinus-rhythm mapping.</w:t>
      </w:r>
    </w:p>
    <w:p w14:paraId="37D4B9ED">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 xml:space="preserve">Model 1d: unadjusted. </w:t>
      </w:r>
    </w:p>
    <w:p w14:paraId="4510B3B3">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 xml:space="preserve">Model 2d: adjusted for age and sex. </w:t>
      </w:r>
    </w:p>
    <w:p w14:paraId="58FA028C">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 xml:space="preserve">Model 3d: adjusted for age, sex, BMI, T3, hypertension, coronary artery disease, heart failure, diabetes, stroke, and COPD. </w:t>
      </w:r>
    </w:p>
    <w:p w14:paraId="3D4B865E">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 xml:space="preserve">Model 4d: adjusted for age, sex, BMI, T3, hypertension, coronary artery disease, heart failure, diabetes, stroke, COPD, hyperlipidemia, triglycerides, HDL-C, and statin use. </w:t>
      </w:r>
    </w:p>
    <w:p w14:paraId="38D507F6">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Model 5d: adjusted for age, sex, BMI, T3, hypertension, coronary artery disease, heart failure, diabetes, stroke, COPD, hyperlipidemia, triglycerides, HDL-C, statin use, and LAD.</w:t>
      </w:r>
    </w:p>
    <w:p w14:paraId="70225A0B">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b/>
          <w:bCs/>
          <w:kern w:val="2"/>
          <w:sz w:val="24"/>
          <w:szCs w:val="24"/>
          <w:highlight w:val="none"/>
          <w:lang w:val="en-US" w:eastAsia="zh-CN" w:bidi="ar"/>
        </w:rPr>
        <w:t>Abbreviations:</w:t>
      </w:r>
      <w:r>
        <w:rPr>
          <w:rFonts w:hint="default" w:ascii="Times New Roman" w:hAnsi="Times New Roman" w:eastAsia="宋体" w:cs="Times New Roman"/>
          <w:kern w:val="2"/>
          <w:sz w:val="24"/>
          <w:szCs w:val="24"/>
          <w:highlight w:val="none"/>
          <w:lang w:val="en-US" w:eastAsia="zh-CN" w:bidi="ar"/>
        </w:rPr>
        <w:t xml:space="preserve"> BMI, body mass index; CI, confidence interval; COPD, chronic obstructive pulmonary disease; HDL-C, high-density lipoprotein cholesterol; LAD, left atrial diameter; LDL-C, low-density lipoprotein cholesterol; LVAs, left atrial low-voltage areas; OR, odds ratio; T3, triiodothyronine.</w:t>
      </w:r>
    </w:p>
    <w:p w14:paraId="2D0F7378">
      <w:pPr>
        <w:spacing w:line="480" w:lineRule="auto"/>
        <w:rPr>
          <w:rFonts w:hint="default" w:ascii="Times New Roman" w:hAnsi="Times New Roman" w:cs="Times New Roman"/>
          <w:b w:val="0"/>
          <w:bCs w:val="0"/>
          <w:kern w:val="0"/>
          <w:sz w:val="24"/>
          <w:szCs w:val="24"/>
          <w:highlight w:val="none"/>
          <w:lang w:val="en-US" w:eastAsia="zh-CN" w:bidi="ar"/>
        </w:rPr>
      </w:pPr>
      <w:r>
        <w:rPr>
          <w:rFonts w:hint="default" w:ascii="Times New Roman" w:hAnsi="Times New Roman" w:cs="Times New Roman" w:eastAsiaTheme="minorEastAsia"/>
          <w:b/>
          <w:bCs/>
          <w:kern w:val="0"/>
          <w:sz w:val="24"/>
          <w:szCs w:val="24"/>
          <w:highlight w:val="none"/>
          <w:lang w:val="en-US" w:eastAsia="zh-CN" w:bidi="ar"/>
        </w:rPr>
        <w:t>Supplementary Table S15.</w:t>
      </w:r>
      <w:r>
        <w:rPr>
          <w:rFonts w:hint="default" w:ascii="Times New Roman" w:hAnsi="Times New Roman" w:cs="Times New Roman" w:eastAsiaTheme="minorEastAsia"/>
          <w:b w:val="0"/>
          <w:bCs w:val="0"/>
          <w:kern w:val="0"/>
          <w:sz w:val="24"/>
          <w:szCs w:val="24"/>
          <w:highlight w:val="none"/>
          <w:lang w:val="en-US" w:eastAsia="zh-CN" w:bidi="ar"/>
        </w:rPr>
        <w:t xml:space="preserve"> Mediation analysis of the association between LDL-C and LVAs through LAD in the sinus-rhythm mapping subgroup</w:t>
      </w:r>
      <w:r>
        <w:rPr>
          <w:rFonts w:hint="default" w:ascii="Times New Roman" w:hAnsi="Times New Roman" w:cs="Times New Roman"/>
          <w:b w:val="0"/>
          <w:bCs w:val="0"/>
          <w:kern w:val="0"/>
          <w:sz w:val="24"/>
          <w:szCs w:val="24"/>
          <w:highlight w:val="none"/>
          <w:lang w:val="en-US" w:eastAsia="zh-CN" w:bidi="ar"/>
        </w:rPr>
        <w:t>.</w:t>
      </w:r>
    </w:p>
    <w:tbl>
      <w:tblPr>
        <w:tblStyle w:val="8"/>
        <w:tblW w:w="848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096"/>
        <w:gridCol w:w="1478"/>
        <w:gridCol w:w="2626"/>
        <w:gridCol w:w="1283"/>
      </w:tblGrid>
      <w:tr w14:paraId="6D265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0" w:type="auto"/>
            <w:tcBorders>
              <w:top w:val="single" w:color="000000" w:sz="12" w:space="0"/>
              <w:bottom w:val="single" w:color="000000" w:sz="4" w:space="0"/>
              <w:tl2br w:val="nil"/>
            </w:tcBorders>
            <w:shd w:val="clear" w:color="auto" w:fill="FFFFFF"/>
            <w:tcMar>
              <w:top w:w="80" w:type="dxa"/>
              <w:left w:w="90" w:type="dxa"/>
              <w:bottom w:w="80" w:type="dxa"/>
              <w:right w:w="90" w:type="dxa"/>
            </w:tcMar>
            <w:vAlign w:val="center"/>
          </w:tcPr>
          <w:p w14:paraId="415DC236">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Effect</w:t>
            </w:r>
          </w:p>
        </w:tc>
        <w:tc>
          <w:tcPr>
            <w:tcW w:w="0" w:type="auto"/>
            <w:tcBorders>
              <w:top w:val="single" w:color="000000" w:sz="12" w:space="0"/>
              <w:bottom w:val="single" w:color="000000" w:sz="4" w:space="0"/>
            </w:tcBorders>
            <w:shd w:val="clear" w:color="auto" w:fill="FFFFFF"/>
            <w:tcMar>
              <w:top w:w="80" w:type="dxa"/>
              <w:left w:w="90" w:type="dxa"/>
              <w:bottom w:w="80" w:type="dxa"/>
              <w:right w:w="90" w:type="dxa"/>
            </w:tcMar>
            <w:vAlign w:val="center"/>
          </w:tcPr>
          <w:p w14:paraId="3430DABB">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Estimate</w:t>
            </w:r>
          </w:p>
        </w:tc>
        <w:tc>
          <w:tcPr>
            <w:tcW w:w="0" w:type="auto"/>
            <w:tcBorders>
              <w:top w:val="single" w:color="000000" w:sz="12" w:space="0"/>
              <w:bottom w:val="single" w:color="000000" w:sz="4" w:space="0"/>
            </w:tcBorders>
            <w:shd w:val="clear" w:color="auto" w:fill="FFFFFF"/>
            <w:tcMar>
              <w:top w:w="80" w:type="dxa"/>
              <w:left w:w="90" w:type="dxa"/>
              <w:bottom w:w="80" w:type="dxa"/>
              <w:right w:w="90" w:type="dxa"/>
            </w:tcMar>
            <w:vAlign w:val="center"/>
          </w:tcPr>
          <w:p w14:paraId="1B108C4A">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bCs/>
                <w:color w:val="000000"/>
                <w:sz w:val="24"/>
                <w:szCs w:val="24"/>
                <w:highlight w:val="none"/>
              </w:rPr>
            </w:pPr>
            <w:r>
              <w:rPr>
                <w:rFonts w:hint="default" w:ascii="Times New Roman" w:hAnsi="Times New Roman" w:eastAsia="Times New Roman" w:cs="Times New Roman"/>
                <w:b/>
                <w:bCs/>
                <w:color w:val="000000"/>
                <w:sz w:val="24"/>
                <w:szCs w:val="24"/>
                <w:highlight w:val="none"/>
              </w:rPr>
              <w:t>95% CI</w:t>
            </w:r>
          </w:p>
        </w:tc>
        <w:tc>
          <w:tcPr>
            <w:tcW w:w="1283" w:type="dxa"/>
            <w:tcBorders>
              <w:top w:val="single" w:color="000000" w:sz="12" w:space="0"/>
              <w:bottom w:val="single" w:color="000000" w:sz="4" w:space="0"/>
            </w:tcBorders>
            <w:shd w:val="clear" w:color="auto" w:fill="FFFFFF"/>
            <w:tcMar>
              <w:top w:w="80" w:type="dxa"/>
              <w:left w:w="90" w:type="dxa"/>
              <w:bottom w:w="80" w:type="dxa"/>
              <w:right w:w="90" w:type="dxa"/>
            </w:tcMar>
            <w:vAlign w:val="center"/>
          </w:tcPr>
          <w:p w14:paraId="69BE304E">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bCs/>
                <w:color w:val="000000"/>
                <w:sz w:val="24"/>
                <w:szCs w:val="24"/>
                <w:highlight w:val="none"/>
              </w:rPr>
            </w:pPr>
            <w:r>
              <w:rPr>
                <w:rFonts w:hint="default" w:ascii="Times New Roman" w:hAnsi="Times New Roman" w:eastAsia="Times New Roman" w:cs="Times New Roman"/>
                <w:b/>
                <w:bCs/>
                <w:i/>
                <w:iCs/>
                <w:color w:val="000000"/>
                <w:sz w:val="24"/>
                <w:szCs w:val="24"/>
                <w:highlight w:val="none"/>
              </w:rPr>
              <w:t xml:space="preserve">P </w:t>
            </w:r>
            <w:r>
              <w:rPr>
                <w:rFonts w:hint="default" w:ascii="Times New Roman" w:hAnsi="Times New Roman" w:eastAsia="宋体" w:cs="Times New Roman"/>
                <w:b/>
                <w:bCs/>
                <w:color w:val="000000"/>
                <w:sz w:val="24"/>
                <w:szCs w:val="24"/>
                <w:highlight w:val="none"/>
                <w:lang w:val="en-US" w:eastAsia="zh-CN"/>
              </w:rPr>
              <w:t>v</w:t>
            </w:r>
            <w:r>
              <w:rPr>
                <w:rFonts w:hint="default" w:ascii="Times New Roman" w:hAnsi="Times New Roman" w:eastAsia="Times New Roman" w:cs="Times New Roman"/>
                <w:b/>
                <w:bCs/>
                <w:color w:val="000000"/>
                <w:sz w:val="24"/>
                <w:szCs w:val="24"/>
                <w:highlight w:val="none"/>
              </w:rPr>
              <w:t>alue</w:t>
            </w:r>
          </w:p>
        </w:tc>
      </w:tr>
      <w:tr w14:paraId="41EFD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tcBorders>
            <w:shd w:val="clear" w:color="auto" w:fill="FFFFFF"/>
            <w:tcMar>
              <w:top w:w="80" w:type="dxa"/>
              <w:left w:w="90" w:type="dxa"/>
              <w:bottom w:w="80" w:type="dxa"/>
              <w:right w:w="90" w:type="dxa"/>
            </w:tcMar>
            <w:vAlign w:val="center"/>
          </w:tcPr>
          <w:p w14:paraId="4A081E67">
            <w:pPr>
              <w:snapToGrid w:val="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bCs w:val="0"/>
                <w:color w:val="000000"/>
                <w:sz w:val="24"/>
                <w:szCs w:val="24"/>
                <w:highlight w:val="none"/>
              </w:rPr>
              <w:t>Indirect effect (ACME)</w:t>
            </w:r>
          </w:p>
        </w:tc>
        <w:tc>
          <w:tcPr>
            <w:tcW w:w="0" w:type="auto"/>
            <w:tcBorders>
              <w:top w:val="single" w:color="000000" w:sz="4" w:space="0"/>
            </w:tcBorders>
            <w:shd w:val="clear" w:color="auto" w:fill="FFFFFF"/>
            <w:tcMar>
              <w:top w:w="80" w:type="dxa"/>
              <w:left w:w="90" w:type="dxa"/>
              <w:bottom w:w="80" w:type="dxa"/>
              <w:right w:w="90" w:type="dxa"/>
            </w:tcMar>
            <w:vAlign w:val="center"/>
          </w:tcPr>
          <w:p w14:paraId="167FF46D">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-0.016</w:t>
            </w:r>
          </w:p>
        </w:tc>
        <w:tc>
          <w:tcPr>
            <w:tcW w:w="0" w:type="auto"/>
            <w:tcBorders>
              <w:top w:val="single" w:color="000000" w:sz="4" w:space="0"/>
            </w:tcBorders>
            <w:shd w:val="clear" w:color="auto" w:fill="FFFFFF"/>
            <w:tcMar>
              <w:top w:w="80" w:type="dxa"/>
              <w:left w:w="90" w:type="dxa"/>
              <w:bottom w:w="80" w:type="dxa"/>
              <w:right w:w="90" w:type="dxa"/>
            </w:tcMar>
            <w:vAlign w:val="center"/>
          </w:tcPr>
          <w:p w14:paraId="4241BC31">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-0.034 to -0.001</w:t>
            </w:r>
          </w:p>
        </w:tc>
        <w:tc>
          <w:tcPr>
            <w:tcW w:w="1283" w:type="dxa"/>
            <w:tcBorders>
              <w:top w:val="single" w:color="000000" w:sz="4" w:space="0"/>
            </w:tcBorders>
            <w:shd w:val="clear" w:color="auto" w:fill="FFFFFF"/>
            <w:tcMar>
              <w:top w:w="80" w:type="dxa"/>
              <w:left w:w="90" w:type="dxa"/>
              <w:bottom w:w="80" w:type="dxa"/>
              <w:right w:w="90" w:type="dxa"/>
            </w:tcMar>
            <w:vAlign w:val="center"/>
          </w:tcPr>
          <w:p w14:paraId="2E90F036">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0.034</w:t>
            </w:r>
          </w:p>
        </w:tc>
      </w:tr>
      <w:tr w14:paraId="373B7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shd w:val="clear" w:color="auto" w:fill="FFFFFF"/>
            <w:tcMar>
              <w:top w:w="80" w:type="dxa"/>
              <w:left w:w="90" w:type="dxa"/>
              <w:bottom w:w="80" w:type="dxa"/>
              <w:right w:w="90" w:type="dxa"/>
            </w:tcMar>
            <w:vAlign w:val="center"/>
          </w:tcPr>
          <w:p w14:paraId="2A7E56F3">
            <w:pPr>
              <w:snapToGrid w:val="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bCs w:val="0"/>
                <w:color w:val="000000"/>
                <w:sz w:val="24"/>
                <w:szCs w:val="24"/>
                <w:highlight w:val="none"/>
              </w:rPr>
              <w:t>Direct effect (ADE)</w:t>
            </w:r>
          </w:p>
        </w:tc>
        <w:tc>
          <w:tcPr>
            <w:tcW w:w="0" w:type="auto"/>
            <w:shd w:val="clear" w:color="auto" w:fill="FFFFFF"/>
            <w:tcMar>
              <w:top w:w="80" w:type="dxa"/>
              <w:left w:w="90" w:type="dxa"/>
              <w:bottom w:w="80" w:type="dxa"/>
              <w:right w:w="90" w:type="dxa"/>
            </w:tcMar>
            <w:vAlign w:val="center"/>
          </w:tcPr>
          <w:p w14:paraId="1AC60A0B">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-0.067</w:t>
            </w:r>
          </w:p>
        </w:tc>
        <w:tc>
          <w:tcPr>
            <w:tcW w:w="0" w:type="auto"/>
            <w:shd w:val="clear" w:color="auto" w:fill="FFFFFF"/>
            <w:tcMar>
              <w:top w:w="80" w:type="dxa"/>
              <w:left w:w="90" w:type="dxa"/>
              <w:bottom w:w="80" w:type="dxa"/>
              <w:right w:w="90" w:type="dxa"/>
            </w:tcMar>
            <w:vAlign w:val="center"/>
          </w:tcPr>
          <w:p w14:paraId="19ED941E">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-0.139 to 0.003</w:t>
            </w:r>
          </w:p>
        </w:tc>
        <w:tc>
          <w:tcPr>
            <w:tcW w:w="1283" w:type="dxa"/>
            <w:shd w:val="clear" w:color="auto" w:fill="FFFFFF"/>
            <w:tcMar>
              <w:top w:w="80" w:type="dxa"/>
              <w:left w:w="90" w:type="dxa"/>
              <w:bottom w:w="80" w:type="dxa"/>
              <w:right w:w="90" w:type="dxa"/>
            </w:tcMar>
            <w:vAlign w:val="center"/>
          </w:tcPr>
          <w:p w14:paraId="1EA52074">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0.066</w:t>
            </w:r>
          </w:p>
        </w:tc>
      </w:tr>
      <w:tr w14:paraId="4B043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shd w:val="clear" w:color="auto" w:fill="FFFFFF"/>
            <w:tcMar>
              <w:top w:w="80" w:type="dxa"/>
              <w:left w:w="90" w:type="dxa"/>
              <w:bottom w:w="80" w:type="dxa"/>
              <w:right w:w="90" w:type="dxa"/>
            </w:tcMar>
            <w:vAlign w:val="center"/>
          </w:tcPr>
          <w:p w14:paraId="0F064486">
            <w:pPr>
              <w:snapToGrid w:val="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bCs w:val="0"/>
                <w:color w:val="000000"/>
                <w:sz w:val="24"/>
                <w:szCs w:val="24"/>
                <w:highlight w:val="none"/>
              </w:rPr>
              <w:t>Total effect</w:t>
            </w:r>
          </w:p>
        </w:tc>
        <w:tc>
          <w:tcPr>
            <w:tcW w:w="0" w:type="auto"/>
            <w:shd w:val="clear" w:color="auto" w:fill="FFFFFF"/>
            <w:tcMar>
              <w:top w:w="80" w:type="dxa"/>
              <w:left w:w="90" w:type="dxa"/>
              <w:bottom w:w="80" w:type="dxa"/>
              <w:right w:w="90" w:type="dxa"/>
            </w:tcMar>
            <w:vAlign w:val="center"/>
          </w:tcPr>
          <w:p w14:paraId="3D130C34">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-0.083</w:t>
            </w:r>
          </w:p>
        </w:tc>
        <w:tc>
          <w:tcPr>
            <w:tcW w:w="0" w:type="auto"/>
            <w:shd w:val="clear" w:color="auto" w:fill="FFFFFF"/>
            <w:tcMar>
              <w:top w:w="80" w:type="dxa"/>
              <w:left w:w="90" w:type="dxa"/>
              <w:bottom w:w="80" w:type="dxa"/>
              <w:right w:w="90" w:type="dxa"/>
            </w:tcMar>
            <w:vAlign w:val="center"/>
          </w:tcPr>
          <w:p w14:paraId="1462E58B">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-0.153 to -0.009</w:t>
            </w:r>
          </w:p>
        </w:tc>
        <w:tc>
          <w:tcPr>
            <w:tcW w:w="1283" w:type="dxa"/>
            <w:shd w:val="clear" w:color="auto" w:fill="FFFFFF"/>
            <w:tcMar>
              <w:top w:w="80" w:type="dxa"/>
              <w:left w:w="90" w:type="dxa"/>
              <w:bottom w:w="80" w:type="dxa"/>
              <w:right w:w="90" w:type="dxa"/>
            </w:tcMar>
            <w:vAlign w:val="center"/>
          </w:tcPr>
          <w:p w14:paraId="32B47FB2">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0.030</w:t>
            </w:r>
          </w:p>
        </w:tc>
      </w:tr>
      <w:tr w14:paraId="6392A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096" w:type="dxa"/>
            <w:tcBorders>
              <w:bottom w:val="single" w:color="000000" w:sz="12" w:space="0"/>
            </w:tcBorders>
            <w:shd w:val="clear" w:color="auto" w:fill="FFFFFF"/>
            <w:tcMar>
              <w:top w:w="80" w:type="dxa"/>
              <w:left w:w="90" w:type="dxa"/>
              <w:bottom w:w="80" w:type="dxa"/>
              <w:right w:w="90" w:type="dxa"/>
            </w:tcMar>
            <w:vAlign w:val="center"/>
          </w:tcPr>
          <w:p w14:paraId="18744F31">
            <w:pPr>
              <w:snapToGrid w:val="0"/>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bCs w:val="0"/>
                <w:color w:val="000000"/>
                <w:sz w:val="24"/>
                <w:szCs w:val="24"/>
                <w:highlight w:val="none"/>
              </w:rPr>
              <w:t>Proportion mediated</w:t>
            </w:r>
          </w:p>
        </w:tc>
        <w:tc>
          <w:tcPr>
            <w:tcW w:w="1478" w:type="dxa"/>
            <w:tcBorders>
              <w:bottom w:val="single" w:color="000000" w:sz="12" w:space="0"/>
            </w:tcBorders>
            <w:shd w:val="clear" w:color="auto" w:fill="FFFFFF"/>
            <w:tcMar>
              <w:top w:w="80" w:type="dxa"/>
              <w:left w:w="90" w:type="dxa"/>
              <w:bottom w:w="80" w:type="dxa"/>
              <w:right w:w="90" w:type="dxa"/>
            </w:tcMar>
            <w:vAlign w:val="center"/>
          </w:tcPr>
          <w:p w14:paraId="6FD0BFEE">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18.274%</w:t>
            </w:r>
          </w:p>
        </w:tc>
        <w:tc>
          <w:tcPr>
            <w:tcW w:w="2626" w:type="dxa"/>
            <w:tcBorders>
              <w:bottom w:val="single" w:color="000000" w:sz="12" w:space="0"/>
            </w:tcBorders>
            <w:shd w:val="clear" w:color="auto" w:fill="FFFFFF"/>
            <w:tcMar>
              <w:top w:w="80" w:type="dxa"/>
              <w:left w:w="90" w:type="dxa"/>
              <w:bottom w:w="80" w:type="dxa"/>
              <w:right w:w="90" w:type="dxa"/>
            </w:tcMar>
            <w:vAlign w:val="center"/>
          </w:tcPr>
          <w:p w14:paraId="00C09CAC">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-2.771 to 85.083%</w:t>
            </w:r>
          </w:p>
        </w:tc>
        <w:tc>
          <w:tcPr>
            <w:tcW w:w="1283" w:type="dxa"/>
            <w:tcBorders>
              <w:bottom w:val="single" w:color="000000" w:sz="12" w:space="0"/>
            </w:tcBorders>
            <w:shd w:val="clear" w:color="auto" w:fill="FFFFFF"/>
            <w:tcMar>
              <w:top w:w="80" w:type="dxa"/>
              <w:left w:w="90" w:type="dxa"/>
              <w:bottom w:w="80" w:type="dxa"/>
              <w:right w:w="90" w:type="dxa"/>
            </w:tcMar>
            <w:vAlign w:val="center"/>
          </w:tcPr>
          <w:p w14:paraId="64CE66FF">
            <w:pPr>
              <w:snapToGrid w:val="0"/>
              <w:spacing w:before="0" w:after="0" w:line="240" w:lineRule="auto"/>
              <w:ind w:left="0" w:leftChars="0" w:right="0" w:rightChars="0" w:firstLine="0" w:firstLineChars="0"/>
              <w:jc w:val="center"/>
              <w:rPr>
                <w:rFonts w:hint="default" w:ascii="Times New Roman" w:hAnsi="Times New Roman" w:eastAsia="Times New Roman" w:cs="Times New Roman"/>
                <w:b w:val="0"/>
                <w:color w:val="000000"/>
                <w:sz w:val="24"/>
                <w:szCs w:val="24"/>
                <w:highlight w:val="none"/>
              </w:rPr>
            </w:pPr>
            <w:r>
              <w:rPr>
                <w:rFonts w:hint="default" w:ascii="Times New Roman" w:hAnsi="Times New Roman" w:eastAsia="Times New Roman" w:cs="Times New Roman"/>
                <w:b w:val="0"/>
                <w:color w:val="000000"/>
                <w:sz w:val="24"/>
                <w:szCs w:val="24"/>
                <w:highlight w:val="none"/>
              </w:rPr>
              <w:t>0.064</w:t>
            </w:r>
          </w:p>
        </w:tc>
      </w:tr>
    </w:tbl>
    <w:p w14:paraId="6A8105BA">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Mediation analysis was performed in the sinus-rhythm mapping subgroup to explore whether LAD may partly account for the association between LDL-C and the presence of LVAs. The ACME was statistically significant (</w:t>
      </w:r>
      <w:r>
        <w:rPr>
          <w:rFonts w:hint="default" w:ascii="Times New Roman" w:hAnsi="Times New Roman" w:eastAsia="宋体" w:cs="Times New Roman"/>
          <w:i/>
          <w:iCs/>
          <w:kern w:val="2"/>
          <w:sz w:val="24"/>
          <w:szCs w:val="24"/>
          <w:highlight w:val="none"/>
          <w:lang w:val="en-US" w:eastAsia="zh-CN" w:bidi="ar"/>
        </w:rPr>
        <w:t>P</w:t>
      </w:r>
      <w:r>
        <w:rPr>
          <w:rFonts w:hint="default" w:ascii="Times New Roman" w:hAnsi="Times New Roman" w:eastAsia="宋体" w:cs="Times New Roman"/>
          <w:kern w:val="2"/>
          <w:sz w:val="24"/>
          <w:szCs w:val="24"/>
          <w:highlight w:val="none"/>
          <w:lang w:val="en-US" w:eastAsia="zh-CN" w:bidi="ar"/>
        </w:rPr>
        <w:t xml:space="preserve"> = 0.034), indicating a partial indirect effect through LAD. The proportion mediated was approximately 18%.</w:t>
      </w:r>
    </w:p>
    <w:p w14:paraId="3F0D9DBB">
      <w:pPr>
        <w:keepNext w:val="0"/>
        <w:keepLines w:val="0"/>
        <w:widowControl/>
        <w:suppressLineNumbers w:val="0"/>
        <w:spacing w:line="480" w:lineRule="auto"/>
        <w:jc w:val="left"/>
        <w:rPr>
          <w:rFonts w:hint="default" w:ascii="Times New Roman" w:hAnsi="Times New Roman" w:cs="Times New Roman" w:eastAsiaTheme="minorEastAsia"/>
          <w:b/>
          <w:bCs/>
          <w:kern w:val="0"/>
          <w:sz w:val="24"/>
          <w:szCs w:val="24"/>
          <w:highlight w:val="none"/>
          <w:lang w:bidi="ar"/>
        </w:rPr>
      </w:pPr>
      <w:r>
        <w:rPr>
          <w:rFonts w:hint="default" w:ascii="Times New Roman" w:hAnsi="Times New Roman" w:eastAsia="宋体" w:cs="Times New Roman"/>
          <w:b/>
          <w:bCs/>
          <w:kern w:val="2"/>
          <w:sz w:val="24"/>
          <w:szCs w:val="24"/>
          <w:highlight w:val="none"/>
          <w:lang w:val="en-US" w:eastAsia="zh-CN" w:bidi="ar"/>
        </w:rPr>
        <w:t xml:space="preserve">Abbreviations: </w:t>
      </w:r>
      <w:r>
        <w:rPr>
          <w:rFonts w:hint="default" w:ascii="Times New Roman" w:hAnsi="Times New Roman" w:eastAsia="宋体" w:cs="Times New Roman"/>
          <w:kern w:val="2"/>
          <w:sz w:val="24"/>
          <w:szCs w:val="24"/>
          <w:highlight w:val="none"/>
          <w:lang w:val="en-US" w:eastAsia="zh-CN" w:bidi="ar"/>
        </w:rPr>
        <w:t>ACME, average causal mediation effect; ADE, average direct effect; CI, confidence interval; LAD, left atrial diameter; LDL-C, low-density lipoprotein cholesterol; LVAs, left atrial low-voltage areas.</w:t>
      </w:r>
    </w:p>
    <w:p w14:paraId="0B5EFB90">
      <w:pPr>
        <w:keepNext w:val="0"/>
        <w:keepLines w:val="0"/>
        <w:widowControl/>
        <w:suppressLineNumbers w:val="0"/>
        <w:spacing w:line="480" w:lineRule="auto"/>
        <w:jc w:val="left"/>
        <w:rPr>
          <w:rFonts w:hint="default" w:ascii="Times New Roman" w:hAnsi="Times New Roman" w:eastAsia="宋体" w:cs="Times New Roman"/>
          <w:sz w:val="24"/>
          <w:szCs w:val="24"/>
          <w:highlight w:val="none"/>
        </w:rPr>
      </w:pPr>
      <w:r>
        <w:rPr>
          <w:rFonts w:hint="default" w:ascii="Times New Roman" w:hAnsi="Times New Roman" w:cs="Times New Roman" w:eastAsiaTheme="minorEastAsia"/>
          <w:b/>
          <w:bCs/>
          <w:kern w:val="0"/>
          <w:sz w:val="24"/>
          <w:szCs w:val="24"/>
          <w:highlight w:val="none"/>
          <w:lang w:bidi="ar"/>
        </w:rPr>
        <w:t>Supplementary Table S16.</w:t>
      </w:r>
      <w:r>
        <w:rPr>
          <w:rFonts w:hint="default" w:ascii="Times New Roman" w:hAnsi="Times New Roman" w:eastAsia="宋体" w:cs="Times New Roman"/>
          <w:sz w:val="24"/>
          <w:szCs w:val="24"/>
          <w:highlight w:val="none"/>
        </w:rPr>
        <w:t xml:space="preserve"> Baseline characteristics according to left atrial low-voltage area status after excluding patients with coronary artery disease.</w:t>
      </w:r>
    </w:p>
    <w:tbl>
      <w:tblPr>
        <w:tblStyle w:val="8"/>
        <w:tblW w:w="85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629"/>
        <w:gridCol w:w="2484"/>
        <w:gridCol w:w="2436"/>
        <w:gridCol w:w="955"/>
      </w:tblGrid>
      <w:tr w14:paraId="200D7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tcBorders>
              <w:top w:val="single" w:color="000000" w:sz="12" w:space="0"/>
              <w:left w:val="nil"/>
              <w:bottom w:val="single" w:color="000000" w:sz="4" w:space="0"/>
              <w:right w:val="nil"/>
              <w:tl2br w:val="nil"/>
            </w:tcBorders>
            <w:shd w:val="clear" w:color="auto" w:fill="FFFFFF"/>
            <w:vAlign w:val="center"/>
          </w:tcPr>
          <w:p w14:paraId="771CDC58">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b/>
                <w:bCs/>
                <w:i w:val="0"/>
                <w:iCs w:val="0"/>
                <w:color w:val="000000"/>
                <w:sz w:val="24"/>
                <w:szCs w:val="24"/>
                <w:highlight w:val="none"/>
                <w:u w:val="none"/>
              </w:rPr>
            </w:pPr>
            <w:r>
              <w:rPr>
                <w:rFonts w:hint="default" w:ascii="Times New Roman" w:hAnsi="Times New Roman" w:eastAsia="微软雅黑" w:cs="Times New Roman"/>
                <w:b/>
                <w:bCs/>
                <w:i w:val="0"/>
                <w:iCs w:val="0"/>
                <w:color w:val="000000"/>
                <w:kern w:val="0"/>
                <w:sz w:val="24"/>
                <w:szCs w:val="24"/>
                <w:highlight w:val="none"/>
                <w:u w:val="none"/>
                <w:lang w:val="en-US" w:eastAsia="zh-CN" w:bidi="ar"/>
              </w:rPr>
              <w:t>Variable</w:t>
            </w:r>
          </w:p>
        </w:tc>
        <w:tc>
          <w:tcPr>
            <w:tcW w:w="2515" w:type="dxa"/>
            <w:tcBorders>
              <w:top w:val="single" w:color="000000" w:sz="12" w:space="0"/>
              <w:left w:val="nil"/>
              <w:bottom w:val="single" w:color="000000" w:sz="4" w:space="0"/>
              <w:right w:val="nil"/>
            </w:tcBorders>
            <w:shd w:val="clear" w:color="auto" w:fill="FFFFFF"/>
            <w:vAlign w:val="center"/>
          </w:tcPr>
          <w:p w14:paraId="240210B3">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b/>
                <w:bCs/>
                <w:i w:val="0"/>
                <w:iCs w:val="0"/>
                <w:color w:val="000000"/>
                <w:kern w:val="0"/>
                <w:sz w:val="24"/>
                <w:szCs w:val="24"/>
                <w:highlight w:val="none"/>
                <w:u w:val="none"/>
                <w:lang w:val="en-US" w:eastAsia="zh-CN" w:bidi="ar"/>
              </w:rPr>
            </w:pPr>
            <w:r>
              <w:rPr>
                <w:rFonts w:hint="default" w:ascii="Times New Roman" w:hAnsi="Times New Roman" w:eastAsia="微软雅黑" w:cs="Times New Roman"/>
                <w:b/>
                <w:bCs/>
                <w:i w:val="0"/>
                <w:iCs w:val="0"/>
                <w:color w:val="000000"/>
                <w:kern w:val="0"/>
                <w:sz w:val="24"/>
                <w:szCs w:val="24"/>
                <w:highlight w:val="none"/>
                <w:u w:val="none"/>
                <w:lang w:val="en-US" w:eastAsia="zh-CN" w:bidi="ar"/>
              </w:rPr>
              <w:t>LVAs Absent</w:t>
            </w:r>
          </w:p>
          <w:p w14:paraId="71ECC684">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b/>
                <w:bCs/>
                <w:i w:val="0"/>
                <w:iCs w:val="0"/>
                <w:color w:val="000000"/>
                <w:sz w:val="24"/>
                <w:szCs w:val="24"/>
                <w:highlight w:val="none"/>
                <w:u w:val="none"/>
              </w:rPr>
            </w:pPr>
            <w:r>
              <w:rPr>
                <w:rFonts w:hint="default" w:ascii="Times New Roman" w:hAnsi="Times New Roman" w:eastAsia="微软雅黑" w:cs="Times New Roman"/>
                <w:b/>
                <w:bCs/>
                <w:i w:val="0"/>
                <w:iCs w:val="0"/>
                <w:color w:val="000000"/>
                <w:kern w:val="0"/>
                <w:sz w:val="24"/>
                <w:szCs w:val="24"/>
                <w:highlight w:val="none"/>
                <w:u w:val="none"/>
                <w:lang w:val="en-US" w:eastAsia="zh-CN" w:bidi="ar"/>
              </w:rPr>
              <w:t>（n=144）</w:t>
            </w:r>
          </w:p>
        </w:tc>
        <w:tc>
          <w:tcPr>
            <w:tcW w:w="0" w:type="auto"/>
            <w:tcBorders>
              <w:top w:val="single" w:color="000000" w:sz="12" w:space="0"/>
              <w:left w:val="nil"/>
              <w:bottom w:val="single" w:color="000000" w:sz="4" w:space="0"/>
              <w:right w:val="nil"/>
            </w:tcBorders>
            <w:shd w:val="clear" w:color="auto" w:fill="FFFFFF"/>
            <w:vAlign w:val="center"/>
          </w:tcPr>
          <w:p w14:paraId="32980CB4">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b/>
                <w:bCs/>
                <w:i w:val="0"/>
                <w:iCs w:val="0"/>
                <w:color w:val="000000"/>
                <w:sz w:val="24"/>
                <w:szCs w:val="24"/>
                <w:highlight w:val="none"/>
                <w:u w:val="none"/>
              </w:rPr>
            </w:pPr>
            <w:r>
              <w:rPr>
                <w:rFonts w:hint="default" w:ascii="Times New Roman" w:hAnsi="Times New Roman" w:eastAsia="微软雅黑" w:cs="Times New Roman"/>
                <w:b/>
                <w:bCs/>
                <w:i w:val="0"/>
                <w:iCs w:val="0"/>
                <w:color w:val="000000"/>
                <w:kern w:val="0"/>
                <w:sz w:val="24"/>
                <w:szCs w:val="24"/>
                <w:highlight w:val="none"/>
                <w:u w:val="none"/>
                <w:lang w:val="en-US" w:eastAsia="zh-CN" w:bidi="ar"/>
              </w:rPr>
              <w:t>LVAs Present</w:t>
            </w:r>
            <w:r>
              <w:rPr>
                <w:rFonts w:hint="default" w:ascii="Times New Roman" w:hAnsi="Times New Roman" w:eastAsia="微软雅黑" w:cs="Times New Roman"/>
                <w:b/>
                <w:bCs/>
                <w:i w:val="0"/>
                <w:iCs w:val="0"/>
                <w:color w:val="000000"/>
                <w:kern w:val="0"/>
                <w:sz w:val="24"/>
                <w:szCs w:val="24"/>
                <w:highlight w:val="none"/>
                <w:u w:val="none"/>
                <w:lang w:val="en-US" w:eastAsia="zh-CN" w:bidi="ar"/>
              </w:rPr>
              <w:br w:type="textWrapping"/>
            </w:r>
            <w:r>
              <w:rPr>
                <w:rFonts w:hint="default" w:ascii="Times New Roman" w:hAnsi="Times New Roman" w:eastAsia="微软雅黑" w:cs="Times New Roman"/>
                <w:b/>
                <w:bCs/>
                <w:i w:val="0"/>
                <w:iCs w:val="0"/>
                <w:color w:val="000000"/>
                <w:kern w:val="0"/>
                <w:sz w:val="24"/>
                <w:szCs w:val="24"/>
                <w:highlight w:val="none"/>
                <w:u w:val="none"/>
                <w:lang w:val="en-US" w:eastAsia="zh-CN" w:bidi="ar"/>
              </w:rPr>
              <w:t>（n=192）</w:t>
            </w:r>
          </w:p>
        </w:tc>
        <w:tc>
          <w:tcPr>
            <w:tcW w:w="995" w:type="dxa"/>
            <w:tcBorders>
              <w:top w:val="single" w:color="000000" w:sz="12" w:space="0"/>
              <w:left w:val="nil"/>
              <w:bottom w:val="single" w:color="000000" w:sz="4" w:space="0"/>
              <w:right w:val="nil"/>
            </w:tcBorders>
            <w:shd w:val="clear" w:color="auto" w:fill="FFFFFF"/>
            <w:vAlign w:val="center"/>
          </w:tcPr>
          <w:p w14:paraId="6499C7C9">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b/>
                <w:bCs/>
                <w:i w:val="0"/>
                <w:iCs w:val="0"/>
                <w:color w:val="000000"/>
                <w:sz w:val="24"/>
                <w:szCs w:val="24"/>
                <w:highlight w:val="none"/>
                <w:u w:val="none"/>
              </w:rPr>
            </w:pPr>
            <w:r>
              <w:rPr>
                <w:rFonts w:hint="default" w:ascii="Times New Roman" w:hAnsi="Times New Roman" w:eastAsia="微软雅黑" w:cs="Times New Roman"/>
                <w:b/>
                <w:bCs/>
                <w:i/>
                <w:iCs/>
                <w:color w:val="000000"/>
                <w:kern w:val="0"/>
                <w:sz w:val="24"/>
                <w:szCs w:val="24"/>
                <w:highlight w:val="none"/>
                <w:u w:val="none"/>
                <w:lang w:val="en-US" w:eastAsia="zh-CN" w:bidi="ar"/>
              </w:rPr>
              <w:t>P</w:t>
            </w:r>
            <w:r>
              <w:rPr>
                <w:rFonts w:hint="default" w:ascii="Times New Roman" w:hAnsi="Times New Roman" w:eastAsia="微软雅黑" w:cs="Times New Roman"/>
                <w:b/>
                <w:bCs/>
                <w:i w:val="0"/>
                <w:iCs w:val="0"/>
                <w:color w:val="000000"/>
                <w:kern w:val="0"/>
                <w:sz w:val="24"/>
                <w:szCs w:val="24"/>
                <w:highlight w:val="none"/>
                <w:u w:val="none"/>
                <w:lang w:val="en-US" w:eastAsia="zh-CN" w:bidi="ar"/>
              </w:rPr>
              <w:t xml:space="preserve"> value</w:t>
            </w:r>
          </w:p>
        </w:tc>
      </w:tr>
      <w:tr w14:paraId="46F41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nil"/>
              <w:bottom w:val="nil"/>
              <w:right w:val="nil"/>
            </w:tcBorders>
            <w:shd w:val="clear" w:color="auto" w:fill="FFFFFF"/>
            <w:vAlign w:val="center"/>
          </w:tcPr>
          <w:p w14:paraId="5B7FCCD7">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Age, years</w:t>
            </w:r>
          </w:p>
        </w:tc>
        <w:tc>
          <w:tcPr>
            <w:tcW w:w="2515" w:type="dxa"/>
            <w:tcBorders>
              <w:top w:val="single" w:color="000000" w:sz="4" w:space="0"/>
              <w:left w:val="nil"/>
              <w:bottom w:val="nil"/>
              <w:right w:val="nil"/>
            </w:tcBorders>
            <w:shd w:val="clear" w:color="auto" w:fill="FFFFFF"/>
            <w:vAlign w:val="center"/>
          </w:tcPr>
          <w:p w14:paraId="206872BF">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65.50[57.00-71.00]</w:t>
            </w:r>
          </w:p>
        </w:tc>
        <w:tc>
          <w:tcPr>
            <w:tcW w:w="0" w:type="auto"/>
            <w:tcBorders>
              <w:top w:val="single" w:color="000000" w:sz="4" w:space="0"/>
              <w:left w:val="nil"/>
              <w:bottom w:val="nil"/>
              <w:right w:val="nil"/>
            </w:tcBorders>
            <w:shd w:val="clear" w:color="auto" w:fill="FFFFFF"/>
            <w:vAlign w:val="center"/>
          </w:tcPr>
          <w:p w14:paraId="3ED0AD06">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68.00[62.75-73.00]</w:t>
            </w:r>
          </w:p>
        </w:tc>
        <w:tc>
          <w:tcPr>
            <w:tcW w:w="995" w:type="dxa"/>
            <w:tcBorders>
              <w:top w:val="single" w:color="000000" w:sz="4" w:space="0"/>
              <w:left w:val="nil"/>
              <w:bottom w:val="nil"/>
              <w:right w:val="nil"/>
            </w:tcBorders>
            <w:shd w:val="clear" w:color="auto" w:fill="FFFFFF"/>
            <w:vAlign w:val="center"/>
          </w:tcPr>
          <w:p w14:paraId="49A7895E">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&lt;0.001</w:t>
            </w:r>
          </w:p>
        </w:tc>
      </w:tr>
      <w:tr w14:paraId="6B646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05E441A1">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Male, n（%）</w:t>
            </w:r>
          </w:p>
        </w:tc>
        <w:tc>
          <w:tcPr>
            <w:tcW w:w="2515" w:type="dxa"/>
            <w:tcBorders>
              <w:top w:val="nil"/>
              <w:left w:val="nil"/>
              <w:bottom w:val="nil"/>
              <w:right w:val="nil"/>
            </w:tcBorders>
            <w:shd w:val="clear" w:color="auto" w:fill="FFFFFF"/>
            <w:vAlign w:val="center"/>
          </w:tcPr>
          <w:p w14:paraId="4498C3E1">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107(74.3%)</w:t>
            </w:r>
          </w:p>
        </w:tc>
        <w:tc>
          <w:tcPr>
            <w:tcW w:w="0" w:type="auto"/>
            <w:tcBorders>
              <w:top w:val="nil"/>
              <w:left w:val="nil"/>
              <w:bottom w:val="nil"/>
              <w:right w:val="nil"/>
            </w:tcBorders>
            <w:shd w:val="clear" w:color="auto" w:fill="FFFFFF"/>
            <w:vAlign w:val="center"/>
          </w:tcPr>
          <w:p w14:paraId="161A7520">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102(53.1%)</w:t>
            </w:r>
          </w:p>
        </w:tc>
        <w:tc>
          <w:tcPr>
            <w:tcW w:w="995" w:type="dxa"/>
            <w:tcBorders>
              <w:top w:val="nil"/>
              <w:left w:val="nil"/>
              <w:bottom w:val="nil"/>
              <w:right w:val="nil"/>
            </w:tcBorders>
            <w:shd w:val="clear" w:color="auto" w:fill="FFFFFF"/>
            <w:vAlign w:val="center"/>
          </w:tcPr>
          <w:p w14:paraId="78D5A129">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&lt;0.001</w:t>
            </w:r>
          </w:p>
        </w:tc>
      </w:tr>
      <w:tr w14:paraId="45DC8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486E7D15">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Female, n（%）</w:t>
            </w:r>
          </w:p>
        </w:tc>
        <w:tc>
          <w:tcPr>
            <w:tcW w:w="2515" w:type="dxa"/>
            <w:tcBorders>
              <w:top w:val="nil"/>
              <w:left w:val="nil"/>
              <w:bottom w:val="nil"/>
              <w:right w:val="nil"/>
            </w:tcBorders>
            <w:shd w:val="clear" w:color="auto" w:fill="FFFFFF"/>
            <w:vAlign w:val="center"/>
          </w:tcPr>
          <w:p w14:paraId="59DAC201">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37(25.7%)</w:t>
            </w:r>
          </w:p>
        </w:tc>
        <w:tc>
          <w:tcPr>
            <w:tcW w:w="0" w:type="auto"/>
            <w:tcBorders>
              <w:top w:val="nil"/>
              <w:left w:val="nil"/>
              <w:bottom w:val="nil"/>
              <w:right w:val="nil"/>
            </w:tcBorders>
            <w:shd w:val="clear" w:color="auto" w:fill="FFFFFF"/>
            <w:vAlign w:val="center"/>
          </w:tcPr>
          <w:p w14:paraId="1DD46055">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90(46.9%)</w:t>
            </w:r>
          </w:p>
        </w:tc>
        <w:tc>
          <w:tcPr>
            <w:tcW w:w="995" w:type="dxa"/>
            <w:tcBorders>
              <w:top w:val="nil"/>
              <w:left w:val="nil"/>
              <w:bottom w:val="nil"/>
              <w:right w:val="nil"/>
            </w:tcBorders>
            <w:shd w:val="clear" w:color="auto" w:fill="FFFFFF"/>
            <w:vAlign w:val="center"/>
          </w:tcPr>
          <w:p w14:paraId="64080F41">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&lt;0.001</w:t>
            </w:r>
          </w:p>
        </w:tc>
      </w:tr>
      <w:tr w14:paraId="636C9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2CE2F8C9">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Smoking history, n（%）</w:t>
            </w:r>
          </w:p>
        </w:tc>
        <w:tc>
          <w:tcPr>
            <w:tcW w:w="2515" w:type="dxa"/>
            <w:tcBorders>
              <w:top w:val="nil"/>
              <w:left w:val="nil"/>
              <w:bottom w:val="nil"/>
              <w:right w:val="nil"/>
            </w:tcBorders>
            <w:shd w:val="clear" w:color="auto" w:fill="FFFFFF"/>
            <w:vAlign w:val="center"/>
          </w:tcPr>
          <w:p w14:paraId="20DA44C1">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31(21.5%)</w:t>
            </w:r>
          </w:p>
        </w:tc>
        <w:tc>
          <w:tcPr>
            <w:tcW w:w="0" w:type="auto"/>
            <w:tcBorders>
              <w:top w:val="nil"/>
              <w:left w:val="nil"/>
              <w:bottom w:val="nil"/>
              <w:right w:val="nil"/>
            </w:tcBorders>
            <w:shd w:val="clear" w:color="auto" w:fill="FFFFFF"/>
            <w:vAlign w:val="center"/>
          </w:tcPr>
          <w:p w14:paraId="697CB53A">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37(19.3%)</w:t>
            </w:r>
          </w:p>
        </w:tc>
        <w:tc>
          <w:tcPr>
            <w:tcW w:w="995" w:type="dxa"/>
            <w:tcBorders>
              <w:top w:val="nil"/>
              <w:left w:val="nil"/>
              <w:bottom w:val="nil"/>
              <w:right w:val="nil"/>
            </w:tcBorders>
            <w:shd w:val="clear" w:color="auto" w:fill="FFFFFF"/>
            <w:vAlign w:val="center"/>
          </w:tcPr>
          <w:p w14:paraId="7B6F3EEB">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0.71</w:t>
            </w:r>
          </w:p>
        </w:tc>
      </w:tr>
      <w:tr w14:paraId="2A88C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6D8BFB56">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Drinking history, n（%）</w:t>
            </w:r>
          </w:p>
        </w:tc>
        <w:tc>
          <w:tcPr>
            <w:tcW w:w="2515" w:type="dxa"/>
            <w:tcBorders>
              <w:top w:val="nil"/>
              <w:left w:val="nil"/>
              <w:bottom w:val="nil"/>
              <w:right w:val="nil"/>
            </w:tcBorders>
            <w:shd w:val="clear" w:color="auto" w:fill="FFFFFF"/>
            <w:vAlign w:val="center"/>
          </w:tcPr>
          <w:p w14:paraId="34C6C6E9">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33(22.9%)</w:t>
            </w:r>
          </w:p>
        </w:tc>
        <w:tc>
          <w:tcPr>
            <w:tcW w:w="0" w:type="auto"/>
            <w:tcBorders>
              <w:top w:val="nil"/>
              <w:left w:val="nil"/>
              <w:bottom w:val="nil"/>
              <w:right w:val="nil"/>
            </w:tcBorders>
            <w:shd w:val="clear" w:color="auto" w:fill="FFFFFF"/>
            <w:vAlign w:val="center"/>
          </w:tcPr>
          <w:p w14:paraId="477CF4E8">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28(14.6%)</w:t>
            </w:r>
          </w:p>
        </w:tc>
        <w:tc>
          <w:tcPr>
            <w:tcW w:w="995" w:type="dxa"/>
            <w:tcBorders>
              <w:top w:val="nil"/>
              <w:left w:val="nil"/>
              <w:bottom w:val="nil"/>
              <w:right w:val="nil"/>
            </w:tcBorders>
            <w:shd w:val="clear" w:color="auto" w:fill="FFFFFF"/>
            <w:vAlign w:val="center"/>
          </w:tcPr>
          <w:p w14:paraId="6CAAD5DE">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0.069</w:t>
            </w:r>
          </w:p>
        </w:tc>
      </w:tr>
      <w:tr w14:paraId="736F0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0DFD7941">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Systolic blood pressure, mm Hg</w:t>
            </w:r>
          </w:p>
        </w:tc>
        <w:tc>
          <w:tcPr>
            <w:tcW w:w="2515" w:type="dxa"/>
            <w:tcBorders>
              <w:top w:val="nil"/>
              <w:left w:val="nil"/>
              <w:bottom w:val="nil"/>
              <w:right w:val="nil"/>
            </w:tcBorders>
            <w:shd w:val="clear" w:color="auto" w:fill="FFFFFF"/>
            <w:vAlign w:val="center"/>
          </w:tcPr>
          <w:p w14:paraId="6EBB0E02">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129.83±14.11</w:t>
            </w:r>
          </w:p>
        </w:tc>
        <w:tc>
          <w:tcPr>
            <w:tcW w:w="0" w:type="auto"/>
            <w:tcBorders>
              <w:top w:val="nil"/>
              <w:left w:val="nil"/>
              <w:bottom w:val="nil"/>
              <w:right w:val="nil"/>
            </w:tcBorders>
            <w:shd w:val="clear" w:color="auto" w:fill="FFFFFF"/>
            <w:vAlign w:val="center"/>
          </w:tcPr>
          <w:p w14:paraId="4FB333C2">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130.10±15.69</w:t>
            </w:r>
          </w:p>
        </w:tc>
        <w:tc>
          <w:tcPr>
            <w:tcW w:w="995" w:type="dxa"/>
            <w:tcBorders>
              <w:top w:val="nil"/>
              <w:left w:val="nil"/>
              <w:bottom w:val="nil"/>
              <w:right w:val="nil"/>
            </w:tcBorders>
            <w:shd w:val="clear" w:color="auto" w:fill="FFFFFF"/>
            <w:vAlign w:val="center"/>
          </w:tcPr>
          <w:p w14:paraId="3505FB2E">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0.865</w:t>
            </w:r>
          </w:p>
        </w:tc>
      </w:tr>
      <w:tr w14:paraId="05355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11F801EF">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Diastolic blood pressure, mm Hg</w:t>
            </w:r>
          </w:p>
        </w:tc>
        <w:tc>
          <w:tcPr>
            <w:tcW w:w="2515" w:type="dxa"/>
            <w:tcBorders>
              <w:top w:val="nil"/>
              <w:left w:val="nil"/>
              <w:bottom w:val="nil"/>
              <w:right w:val="nil"/>
            </w:tcBorders>
            <w:shd w:val="clear" w:color="auto" w:fill="FFFFFF"/>
            <w:vAlign w:val="center"/>
          </w:tcPr>
          <w:p w14:paraId="321F145E">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82.00[73.75-89.25]</w:t>
            </w:r>
          </w:p>
        </w:tc>
        <w:tc>
          <w:tcPr>
            <w:tcW w:w="0" w:type="auto"/>
            <w:tcBorders>
              <w:top w:val="nil"/>
              <w:left w:val="nil"/>
              <w:bottom w:val="nil"/>
              <w:right w:val="nil"/>
            </w:tcBorders>
            <w:shd w:val="clear" w:color="auto" w:fill="FFFFFF"/>
            <w:vAlign w:val="center"/>
          </w:tcPr>
          <w:p w14:paraId="6C571545">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83.00[74.00-90.00]</w:t>
            </w:r>
          </w:p>
        </w:tc>
        <w:tc>
          <w:tcPr>
            <w:tcW w:w="995" w:type="dxa"/>
            <w:tcBorders>
              <w:top w:val="nil"/>
              <w:left w:val="nil"/>
              <w:bottom w:val="nil"/>
              <w:right w:val="nil"/>
            </w:tcBorders>
            <w:shd w:val="clear" w:color="auto" w:fill="FFFFFF"/>
            <w:vAlign w:val="center"/>
          </w:tcPr>
          <w:p w14:paraId="2EE817E4">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0.655</w:t>
            </w:r>
          </w:p>
        </w:tc>
      </w:tr>
      <w:tr w14:paraId="120B0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61346CD6">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Body mass index, kg/m²</w:t>
            </w:r>
          </w:p>
        </w:tc>
        <w:tc>
          <w:tcPr>
            <w:tcW w:w="2515" w:type="dxa"/>
            <w:tcBorders>
              <w:top w:val="nil"/>
              <w:left w:val="nil"/>
              <w:bottom w:val="nil"/>
              <w:right w:val="nil"/>
            </w:tcBorders>
            <w:shd w:val="clear" w:color="auto" w:fill="FFFFFF"/>
            <w:vAlign w:val="center"/>
          </w:tcPr>
          <w:p w14:paraId="55039ECA">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25.58[23.71-28.47]</w:t>
            </w:r>
          </w:p>
        </w:tc>
        <w:tc>
          <w:tcPr>
            <w:tcW w:w="0" w:type="auto"/>
            <w:tcBorders>
              <w:top w:val="nil"/>
              <w:left w:val="nil"/>
              <w:bottom w:val="nil"/>
              <w:right w:val="nil"/>
            </w:tcBorders>
            <w:shd w:val="clear" w:color="auto" w:fill="FFFFFF"/>
            <w:vAlign w:val="center"/>
          </w:tcPr>
          <w:p w14:paraId="3EEDD044">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25.00[23.09-27.36]</w:t>
            </w:r>
          </w:p>
        </w:tc>
        <w:tc>
          <w:tcPr>
            <w:tcW w:w="995" w:type="dxa"/>
            <w:tcBorders>
              <w:top w:val="nil"/>
              <w:left w:val="nil"/>
              <w:bottom w:val="nil"/>
              <w:right w:val="nil"/>
            </w:tcBorders>
            <w:shd w:val="clear" w:color="auto" w:fill="FFFFFF"/>
            <w:vAlign w:val="center"/>
          </w:tcPr>
          <w:p w14:paraId="0F7F94B7">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0.056</w:t>
            </w:r>
          </w:p>
        </w:tc>
      </w:tr>
      <w:tr w14:paraId="27E60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3740E80F">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CHA2DS2-VASc score</w:t>
            </w:r>
          </w:p>
        </w:tc>
        <w:tc>
          <w:tcPr>
            <w:tcW w:w="2515" w:type="dxa"/>
            <w:tcBorders>
              <w:top w:val="nil"/>
              <w:left w:val="nil"/>
              <w:bottom w:val="nil"/>
              <w:right w:val="nil"/>
            </w:tcBorders>
            <w:shd w:val="clear" w:color="auto" w:fill="FFFFFF"/>
            <w:vAlign w:val="center"/>
          </w:tcPr>
          <w:p w14:paraId="332F6CCD">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3.00[1.75-4.00]</w:t>
            </w:r>
          </w:p>
        </w:tc>
        <w:tc>
          <w:tcPr>
            <w:tcW w:w="0" w:type="auto"/>
            <w:tcBorders>
              <w:top w:val="nil"/>
              <w:left w:val="nil"/>
              <w:bottom w:val="nil"/>
              <w:right w:val="nil"/>
            </w:tcBorders>
            <w:shd w:val="clear" w:color="auto" w:fill="FFFFFF"/>
            <w:vAlign w:val="center"/>
          </w:tcPr>
          <w:p w14:paraId="5EB7D4F4">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4.00[2.00-4.00]</w:t>
            </w:r>
          </w:p>
        </w:tc>
        <w:tc>
          <w:tcPr>
            <w:tcW w:w="995" w:type="dxa"/>
            <w:tcBorders>
              <w:top w:val="nil"/>
              <w:left w:val="nil"/>
              <w:bottom w:val="nil"/>
              <w:right w:val="nil"/>
            </w:tcBorders>
            <w:shd w:val="clear" w:color="auto" w:fill="FFFFFF"/>
            <w:vAlign w:val="center"/>
          </w:tcPr>
          <w:p w14:paraId="16CB41D4">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&lt;0.001</w:t>
            </w:r>
          </w:p>
        </w:tc>
      </w:tr>
      <w:tr w14:paraId="1BE8B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4089B777">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Atrial fibrillation duration, years</w:t>
            </w:r>
          </w:p>
        </w:tc>
        <w:tc>
          <w:tcPr>
            <w:tcW w:w="2515" w:type="dxa"/>
            <w:tcBorders>
              <w:top w:val="nil"/>
              <w:left w:val="nil"/>
              <w:bottom w:val="nil"/>
              <w:right w:val="nil"/>
            </w:tcBorders>
            <w:shd w:val="clear" w:color="auto" w:fill="FFFFFF"/>
            <w:vAlign w:val="center"/>
          </w:tcPr>
          <w:p w14:paraId="36594CC1">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1.00[0.24-3.00]</w:t>
            </w:r>
          </w:p>
        </w:tc>
        <w:tc>
          <w:tcPr>
            <w:tcW w:w="0" w:type="auto"/>
            <w:tcBorders>
              <w:top w:val="nil"/>
              <w:left w:val="nil"/>
              <w:bottom w:val="nil"/>
              <w:right w:val="nil"/>
            </w:tcBorders>
            <w:shd w:val="clear" w:color="auto" w:fill="FFFFFF"/>
            <w:vAlign w:val="center"/>
          </w:tcPr>
          <w:p w14:paraId="0578CC86">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1.00[0.24-4.00]</w:t>
            </w:r>
          </w:p>
        </w:tc>
        <w:tc>
          <w:tcPr>
            <w:tcW w:w="995" w:type="dxa"/>
            <w:tcBorders>
              <w:top w:val="nil"/>
              <w:left w:val="nil"/>
              <w:bottom w:val="nil"/>
              <w:right w:val="nil"/>
            </w:tcBorders>
            <w:shd w:val="clear" w:color="auto" w:fill="FFFFFF"/>
            <w:vAlign w:val="center"/>
          </w:tcPr>
          <w:p w14:paraId="26533B44">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0.273</w:t>
            </w:r>
          </w:p>
        </w:tc>
      </w:tr>
      <w:tr w14:paraId="07353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1D49B48E">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b w:val="0"/>
                <w:bCs/>
                <w:i w:val="0"/>
                <w:iCs w:val="0"/>
                <w:color w:val="000000"/>
                <w:sz w:val="24"/>
                <w:szCs w:val="24"/>
                <w:highlight w:val="none"/>
                <w:u w:val="none"/>
              </w:rPr>
            </w:pPr>
            <w:r>
              <w:rPr>
                <w:rFonts w:hint="default" w:ascii="Times New Roman" w:hAnsi="Times New Roman" w:eastAsia="微软雅黑" w:cs="Times New Roman"/>
                <w:b w:val="0"/>
                <w:bCs/>
                <w:i w:val="0"/>
                <w:iCs w:val="0"/>
                <w:color w:val="000000"/>
                <w:kern w:val="0"/>
                <w:sz w:val="24"/>
                <w:szCs w:val="24"/>
                <w:highlight w:val="none"/>
                <w:u w:val="none"/>
                <w:lang w:val="en-US" w:eastAsia="zh-CN" w:bidi="ar"/>
              </w:rPr>
              <w:t>Laboratory findings</w:t>
            </w:r>
          </w:p>
        </w:tc>
        <w:tc>
          <w:tcPr>
            <w:tcW w:w="2515" w:type="dxa"/>
            <w:tcBorders>
              <w:top w:val="nil"/>
              <w:left w:val="nil"/>
              <w:bottom w:val="nil"/>
              <w:right w:val="nil"/>
            </w:tcBorders>
            <w:shd w:val="clear" w:color="auto" w:fill="FFFFFF"/>
            <w:vAlign w:val="center"/>
          </w:tcPr>
          <w:p w14:paraId="093B0BAB">
            <w:pPr>
              <w:snapToGrid w:val="0"/>
              <w:ind w:left="0" w:leftChars="0" w:right="0" w:rightChars="0" w:firstLine="0" w:firstLineChars="0"/>
              <w:jc w:val="center"/>
              <w:rPr>
                <w:rFonts w:hint="default" w:ascii="Times New Roman" w:hAnsi="Times New Roman" w:eastAsia="微软雅黑" w:cs="Times New Roman"/>
                <w:i w:val="0"/>
                <w:iCs w:val="0"/>
                <w:color w:val="000000"/>
                <w:sz w:val="24"/>
                <w:szCs w:val="24"/>
                <w:highlight w:val="none"/>
                <w:u w:val="none"/>
              </w:rPr>
            </w:pPr>
          </w:p>
        </w:tc>
        <w:tc>
          <w:tcPr>
            <w:tcW w:w="0" w:type="auto"/>
            <w:tcBorders>
              <w:top w:val="nil"/>
              <w:left w:val="nil"/>
              <w:bottom w:val="nil"/>
              <w:right w:val="nil"/>
            </w:tcBorders>
            <w:shd w:val="clear" w:color="auto" w:fill="FFFFFF"/>
            <w:vAlign w:val="center"/>
          </w:tcPr>
          <w:p w14:paraId="27F40195">
            <w:pPr>
              <w:snapToGrid w:val="0"/>
              <w:ind w:left="0" w:leftChars="0" w:right="0" w:rightChars="0" w:firstLine="0" w:firstLineChars="0"/>
              <w:jc w:val="center"/>
              <w:rPr>
                <w:rFonts w:hint="default" w:ascii="Times New Roman" w:hAnsi="Times New Roman" w:eastAsia="微软雅黑" w:cs="Times New Roman"/>
                <w:i w:val="0"/>
                <w:iCs w:val="0"/>
                <w:color w:val="000000"/>
                <w:sz w:val="24"/>
                <w:szCs w:val="24"/>
                <w:highlight w:val="none"/>
                <w:u w:val="none"/>
              </w:rPr>
            </w:pPr>
          </w:p>
        </w:tc>
        <w:tc>
          <w:tcPr>
            <w:tcW w:w="995" w:type="dxa"/>
            <w:tcBorders>
              <w:top w:val="nil"/>
              <w:left w:val="nil"/>
              <w:bottom w:val="nil"/>
              <w:right w:val="nil"/>
            </w:tcBorders>
            <w:shd w:val="clear" w:color="auto" w:fill="FFFFFF"/>
            <w:vAlign w:val="center"/>
          </w:tcPr>
          <w:p w14:paraId="09E3FDD7">
            <w:pPr>
              <w:snapToGrid w:val="0"/>
              <w:ind w:left="0" w:leftChars="0" w:right="0" w:rightChars="0" w:firstLine="0" w:firstLineChars="0"/>
              <w:jc w:val="center"/>
              <w:rPr>
                <w:rFonts w:hint="default" w:ascii="Times New Roman" w:hAnsi="Times New Roman" w:eastAsia="微软雅黑" w:cs="Times New Roman"/>
                <w:i w:val="0"/>
                <w:iCs w:val="0"/>
                <w:color w:val="000000"/>
                <w:sz w:val="24"/>
                <w:szCs w:val="24"/>
                <w:highlight w:val="none"/>
                <w:u w:val="none"/>
              </w:rPr>
            </w:pPr>
          </w:p>
        </w:tc>
      </w:tr>
      <w:tr w14:paraId="0DE1A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74C4553D">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Total Cholesterol, mmol/L</w:t>
            </w:r>
          </w:p>
        </w:tc>
        <w:tc>
          <w:tcPr>
            <w:tcW w:w="2515" w:type="dxa"/>
            <w:tcBorders>
              <w:top w:val="nil"/>
              <w:left w:val="nil"/>
              <w:bottom w:val="nil"/>
              <w:right w:val="nil"/>
            </w:tcBorders>
            <w:shd w:val="clear" w:color="auto" w:fill="FFFFFF"/>
            <w:vAlign w:val="center"/>
          </w:tcPr>
          <w:p w14:paraId="610BCE36">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4.34[3.68-4.98]</w:t>
            </w:r>
          </w:p>
        </w:tc>
        <w:tc>
          <w:tcPr>
            <w:tcW w:w="0" w:type="auto"/>
            <w:tcBorders>
              <w:top w:val="nil"/>
              <w:left w:val="nil"/>
              <w:bottom w:val="nil"/>
              <w:right w:val="nil"/>
            </w:tcBorders>
            <w:shd w:val="clear" w:color="auto" w:fill="FFFFFF"/>
            <w:vAlign w:val="center"/>
          </w:tcPr>
          <w:p w14:paraId="6598403F">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4.04[3.51-4.68]</w:t>
            </w:r>
          </w:p>
        </w:tc>
        <w:tc>
          <w:tcPr>
            <w:tcW w:w="995" w:type="dxa"/>
            <w:tcBorders>
              <w:top w:val="nil"/>
              <w:left w:val="nil"/>
              <w:bottom w:val="nil"/>
              <w:right w:val="nil"/>
            </w:tcBorders>
            <w:shd w:val="clear" w:color="auto" w:fill="FFFFFF"/>
            <w:vAlign w:val="center"/>
          </w:tcPr>
          <w:p w14:paraId="7252A475">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0.015</w:t>
            </w:r>
          </w:p>
        </w:tc>
      </w:tr>
      <w:tr w14:paraId="09D51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39154302">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Triglycerides, mmol/L</w:t>
            </w:r>
          </w:p>
        </w:tc>
        <w:tc>
          <w:tcPr>
            <w:tcW w:w="2515" w:type="dxa"/>
            <w:tcBorders>
              <w:top w:val="nil"/>
              <w:left w:val="nil"/>
              <w:bottom w:val="nil"/>
              <w:right w:val="nil"/>
            </w:tcBorders>
            <w:shd w:val="clear" w:color="auto" w:fill="FFFFFF"/>
            <w:vAlign w:val="center"/>
          </w:tcPr>
          <w:p w14:paraId="163349A4">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1.25[0.94-1.87]</w:t>
            </w:r>
          </w:p>
        </w:tc>
        <w:tc>
          <w:tcPr>
            <w:tcW w:w="0" w:type="auto"/>
            <w:tcBorders>
              <w:top w:val="nil"/>
              <w:left w:val="nil"/>
              <w:bottom w:val="nil"/>
              <w:right w:val="nil"/>
            </w:tcBorders>
            <w:shd w:val="clear" w:color="auto" w:fill="FFFFFF"/>
            <w:vAlign w:val="center"/>
          </w:tcPr>
          <w:p w14:paraId="65CEA7C4">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1.24[0.89-1.74]</w:t>
            </w:r>
          </w:p>
        </w:tc>
        <w:tc>
          <w:tcPr>
            <w:tcW w:w="995" w:type="dxa"/>
            <w:tcBorders>
              <w:top w:val="nil"/>
              <w:left w:val="nil"/>
              <w:bottom w:val="nil"/>
              <w:right w:val="nil"/>
            </w:tcBorders>
            <w:shd w:val="clear" w:color="auto" w:fill="FFFFFF"/>
            <w:vAlign w:val="center"/>
          </w:tcPr>
          <w:p w14:paraId="31185908">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0.387</w:t>
            </w:r>
          </w:p>
        </w:tc>
      </w:tr>
      <w:tr w14:paraId="30AB0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3BFC60B8">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HDL-C, mmol/L</w:t>
            </w:r>
          </w:p>
        </w:tc>
        <w:tc>
          <w:tcPr>
            <w:tcW w:w="2515" w:type="dxa"/>
            <w:tcBorders>
              <w:top w:val="nil"/>
              <w:left w:val="nil"/>
              <w:bottom w:val="nil"/>
              <w:right w:val="nil"/>
            </w:tcBorders>
            <w:shd w:val="clear" w:color="auto" w:fill="FFFFFF"/>
            <w:vAlign w:val="center"/>
          </w:tcPr>
          <w:p w14:paraId="210B9F67">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1.13[1.00-1.31]</w:t>
            </w:r>
          </w:p>
        </w:tc>
        <w:tc>
          <w:tcPr>
            <w:tcW w:w="0" w:type="auto"/>
            <w:tcBorders>
              <w:top w:val="nil"/>
              <w:left w:val="nil"/>
              <w:bottom w:val="nil"/>
              <w:right w:val="nil"/>
            </w:tcBorders>
            <w:shd w:val="clear" w:color="auto" w:fill="FFFFFF"/>
            <w:vAlign w:val="center"/>
          </w:tcPr>
          <w:p w14:paraId="53516524">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1.15[0.98-1.38]</w:t>
            </w:r>
          </w:p>
        </w:tc>
        <w:tc>
          <w:tcPr>
            <w:tcW w:w="995" w:type="dxa"/>
            <w:tcBorders>
              <w:top w:val="nil"/>
              <w:left w:val="nil"/>
              <w:bottom w:val="nil"/>
              <w:right w:val="nil"/>
            </w:tcBorders>
            <w:shd w:val="clear" w:color="auto" w:fill="FFFFFF"/>
            <w:vAlign w:val="center"/>
          </w:tcPr>
          <w:p w14:paraId="3F22F0F4">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0.696</w:t>
            </w:r>
          </w:p>
        </w:tc>
      </w:tr>
      <w:tr w14:paraId="133E8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365FB054">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LDL-C, mmol/L</w:t>
            </w:r>
          </w:p>
        </w:tc>
        <w:tc>
          <w:tcPr>
            <w:tcW w:w="2515" w:type="dxa"/>
            <w:tcBorders>
              <w:top w:val="nil"/>
              <w:left w:val="nil"/>
              <w:bottom w:val="nil"/>
              <w:right w:val="nil"/>
            </w:tcBorders>
            <w:shd w:val="clear" w:color="auto" w:fill="FFFFFF"/>
            <w:vAlign w:val="center"/>
          </w:tcPr>
          <w:p w14:paraId="79F1E7D1">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2.57±0.73</w:t>
            </w:r>
          </w:p>
        </w:tc>
        <w:tc>
          <w:tcPr>
            <w:tcW w:w="0" w:type="auto"/>
            <w:tcBorders>
              <w:top w:val="nil"/>
              <w:left w:val="nil"/>
              <w:bottom w:val="nil"/>
              <w:right w:val="nil"/>
            </w:tcBorders>
            <w:shd w:val="clear" w:color="auto" w:fill="FFFFFF"/>
            <w:vAlign w:val="center"/>
          </w:tcPr>
          <w:p w14:paraId="32C60A85">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2.34±0.67</w:t>
            </w:r>
          </w:p>
        </w:tc>
        <w:tc>
          <w:tcPr>
            <w:tcW w:w="995" w:type="dxa"/>
            <w:tcBorders>
              <w:top w:val="nil"/>
              <w:left w:val="nil"/>
              <w:bottom w:val="nil"/>
              <w:right w:val="nil"/>
            </w:tcBorders>
            <w:shd w:val="clear" w:color="auto" w:fill="FFFFFF"/>
            <w:vAlign w:val="center"/>
          </w:tcPr>
          <w:p w14:paraId="39CC19A7">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0.003</w:t>
            </w:r>
          </w:p>
        </w:tc>
      </w:tr>
      <w:tr w14:paraId="1041B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532EBC36">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Fasting Blood Glucose, mmol/L</w:t>
            </w:r>
          </w:p>
        </w:tc>
        <w:tc>
          <w:tcPr>
            <w:tcW w:w="2515" w:type="dxa"/>
            <w:tcBorders>
              <w:top w:val="nil"/>
              <w:left w:val="nil"/>
              <w:bottom w:val="nil"/>
              <w:right w:val="nil"/>
            </w:tcBorders>
            <w:shd w:val="clear" w:color="auto" w:fill="FFFFFF"/>
            <w:vAlign w:val="center"/>
          </w:tcPr>
          <w:p w14:paraId="56861411">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5.37[4.92-6.12]</w:t>
            </w:r>
          </w:p>
        </w:tc>
        <w:tc>
          <w:tcPr>
            <w:tcW w:w="0" w:type="auto"/>
            <w:tcBorders>
              <w:top w:val="nil"/>
              <w:left w:val="nil"/>
              <w:bottom w:val="nil"/>
              <w:right w:val="nil"/>
            </w:tcBorders>
            <w:shd w:val="clear" w:color="auto" w:fill="FFFFFF"/>
            <w:vAlign w:val="center"/>
          </w:tcPr>
          <w:p w14:paraId="7632DE9D">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5.43[4.88-6.47]</w:t>
            </w:r>
          </w:p>
        </w:tc>
        <w:tc>
          <w:tcPr>
            <w:tcW w:w="995" w:type="dxa"/>
            <w:tcBorders>
              <w:top w:val="nil"/>
              <w:left w:val="nil"/>
              <w:bottom w:val="nil"/>
              <w:right w:val="nil"/>
            </w:tcBorders>
            <w:shd w:val="clear" w:color="auto" w:fill="FFFFFF"/>
            <w:vAlign w:val="center"/>
          </w:tcPr>
          <w:p w14:paraId="7E2A924E">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0.681</w:t>
            </w:r>
          </w:p>
        </w:tc>
      </w:tr>
      <w:tr w14:paraId="2C3E2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16221F28">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TSH, μIU/mL</w:t>
            </w:r>
          </w:p>
        </w:tc>
        <w:tc>
          <w:tcPr>
            <w:tcW w:w="2515" w:type="dxa"/>
            <w:tcBorders>
              <w:top w:val="nil"/>
              <w:left w:val="nil"/>
              <w:bottom w:val="nil"/>
              <w:right w:val="nil"/>
            </w:tcBorders>
            <w:shd w:val="clear" w:color="auto" w:fill="FFFFFF"/>
            <w:vAlign w:val="center"/>
          </w:tcPr>
          <w:p w14:paraId="5D5893F2">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1.81[1.21-2.71]</w:t>
            </w:r>
          </w:p>
        </w:tc>
        <w:tc>
          <w:tcPr>
            <w:tcW w:w="0" w:type="auto"/>
            <w:tcBorders>
              <w:top w:val="nil"/>
              <w:left w:val="nil"/>
              <w:bottom w:val="nil"/>
              <w:right w:val="nil"/>
            </w:tcBorders>
            <w:shd w:val="clear" w:color="auto" w:fill="FFFFFF"/>
            <w:vAlign w:val="center"/>
          </w:tcPr>
          <w:p w14:paraId="502A777F">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2.24[1.43-3.05]</w:t>
            </w:r>
          </w:p>
        </w:tc>
        <w:tc>
          <w:tcPr>
            <w:tcW w:w="995" w:type="dxa"/>
            <w:tcBorders>
              <w:top w:val="nil"/>
              <w:left w:val="nil"/>
              <w:bottom w:val="nil"/>
              <w:right w:val="nil"/>
            </w:tcBorders>
            <w:shd w:val="clear" w:color="auto" w:fill="FFFFFF"/>
            <w:vAlign w:val="center"/>
          </w:tcPr>
          <w:p w14:paraId="29978E88">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0.01</w:t>
            </w:r>
          </w:p>
        </w:tc>
      </w:tr>
      <w:tr w14:paraId="6A0B6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4DC3ED90">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T3, pmol/L</w:t>
            </w:r>
          </w:p>
        </w:tc>
        <w:tc>
          <w:tcPr>
            <w:tcW w:w="2515" w:type="dxa"/>
            <w:tcBorders>
              <w:top w:val="nil"/>
              <w:left w:val="nil"/>
              <w:bottom w:val="nil"/>
              <w:right w:val="nil"/>
            </w:tcBorders>
            <w:shd w:val="clear" w:color="auto" w:fill="FFFFFF"/>
            <w:vAlign w:val="center"/>
          </w:tcPr>
          <w:p w14:paraId="16FF4F13">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4.76[4.29-5.20]</w:t>
            </w:r>
          </w:p>
        </w:tc>
        <w:tc>
          <w:tcPr>
            <w:tcW w:w="0" w:type="auto"/>
            <w:tcBorders>
              <w:top w:val="nil"/>
              <w:left w:val="nil"/>
              <w:bottom w:val="nil"/>
              <w:right w:val="nil"/>
            </w:tcBorders>
            <w:shd w:val="clear" w:color="auto" w:fill="FFFFFF"/>
            <w:vAlign w:val="center"/>
          </w:tcPr>
          <w:p w14:paraId="02B92626">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4.65[4.22-4.92]</w:t>
            </w:r>
          </w:p>
        </w:tc>
        <w:tc>
          <w:tcPr>
            <w:tcW w:w="995" w:type="dxa"/>
            <w:tcBorders>
              <w:top w:val="nil"/>
              <w:left w:val="nil"/>
              <w:bottom w:val="nil"/>
              <w:right w:val="nil"/>
            </w:tcBorders>
            <w:shd w:val="clear" w:color="auto" w:fill="FFFFFF"/>
            <w:vAlign w:val="center"/>
          </w:tcPr>
          <w:p w14:paraId="01D95A06">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0.015</w:t>
            </w:r>
          </w:p>
        </w:tc>
      </w:tr>
      <w:tr w14:paraId="245A0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3C15C5A9">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T4, pmol/L</w:t>
            </w:r>
          </w:p>
        </w:tc>
        <w:tc>
          <w:tcPr>
            <w:tcW w:w="2515" w:type="dxa"/>
            <w:tcBorders>
              <w:top w:val="nil"/>
              <w:left w:val="nil"/>
              <w:bottom w:val="nil"/>
              <w:right w:val="nil"/>
            </w:tcBorders>
            <w:shd w:val="clear" w:color="auto" w:fill="FFFFFF"/>
            <w:vAlign w:val="center"/>
          </w:tcPr>
          <w:p w14:paraId="4FB2E155">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17.06[15.11-18.47]</w:t>
            </w:r>
          </w:p>
        </w:tc>
        <w:tc>
          <w:tcPr>
            <w:tcW w:w="0" w:type="auto"/>
            <w:tcBorders>
              <w:top w:val="nil"/>
              <w:left w:val="nil"/>
              <w:bottom w:val="nil"/>
              <w:right w:val="nil"/>
            </w:tcBorders>
            <w:shd w:val="clear" w:color="auto" w:fill="FFFFFF"/>
            <w:vAlign w:val="center"/>
          </w:tcPr>
          <w:p w14:paraId="08EB921D">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17.06[15.37-18.77]</w:t>
            </w:r>
          </w:p>
        </w:tc>
        <w:tc>
          <w:tcPr>
            <w:tcW w:w="995" w:type="dxa"/>
            <w:tcBorders>
              <w:top w:val="nil"/>
              <w:left w:val="nil"/>
              <w:bottom w:val="nil"/>
              <w:right w:val="nil"/>
            </w:tcBorders>
            <w:shd w:val="clear" w:color="auto" w:fill="FFFFFF"/>
            <w:vAlign w:val="center"/>
          </w:tcPr>
          <w:p w14:paraId="67B54260">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0.466</w:t>
            </w:r>
          </w:p>
        </w:tc>
      </w:tr>
      <w:tr w14:paraId="75EDF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2316ECB8">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Serum Potassium, mmol/L</w:t>
            </w:r>
          </w:p>
        </w:tc>
        <w:tc>
          <w:tcPr>
            <w:tcW w:w="2515" w:type="dxa"/>
            <w:tcBorders>
              <w:top w:val="nil"/>
              <w:left w:val="nil"/>
              <w:bottom w:val="nil"/>
              <w:right w:val="nil"/>
            </w:tcBorders>
            <w:shd w:val="clear" w:color="auto" w:fill="FFFFFF"/>
            <w:vAlign w:val="center"/>
          </w:tcPr>
          <w:p w14:paraId="48762BF3">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3.98[3.74-4.20]</w:t>
            </w:r>
          </w:p>
        </w:tc>
        <w:tc>
          <w:tcPr>
            <w:tcW w:w="0" w:type="auto"/>
            <w:tcBorders>
              <w:top w:val="nil"/>
              <w:left w:val="nil"/>
              <w:bottom w:val="nil"/>
              <w:right w:val="nil"/>
            </w:tcBorders>
            <w:shd w:val="clear" w:color="auto" w:fill="FFFFFF"/>
            <w:vAlign w:val="center"/>
          </w:tcPr>
          <w:p w14:paraId="4814137E">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3.95[3.70-4.16]</w:t>
            </w:r>
          </w:p>
        </w:tc>
        <w:tc>
          <w:tcPr>
            <w:tcW w:w="995" w:type="dxa"/>
            <w:tcBorders>
              <w:top w:val="nil"/>
              <w:left w:val="nil"/>
              <w:bottom w:val="nil"/>
              <w:right w:val="nil"/>
            </w:tcBorders>
            <w:shd w:val="clear" w:color="auto" w:fill="FFFFFF"/>
            <w:vAlign w:val="center"/>
          </w:tcPr>
          <w:p w14:paraId="794A1BC7">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0.497</w:t>
            </w:r>
          </w:p>
        </w:tc>
      </w:tr>
      <w:tr w14:paraId="09AE5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010810F2">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Blood Uric Acid, μmol/L</w:t>
            </w:r>
          </w:p>
        </w:tc>
        <w:tc>
          <w:tcPr>
            <w:tcW w:w="2515" w:type="dxa"/>
            <w:tcBorders>
              <w:top w:val="nil"/>
              <w:left w:val="nil"/>
              <w:bottom w:val="nil"/>
              <w:right w:val="nil"/>
            </w:tcBorders>
            <w:shd w:val="clear" w:color="auto" w:fill="FFFFFF"/>
            <w:vAlign w:val="center"/>
          </w:tcPr>
          <w:p w14:paraId="7C960599">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370.45[313.00-442.30]</w:t>
            </w:r>
          </w:p>
        </w:tc>
        <w:tc>
          <w:tcPr>
            <w:tcW w:w="0" w:type="auto"/>
            <w:tcBorders>
              <w:top w:val="nil"/>
              <w:left w:val="nil"/>
              <w:bottom w:val="nil"/>
              <w:right w:val="nil"/>
            </w:tcBorders>
            <w:shd w:val="clear" w:color="auto" w:fill="FFFFFF"/>
            <w:vAlign w:val="center"/>
          </w:tcPr>
          <w:p w14:paraId="660ABC48">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367.50[309.85-436.38]</w:t>
            </w:r>
          </w:p>
        </w:tc>
        <w:tc>
          <w:tcPr>
            <w:tcW w:w="995" w:type="dxa"/>
            <w:tcBorders>
              <w:top w:val="nil"/>
              <w:left w:val="nil"/>
              <w:bottom w:val="nil"/>
              <w:right w:val="nil"/>
            </w:tcBorders>
            <w:shd w:val="clear" w:color="auto" w:fill="FFFFFF"/>
            <w:vAlign w:val="center"/>
          </w:tcPr>
          <w:p w14:paraId="3B607377">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0.588</w:t>
            </w:r>
          </w:p>
        </w:tc>
      </w:tr>
      <w:tr w14:paraId="74087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009A3028">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Blood Urea Nitrogen, mmol/L</w:t>
            </w:r>
          </w:p>
        </w:tc>
        <w:tc>
          <w:tcPr>
            <w:tcW w:w="2515" w:type="dxa"/>
            <w:tcBorders>
              <w:top w:val="nil"/>
              <w:left w:val="nil"/>
              <w:bottom w:val="nil"/>
              <w:right w:val="nil"/>
            </w:tcBorders>
            <w:shd w:val="clear" w:color="auto" w:fill="FFFFFF"/>
            <w:vAlign w:val="center"/>
          </w:tcPr>
          <w:p w14:paraId="01D937BB">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5.83[5.00-7.13]</w:t>
            </w:r>
          </w:p>
        </w:tc>
        <w:tc>
          <w:tcPr>
            <w:tcW w:w="0" w:type="auto"/>
            <w:tcBorders>
              <w:top w:val="nil"/>
              <w:left w:val="nil"/>
              <w:bottom w:val="nil"/>
              <w:right w:val="nil"/>
            </w:tcBorders>
            <w:shd w:val="clear" w:color="auto" w:fill="FFFFFF"/>
            <w:vAlign w:val="center"/>
          </w:tcPr>
          <w:p w14:paraId="3C2B54F5">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5.74[4.77-6.92]</w:t>
            </w:r>
          </w:p>
        </w:tc>
        <w:tc>
          <w:tcPr>
            <w:tcW w:w="995" w:type="dxa"/>
            <w:tcBorders>
              <w:top w:val="nil"/>
              <w:left w:val="nil"/>
              <w:bottom w:val="nil"/>
              <w:right w:val="nil"/>
            </w:tcBorders>
            <w:shd w:val="clear" w:color="auto" w:fill="FFFFFF"/>
            <w:vAlign w:val="center"/>
          </w:tcPr>
          <w:p w14:paraId="139917E2">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0.364</w:t>
            </w:r>
          </w:p>
        </w:tc>
      </w:tr>
      <w:tr w14:paraId="0EEE0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0C5EB294">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Blood Creatinine, μmol/L</w:t>
            </w:r>
          </w:p>
        </w:tc>
        <w:tc>
          <w:tcPr>
            <w:tcW w:w="2515" w:type="dxa"/>
            <w:tcBorders>
              <w:top w:val="nil"/>
              <w:left w:val="nil"/>
              <w:bottom w:val="nil"/>
              <w:right w:val="nil"/>
            </w:tcBorders>
            <w:shd w:val="clear" w:color="auto" w:fill="FFFFFF"/>
            <w:vAlign w:val="center"/>
          </w:tcPr>
          <w:p w14:paraId="02E90DBD">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73.60[63.00-84.70]</w:t>
            </w:r>
          </w:p>
        </w:tc>
        <w:tc>
          <w:tcPr>
            <w:tcW w:w="0" w:type="auto"/>
            <w:tcBorders>
              <w:top w:val="nil"/>
              <w:left w:val="nil"/>
              <w:bottom w:val="nil"/>
              <w:right w:val="nil"/>
            </w:tcBorders>
            <w:shd w:val="clear" w:color="auto" w:fill="FFFFFF"/>
            <w:vAlign w:val="center"/>
          </w:tcPr>
          <w:p w14:paraId="1E9734BD">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71.00[63.00-82.00]</w:t>
            </w:r>
          </w:p>
        </w:tc>
        <w:tc>
          <w:tcPr>
            <w:tcW w:w="995" w:type="dxa"/>
            <w:tcBorders>
              <w:top w:val="nil"/>
              <w:left w:val="nil"/>
              <w:bottom w:val="nil"/>
              <w:right w:val="nil"/>
            </w:tcBorders>
            <w:shd w:val="clear" w:color="auto" w:fill="FFFFFF"/>
            <w:vAlign w:val="center"/>
          </w:tcPr>
          <w:p w14:paraId="724AA00B">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0.233</w:t>
            </w:r>
          </w:p>
        </w:tc>
      </w:tr>
      <w:tr w14:paraId="72060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4D95C91C">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eGFR, mL/min/1.73 m²</w:t>
            </w:r>
          </w:p>
        </w:tc>
        <w:tc>
          <w:tcPr>
            <w:tcW w:w="2515" w:type="dxa"/>
            <w:tcBorders>
              <w:top w:val="nil"/>
              <w:left w:val="nil"/>
              <w:bottom w:val="nil"/>
              <w:right w:val="nil"/>
            </w:tcBorders>
            <w:shd w:val="clear" w:color="auto" w:fill="FFFFFF"/>
            <w:vAlign w:val="center"/>
          </w:tcPr>
          <w:p w14:paraId="0973C83A">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98.12[86.89-116.12]</w:t>
            </w:r>
          </w:p>
        </w:tc>
        <w:tc>
          <w:tcPr>
            <w:tcW w:w="0" w:type="auto"/>
            <w:tcBorders>
              <w:top w:val="nil"/>
              <w:left w:val="nil"/>
              <w:bottom w:val="nil"/>
              <w:right w:val="nil"/>
            </w:tcBorders>
            <w:shd w:val="clear" w:color="auto" w:fill="FFFFFF"/>
            <w:vAlign w:val="center"/>
          </w:tcPr>
          <w:p w14:paraId="31704E1E">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95.56[84.54-113.23]</w:t>
            </w:r>
          </w:p>
        </w:tc>
        <w:tc>
          <w:tcPr>
            <w:tcW w:w="995" w:type="dxa"/>
            <w:tcBorders>
              <w:top w:val="nil"/>
              <w:left w:val="nil"/>
              <w:bottom w:val="nil"/>
              <w:right w:val="nil"/>
            </w:tcBorders>
            <w:shd w:val="clear" w:color="auto" w:fill="FFFFFF"/>
            <w:vAlign w:val="center"/>
          </w:tcPr>
          <w:p w14:paraId="5F13E522">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0.344</w:t>
            </w:r>
          </w:p>
        </w:tc>
      </w:tr>
      <w:tr w14:paraId="60547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1597E908">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b w:val="0"/>
                <w:bCs/>
                <w:i w:val="0"/>
                <w:iCs w:val="0"/>
                <w:color w:val="000000"/>
                <w:sz w:val="24"/>
                <w:szCs w:val="24"/>
                <w:highlight w:val="none"/>
                <w:u w:val="none"/>
              </w:rPr>
            </w:pPr>
            <w:r>
              <w:rPr>
                <w:rFonts w:hint="default" w:ascii="Times New Roman" w:hAnsi="Times New Roman" w:eastAsia="微软雅黑" w:cs="Times New Roman"/>
                <w:b w:val="0"/>
                <w:bCs/>
                <w:i w:val="0"/>
                <w:iCs w:val="0"/>
                <w:color w:val="000000"/>
                <w:kern w:val="0"/>
                <w:sz w:val="24"/>
                <w:szCs w:val="24"/>
                <w:highlight w:val="none"/>
                <w:u w:val="none"/>
                <w:lang w:val="en-US" w:eastAsia="zh-CN" w:bidi="ar"/>
              </w:rPr>
              <w:t>Other auxiliary examinations</w:t>
            </w:r>
          </w:p>
        </w:tc>
        <w:tc>
          <w:tcPr>
            <w:tcW w:w="2515" w:type="dxa"/>
            <w:tcBorders>
              <w:top w:val="nil"/>
              <w:left w:val="nil"/>
              <w:bottom w:val="nil"/>
              <w:right w:val="nil"/>
            </w:tcBorders>
            <w:shd w:val="clear" w:color="auto" w:fill="FFFFFF"/>
            <w:vAlign w:val="center"/>
          </w:tcPr>
          <w:p w14:paraId="7051266E">
            <w:pPr>
              <w:snapToGrid w:val="0"/>
              <w:ind w:left="0" w:leftChars="0" w:right="0" w:rightChars="0" w:firstLine="0" w:firstLineChars="0"/>
              <w:jc w:val="center"/>
              <w:rPr>
                <w:rFonts w:hint="default" w:ascii="Times New Roman" w:hAnsi="Times New Roman" w:eastAsia="微软雅黑" w:cs="Times New Roman"/>
                <w:i w:val="0"/>
                <w:iCs w:val="0"/>
                <w:color w:val="000000"/>
                <w:sz w:val="24"/>
                <w:szCs w:val="24"/>
                <w:highlight w:val="none"/>
                <w:u w:val="none"/>
              </w:rPr>
            </w:pPr>
          </w:p>
        </w:tc>
        <w:tc>
          <w:tcPr>
            <w:tcW w:w="0" w:type="auto"/>
            <w:tcBorders>
              <w:top w:val="nil"/>
              <w:left w:val="nil"/>
              <w:bottom w:val="nil"/>
              <w:right w:val="nil"/>
            </w:tcBorders>
            <w:shd w:val="clear" w:color="auto" w:fill="FFFFFF"/>
            <w:vAlign w:val="center"/>
          </w:tcPr>
          <w:p w14:paraId="46E48EB2">
            <w:pPr>
              <w:snapToGrid w:val="0"/>
              <w:ind w:left="0" w:leftChars="0" w:right="0" w:rightChars="0" w:firstLine="0" w:firstLineChars="0"/>
              <w:jc w:val="center"/>
              <w:rPr>
                <w:rFonts w:hint="default" w:ascii="Times New Roman" w:hAnsi="Times New Roman" w:eastAsia="微软雅黑" w:cs="Times New Roman"/>
                <w:i w:val="0"/>
                <w:iCs w:val="0"/>
                <w:color w:val="000000"/>
                <w:sz w:val="24"/>
                <w:szCs w:val="24"/>
                <w:highlight w:val="none"/>
                <w:u w:val="none"/>
              </w:rPr>
            </w:pPr>
          </w:p>
        </w:tc>
        <w:tc>
          <w:tcPr>
            <w:tcW w:w="995" w:type="dxa"/>
            <w:tcBorders>
              <w:top w:val="nil"/>
              <w:left w:val="nil"/>
              <w:bottom w:val="nil"/>
              <w:right w:val="nil"/>
            </w:tcBorders>
            <w:shd w:val="clear" w:color="auto" w:fill="FFFFFF"/>
            <w:vAlign w:val="center"/>
          </w:tcPr>
          <w:p w14:paraId="651C2AAF">
            <w:pPr>
              <w:snapToGrid w:val="0"/>
              <w:ind w:left="0" w:leftChars="0" w:right="0" w:rightChars="0" w:firstLine="0" w:firstLineChars="0"/>
              <w:jc w:val="center"/>
              <w:rPr>
                <w:rFonts w:hint="default" w:ascii="Times New Roman" w:hAnsi="Times New Roman" w:eastAsia="微软雅黑" w:cs="Times New Roman"/>
                <w:i w:val="0"/>
                <w:iCs w:val="0"/>
                <w:color w:val="000000"/>
                <w:sz w:val="24"/>
                <w:szCs w:val="24"/>
                <w:highlight w:val="none"/>
                <w:u w:val="none"/>
              </w:rPr>
            </w:pPr>
          </w:p>
        </w:tc>
      </w:tr>
      <w:tr w14:paraId="37074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7AFF028F">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Left atrial diameter, mm</w:t>
            </w:r>
          </w:p>
        </w:tc>
        <w:tc>
          <w:tcPr>
            <w:tcW w:w="2515" w:type="dxa"/>
            <w:tcBorders>
              <w:top w:val="nil"/>
              <w:left w:val="nil"/>
              <w:bottom w:val="nil"/>
              <w:right w:val="nil"/>
            </w:tcBorders>
            <w:shd w:val="clear" w:color="auto" w:fill="FFFFFF"/>
            <w:vAlign w:val="center"/>
          </w:tcPr>
          <w:p w14:paraId="515EC251">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45.00[42.00-48.00]</w:t>
            </w:r>
          </w:p>
        </w:tc>
        <w:tc>
          <w:tcPr>
            <w:tcW w:w="0" w:type="auto"/>
            <w:tcBorders>
              <w:top w:val="nil"/>
              <w:left w:val="nil"/>
              <w:bottom w:val="nil"/>
              <w:right w:val="nil"/>
            </w:tcBorders>
            <w:shd w:val="clear" w:color="auto" w:fill="FFFFFF"/>
            <w:vAlign w:val="center"/>
          </w:tcPr>
          <w:p w14:paraId="67485718">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46.50[44.00-49.00]</w:t>
            </w:r>
          </w:p>
        </w:tc>
        <w:tc>
          <w:tcPr>
            <w:tcW w:w="995" w:type="dxa"/>
            <w:tcBorders>
              <w:top w:val="nil"/>
              <w:left w:val="nil"/>
              <w:bottom w:val="nil"/>
              <w:right w:val="nil"/>
            </w:tcBorders>
            <w:shd w:val="clear" w:color="auto" w:fill="FFFFFF"/>
            <w:vAlign w:val="center"/>
          </w:tcPr>
          <w:p w14:paraId="59FD28B0">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&lt;0.001</w:t>
            </w:r>
          </w:p>
        </w:tc>
      </w:tr>
      <w:tr w14:paraId="2DD79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57302889">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Left atrial ejection fraction, %</w:t>
            </w:r>
          </w:p>
        </w:tc>
        <w:tc>
          <w:tcPr>
            <w:tcW w:w="2515" w:type="dxa"/>
            <w:tcBorders>
              <w:top w:val="nil"/>
              <w:left w:val="nil"/>
              <w:bottom w:val="nil"/>
              <w:right w:val="nil"/>
            </w:tcBorders>
            <w:shd w:val="clear" w:color="auto" w:fill="FFFFFF"/>
            <w:vAlign w:val="center"/>
          </w:tcPr>
          <w:p w14:paraId="6BB3D83C">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58.00[55.00-61.00]</w:t>
            </w:r>
          </w:p>
        </w:tc>
        <w:tc>
          <w:tcPr>
            <w:tcW w:w="0" w:type="auto"/>
            <w:tcBorders>
              <w:top w:val="nil"/>
              <w:left w:val="nil"/>
              <w:bottom w:val="nil"/>
              <w:right w:val="nil"/>
            </w:tcBorders>
            <w:shd w:val="clear" w:color="auto" w:fill="FFFFFF"/>
            <w:vAlign w:val="center"/>
          </w:tcPr>
          <w:p w14:paraId="708A0472">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58.00[55.00-61.00]</w:t>
            </w:r>
          </w:p>
        </w:tc>
        <w:tc>
          <w:tcPr>
            <w:tcW w:w="995" w:type="dxa"/>
            <w:tcBorders>
              <w:top w:val="nil"/>
              <w:left w:val="nil"/>
              <w:bottom w:val="nil"/>
              <w:right w:val="nil"/>
            </w:tcBorders>
            <w:shd w:val="clear" w:color="auto" w:fill="FFFFFF"/>
            <w:vAlign w:val="center"/>
          </w:tcPr>
          <w:p w14:paraId="650BA438">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0.598</w:t>
            </w:r>
          </w:p>
        </w:tc>
      </w:tr>
      <w:tr w14:paraId="49917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51ACDDAB">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f-wave amplitude, mV</w:t>
            </w:r>
          </w:p>
        </w:tc>
        <w:tc>
          <w:tcPr>
            <w:tcW w:w="2515" w:type="dxa"/>
            <w:tcBorders>
              <w:top w:val="nil"/>
              <w:left w:val="nil"/>
              <w:bottom w:val="nil"/>
              <w:right w:val="nil"/>
            </w:tcBorders>
            <w:shd w:val="clear" w:color="auto" w:fill="FFFFFF"/>
            <w:vAlign w:val="center"/>
          </w:tcPr>
          <w:p w14:paraId="22A73BB1">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0.15[0.12-0.20]</w:t>
            </w:r>
          </w:p>
        </w:tc>
        <w:tc>
          <w:tcPr>
            <w:tcW w:w="0" w:type="auto"/>
            <w:tcBorders>
              <w:top w:val="nil"/>
              <w:left w:val="nil"/>
              <w:bottom w:val="nil"/>
              <w:right w:val="nil"/>
            </w:tcBorders>
            <w:shd w:val="clear" w:color="auto" w:fill="FFFFFF"/>
            <w:vAlign w:val="center"/>
          </w:tcPr>
          <w:p w14:paraId="413DD91B">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0.12[0.08-0.16]</w:t>
            </w:r>
          </w:p>
        </w:tc>
        <w:tc>
          <w:tcPr>
            <w:tcW w:w="995" w:type="dxa"/>
            <w:tcBorders>
              <w:top w:val="nil"/>
              <w:left w:val="nil"/>
              <w:bottom w:val="nil"/>
              <w:right w:val="nil"/>
            </w:tcBorders>
            <w:shd w:val="clear" w:color="auto" w:fill="FFFFFF"/>
            <w:vAlign w:val="center"/>
          </w:tcPr>
          <w:p w14:paraId="773CA6A1">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&lt;0.001</w:t>
            </w:r>
          </w:p>
        </w:tc>
      </w:tr>
      <w:tr w14:paraId="440C0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5B42E8E6">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Basal heart rate, bpm</w:t>
            </w:r>
          </w:p>
        </w:tc>
        <w:tc>
          <w:tcPr>
            <w:tcW w:w="2515" w:type="dxa"/>
            <w:tcBorders>
              <w:top w:val="nil"/>
              <w:left w:val="nil"/>
              <w:bottom w:val="nil"/>
              <w:right w:val="nil"/>
            </w:tcBorders>
            <w:shd w:val="clear" w:color="auto" w:fill="FFFFFF"/>
            <w:vAlign w:val="center"/>
          </w:tcPr>
          <w:p w14:paraId="6A4AA653">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89.50[77.00-101.00]</w:t>
            </w:r>
          </w:p>
        </w:tc>
        <w:tc>
          <w:tcPr>
            <w:tcW w:w="0" w:type="auto"/>
            <w:tcBorders>
              <w:top w:val="nil"/>
              <w:left w:val="nil"/>
              <w:bottom w:val="nil"/>
              <w:right w:val="nil"/>
            </w:tcBorders>
            <w:shd w:val="clear" w:color="auto" w:fill="FFFFFF"/>
            <w:vAlign w:val="center"/>
          </w:tcPr>
          <w:p w14:paraId="0D31AA6F">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89.00[75.00-105.00]</w:t>
            </w:r>
          </w:p>
        </w:tc>
        <w:tc>
          <w:tcPr>
            <w:tcW w:w="995" w:type="dxa"/>
            <w:tcBorders>
              <w:top w:val="nil"/>
              <w:left w:val="nil"/>
              <w:bottom w:val="nil"/>
              <w:right w:val="nil"/>
            </w:tcBorders>
            <w:shd w:val="clear" w:color="auto" w:fill="FFFFFF"/>
            <w:vAlign w:val="center"/>
          </w:tcPr>
          <w:p w14:paraId="2D5B4474">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0.923</w:t>
            </w:r>
          </w:p>
        </w:tc>
      </w:tr>
      <w:tr w14:paraId="391E6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6922B614">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b w:val="0"/>
                <w:bCs/>
                <w:i w:val="0"/>
                <w:iCs w:val="0"/>
                <w:color w:val="000000"/>
                <w:sz w:val="24"/>
                <w:szCs w:val="24"/>
                <w:highlight w:val="none"/>
                <w:u w:val="none"/>
              </w:rPr>
            </w:pPr>
            <w:r>
              <w:rPr>
                <w:rFonts w:hint="default" w:ascii="Times New Roman" w:hAnsi="Times New Roman" w:eastAsia="微软雅黑" w:cs="Times New Roman"/>
                <w:b w:val="0"/>
                <w:bCs/>
                <w:i w:val="0"/>
                <w:iCs w:val="0"/>
                <w:color w:val="000000"/>
                <w:kern w:val="0"/>
                <w:sz w:val="24"/>
                <w:szCs w:val="24"/>
                <w:highlight w:val="none"/>
                <w:u w:val="none"/>
                <w:lang w:val="en-US" w:eastAsia="zh-CN" w:bidi="ar"/>
              </w:rPr>
              <w:t>Cardiovascular history</w:t>
            </w:r>
          </w:p>
        </w:tc>
        <w:tc>
          <w:tcPr>
            <w:tcW w:w="2515" w:type="dxa"/>
            <w:tcBorders>
              <w:top w:val="nil"/>
              <w:left w:val="nil"/>
              <w:bottom w:val="nil"/>
              <w:right w:val="nil"/>
            </w:tcBorders>
            <w:shd w:val="clear" w:color="auto" w:fill="FFFFFF"/>
            <w:vAlign w:val="center"/>
          </w:tcPr>
          <w:p w14:paraId="01E012F5">
            <w:pPr>
              <w:snapToGrid w:val="0"/>
              <w:ind w:left="0" w:leftChars="0" w:right="0" w:rightChars="0" w:firstLine="0" w:firstLineChars="0"/>
              <w:jc w:val="center"/>
              <w:rPr>
                <w:rFonts w:hint="default" w:ascii="Times New Roman" w:hAnsi="Times New Roman" w:eastAsia="微软雅黑" w:cs="Times New Roman"/>
                <w:i w:val="0"/>
                <w:iCs w:val="0"/>
                <w:color w:val="000000"/>
                <w:sz w:val="24"/>
                <w:szCs w:val="24"/>
                <w:highlight w:val="none"/>
                <w:u w:val="none"/>
              </w:rPr>
            </w:pPr>
          </w:p>
        </w:tc>
        <w:tc>
          <w:tcPr>
            <w:tcW w:w="0" w:type="auto"/>
            <w:tcBorders>
              <w:top w:val="nil"/>
              <w:left w:val="nil"/>
              <w:bottom w:val="nil"/>
              <w:right w:val="nil"/>
            </w:tcBorders>
            <w:shd w:val="clear" w:color="auto" w:fill="FFFFFF"/>
            <w:vAlign w:val="center"/>
          </w:tcPr>
          <w:p w14:paraId="11D279CF">
            <w:pPr>
              <w:snapToGrid w:val="0"/>
              <w:ind w:left="0" w:leftChars="0" w:right="0" w:rightChars="0" w:firstLine="0" w:firstLineChars="0"/>
              <w:jc w:val="center"/>
              <w:rPr>
                <w:rFonts w:hint="default" w:ascii="Times New Roman" w:hAnsi="Times New Roman" w:eastAsia="微软雅黑" w:cs="Times New Roman"/>
                <w:i w:val="0"/>
                <w:iCs w:val="0"/>
                <w:color w:val="000000"/>
                <w:sz w:val="24"/>
                <w:szCs w:val="24"/>
                <w:highlight w:val="none"/>
                <w:u w:val="none"/>
              </w:rPr>
            </w:pPr>
          </w:p>
        </w:tc>
        <w:tc>
          <w:tcPr>
            <w:tcW w:w="995" w:type="dxa"/>
            <w:tcBorders>
              <w:top w:val="nil"/>
              <w:left w:val="nil"/>
              <w:bottom w:val="nil"/>
              <w:right w:val="nil"/>
            </w:tcBorders>
            <w:shd w:val="clear" w:color="auto" w:fill="FFFFFF"/>
            <w:vAlign w:val="center"/>
          </w:tcPr>
          <w:p w14:paraId="0862E873">
            <w:pPr>
              <w:snapToGrid w:val="0"/>
              <w:ind w:left="0" w:leftChars="0" w:right="0" w:rightChars="0" w:firstLine="0" w:firstLineChars="0"/>
              <w:jc w:val="center"/>
              <w:rPr>
                <w:rFonts w:hint="default" w:ascii="Times New Roman" w:hAnsi="Times New Roman" w:eastAsia="微软雅黑" w:cs="Times New Roman"/>
                <w:i w:val="0"/>
                <w:iCs w:val="0"/>
                <w:color w:val="000000"/>
                <w:sz w:val="24"/>
                <w:szCs w:val="24"/>
                <w:highlight w:val="none"/>
                <w:u w:val="none"/>
              </w:rPr>
            </w:pPr>
          </w:p>
        </w:tc>
      </w:tr>
      <w:tr w14:paraId="45039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7EF62C68">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Hypertension, n（%）</w:t>
            </w:r>
          </w:p>
        </w:tc>
        <w:tc>
          <w:tcPr>
            <w:tcW w:w="2515" w:type="dxa"/>
            <w:tcBorders>
              <w:top w:val="nil"/>
              <w:left w:val="nil"/>
              <w:bottom w:val="nil"/>
              <w:right w:val="nil"/>
            </w:tcBorders>
            <w:shd w:val="clear" w:color="auto" w:fill="FFFFFF"/>
            <w:vAlign w:val="center"/>
          </w:tcPr>
          <w:p w14:paraId="37A42CF5">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97(67.4%)</w:t>
            </w:r>
          </w:p>
        </w:tc>
        <w:tc>
          <w:tcPr>
            <w:tcW w:w="0" w:type="auto"/>
            <w:tcBorders>
              <w:top w:val="nil"/>
              <w:left w:val="nil"/>
              <w:bottom w:val="nil"/>
              <w:right w:val="nil"/>
            </w:tcBorders>
            <w:shd w:val="clear" w:color="auto" w:fill="FFFFFF"/>
            <w:vAlign w:val="center"/>
          </w:tcPr>
          <w:p w14:paraId="713C2AE0">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129(67.2%)</w:t>
            </w:r>
          </w:p>
        </w:tc>
        <w:tc>
          <w:tcPr>
            <w:tcW w:w="995" w:type="dxa"/>
            <w:tcBorders>
              <w:top w:val="nil"/>
              <w:left w:val="nil"/>
              <w:bottom w:val="nil"/>
              <w:right w:val="nil"/>
            </w:tcBorders>
            <w:shd w:val="clear" w:color="auto" w:fill="FFFFFF"/>
            <w:vAlign w:val="center"/>
          </w:tcPr>
          <w:p w14:paraId="079FBD24">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1</w:t>
            </w:r>
          </w:p>
        </w:tc>
      </w:tr>
      <w:tr w14:paraId="2BD0E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3BC7E973">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Coronary artery disease, n（%）</w:t>
            </w:r>
          </w:p>
        </w:tc>
        <w:tc>
          <w:tcPr>
            <w:tcW w:w="2515" w:type="dxa"/>
            <w:tcBorders>
              <w:top w:val="nil"/>
              <w:left w:val="nil"/>
              <w:bottom w:val="nil"/>
              <w:right w:val="nil"/>
            </w:tcBorders>
            <w:shd w:val="clear" w:color="auto" w:fill="FFFFFF"/>
            <w:vAlign w:val="center"/>
          </w:tcPr>
          <w:p w14:paraId="59C3AF47">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0(0.0%)</w:t>
            </w:r>
          </w:p>
        </w:tc>
        <w:tc>
          <w:tcPr>
            <w:tcW w:w="0" w:type="auto"/>
            <w:tcBorders>
              <w:top w:val="nil"/>
              <w:left w:val="nil"/>
              <w:bottom w:val="nil"/>
              <w:right w:val="nil"/>
            </w:tcBorders>
            <w:shd w:val="clear" w:color="auto" w:fill="FFFFFF"/>
            <w:vAlign w:val="center"/>
          </w:tcPr>
          <w:p w14:paraId="1CDAD619">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0(0.0%)</w:t>
            </w:r>
          </w:p>
        </w:tc>
        <w:tc>
          <w:tcPr>
            <w:tcW w:w="995" w:type="dxa"/>
            <w:tcBorders>
              <w:top w:val="nil"/>
              <w:left w:val="nil"/>
              <w:bottom w:val="nil"/>
              <w:right w:val="nil"/>
            </w:tcBorders>
            <w:shd w:val="clear" w:color="auto" w:fill="FFFFFF"/>
            <w:vAlign w:val="center"/>
          </w:tcPr>
          <w:p w14:paraId="6BBC537C">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NA</w:t>
            </w:r>
          </w:p>
        </w:tc>
      </w:tr>
      <w:tr w14:paraId="12A11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096C43F3">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Heart failure, n（%）</w:t>
            </w:r>
          </w:p>
        </w:tc>
        <w:tc>
          <w:tcPr>
            <w:tcW w:w="2515" w:type="dxa"/>
            <w:tcBorders>
              <w:top w:val="nil"/>
              <w:left w:val="nil"/>
              <w:bottom w:val="nil"/>
              <w:right w:val="nil"/>
            </w:tcBorders>
            <w:shd w:val="clear" w:color="auto" w:fill="FFFFFF"/>
            <w:vAlign w:val="center"/>
          </w:tcPr>
          <w:p w14:paraId="23E1816E">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35(24.3%)</w:t>
            </w:r>
          </w:p>
        </w:tc>
        <w:tc>
          <w:tcPr>
            <w:tcW w:w="0" w:type="auto"/>
            <w:tcBorders>
              <w:top w:val="nil"/>
              <w:left w:val="nil"/>
              <w:bottom w:val="nil"/>
              <w:right w:val="nil"/>
            </w:tcBorders>
            <w:shd w:val="clear" w:color="auto" w:fill="FFFFFF"/>
            <w:vAlign w:val="center"/>
          </w:tcPr>
          <w:p w14:paraId="76AD95B6">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60(31.2%)</w:t>
            </w:r>
          </w:p>
        </w:tc>
        <w:tc>
          <w:tcPr>
            <w:tcW w:w="995" w:type="dxa"/>
            <w:tcBorders>
              <w:top w:val="nil"/>
              <w:left w:val="nil"/>
              <w:bottom w:val="nil"/>
              <w:right w:val="nil"/>
            </w:tcBorders>
            <w:shd w:val="clear" w:color="auto" w:fill="FFFFFF"/>
            <w:vAlign w:val="center"/>
          </w:tcPr>
          <w:p w14:paraId="4E714465">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0.202</w:t>
            </w:r>
          </w:p>
        </w:tc>
      </w:tr>
      <w:tr w14:paraId="6951D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5637058A">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Previous stroke, n（%）</w:t>
            </w:r>
          </w:p>
        </w:tc>
        <w:tc>
          <w:tcPr>
            <w:tcW w:w="2515" w:type="dxa"/>
            <w:tcBorders>
              <w:top w:val="nil"/>
              <w:left w:val="nil"/>
              <w:bottom w:val="nil"/>
              <w:right w:val="nil"/>
            </w:tcBorders>
            <w:shd w:val="clear" w:color="auto" w:fill="FFFFFF"/>
            <w:vAlign w:val="center"/>
          </w:tcPr>
          <w:p w14:paraId="088CA9BA">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21(14.6%)</w:t>
            </w:r>
          </w:p>
        </w:tc>
        <w:tc>
          <w:tcPr>
            <w:tcW w:w="0" w:type="auto"/>
            <w:tcBorders>
              <w:top w:val="nil"/>
              <w:left w:val="nil"/>
              <w:bottom w:val="nil"/>
              <w:right w:val="nil"/>
            </w:tcBorders>
            <w:shd w:val="clear" w:color="auto" w:fill="FFFFFF"/>
            <w:vAlign w:val="center"/>
          </w:tcPr>
          <w:p w14:paraId="0E9A868A">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29(15.1%)</w:t>
            </w:r>
          </w:p>
        </w:tc>
        <w:tc>
          <w:tcPr>
            <w:tcW w:w="995" w:type="dxa"/>
            <w:tcBorders>
              <w:top w:val="nil"/>
              <w:left w:val="nil"/>
              <w:bottom w:val="nil"/>
              <w:right w:val="nil"/>
            </w:tcBorders>
            <w:shd w:val="clear" w:color="auto" w:fill="FFFFFF"/>
            <w:vAlign w:val="center"/>
          </w:tcPr>
          <w:p w14:paraId="48533951">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1</w:t>
            </w:r>
          </w:p>
        </w:tc>
      </w:tr>
      <w:tr w14:paraId="70FB3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534D83FF">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Cardiomyopathy, n（%）</w:t>
            </w:r>
          </w:p>
        </w:tc>
        <w:tc>
          <w:tcPr>
            <w:tcW w:w="2515" w:type="dxa"/>
            <w:tcBorders>
              <w:top w:val="nil"/>
              <w:left w:val="nil"/>
              <w:bottom w:val="nil"/>
              <w:right w:val="nil"/>
            </w:tcBorders>
            <w:shd w:val="clear" w:color="auto" w:fill="FFFFFF"/>
            <w:vAlign w:val="center"/>
          </w:tcPr>
          <w:p w14:paraId="52B30BBE">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1(0.7%)</w:t>
            </w:r>
          </w:p>
        </w:tc>
        <w:tc>
          <w:tcPr>
            <w:tcW w:w="0" w:type="auto"/>
            <w:tcBorders>
              <w:top w:val="nil"/>
              <w:left w:val="nil"/>
              <w:bottom w:val="nil"/>
              <w:right w:val="nil"/>
            </w:tcBorders>
            <w:shd w:val="clear" w:color="auto" w:fill="FFFFFF"/>
            <w:vAlign w:val="center"/>
          </w:tcPr>
          <w:p w14:paraId="474B2593">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3(1.6%)</w:t>
            </w:r>
          </w:p>
        </w:tc>
        <w:tc>
          <w:tcPr>
            <w:tcW w:w="995" w:type="dxa"/>
            <w:tcBorders>
              <w:top w:val="nil"/>
              <w:left w:val="nil"/>
              <w:bottom w:val="nil"/>
              <w:right w:val="nil"/>
            </w:tcBorders>
            <w:shd w:val="clear" w:color="auto" w:fill="FFFFFF"/>
            <w:vAlign w:val="center"/>
          </w:tcPr>
          <w:p w14:paraId="7EC856A0">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0.638</w:t>
            </w:r>
          </w:p>
        </w:tc>
      </w:tr>
      <w:tr w14:paraId="59ECF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3D5C8030">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b w:val="0"/>
                <w:bCs/>
                <w:i w:val="0"/>
                <w:iCs w:val="0"/>
                <w:color w:val="000000"/>
                <w:sz w:val="24"/>
                <w:szCs w:val="24"/>
                <w:highlight w:val="none"/>
                <w:u w:val="none"/>
              </w:rPr>
            </w:pPr>
            <w:r>
              <w:rPr>
                <w:rFonts w:hint="default" w:ascii="Times New Roman" w:hAnsi="Times New Roman" w:eastAsia="微软雅黑" w:cs="Times New Roman"/>
                <w:b w:val="0"/>
                <w:bCs/>
                <w:i w:val="0"/>
                <w:iCs w:val="0"/>
                <w:color w:val="000000"/>
                <w:kern w:val="0"/>
                <w:sz w:val="24"/>
                <w:szCs w:val="24"/>
                <w:highlight w:val="none"/>
                <w:u w:val="none"/>
                <w:lang w:val="en-US" w:eastAsia="zh-CN" w:bidi="ar"/>
              </w:rPr>
              <w:t>Other medical history</w:t>
            </w:r>
          </w:p>
        </w:tc>
        <w:tc>
          <w:tcPr>
            <w:tcW w:w="2515" w:type="dxa"/>
            <w:tcBorders>
              <w:top w:val="nil"/>
              <w:left w:val="nil"/>
              <w:bottom w:val="nil"/>
              <w:right w:val="nil"/>
            </w:tcBorders>
            <w:shd w:val="clear" w:color="auto" w:fill="FFFFFF"/>
            <w:vAlign w:val="center"/>
          </w:tcPr>
          <w:p w14:paraId="6AD135D8">
            <w:pPr>
              <w:snapToGrid w:val="0"/>
              <w:ind w:left="0" w:leftChars="0" w:right="0" w:rightChars="0" w:firstLine="0" w:firstLineChars="0"/>
              <w:jc w:val="center"/>
              <w:rPr>
                <w:rFonts w:hint="default" w:ascii="Times New Roman" w:hAnsi="Times New Roman" w:eastAsia="微软雅黑" w:cs="Times New Roman"/>
                <w:i w:val="0"/>
                <w:iCs w:val="0"/>
                <w:color w:val="000000"/>
                <w:sz w:val="24"/>
                <w:szCs w:val="24"/>
                <w:highlight w:val="none"/>
                <w:u w:val="none"/>
              </w:rPr>
            </w:pPr>
          </w:p>
        </w:tc>
        <w:tc>
          <w:tcPr>
            <w:tcW w:w="0" w:type="auto"/>
            <w:tcBorders>
              <w:top w:val="nil"/>
              <w:left w:val="nil"/>
              <w:bottom w:val="nil"/>
              <w:right w:val="nil"/>
            </w:tcBorders>
            <w:shd w:val="clear" w:color="auto" w:fill="FFFFFF"/>
            <w:vAlign w:val="center"/>
          </w:tcPr>
          <w:p w14:paraId="793D747F">
            <w:pPr>
              <w:snapToGrid w:val="0"/>
              <w:ind w:left="0" w:leftChars="0" w:right="0" w:rightChars="0" w:firstLine="0" w:firstLineChars="0"/>
              <w:jc w:val="center"/>
              <w:rPr>
                <w:rFonts w:hint="default" w:ascii="Times New Roman" w:hAnsi="Times New Roman" w:eastAsia="微软雅黑" w:cs="Times New Roman"/>
                <w:i w:val="0"/>
                <w:iCs w:val="0"/>
                <w:color w:val="000000"/>
                <w:sz w:val="24"/>
                <w:szCs w:val="24"/>
                <w:highlight w:val="none"/>
                <w:u w:val="none"/>
              </w:rPr>
            </w:pPr>
          </w:p>
        </w:tc>
        <w:tc>
          <w:tcPr>
            <w:tcW w:w="995" w:type="dxa"/>
            <w:tcBorders>
              <w:top w:val="nil"/>
              <w:left w:val="nil"/>
              <w:bottom w:val="nil"/>
              <w:right w:val="nil"/>
            </w:tcBorders>
            <w:shd w:val="clear" w:color="auto" w:fill="FFFFFF"/>
            <w:vAlign w:val="center"/>
          </w:tcPr>
          <w:p w14:paraId="72F1AE25">
            <w:pPr>
              <w:snapToGrid w:val="0"/>
              <w:ind w:left="0" w:leftChars="0" w:right="0" w:rightChars="0" w:firstLine="0" w:firstLineChars="0"/>
              <w:jc w:val="center"/>
              <w:rPr>
                <w:rFonts w:hint="default" w:ascii="Times New Roman" w:hAnsi="Times New Roman" w:eastAsia="微软雅黑" w:cs="Times New Roman"/>
                <w:i w:val="0"/>
                <w:iCs w:val="0"/>
                <w:color w:val="000000"/>
                <w:sz w:val="24"/>
                <w:szCs w:val="24"/>
                <w:highlight w:val="none"/>
                <w:u w:val="none"/>
              </w:rPr>
            </w:pPr>
          </w:p>
        </w:tc>
      </w:tr>
      <w:tr w14:paraId="0C2B4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0A5920D7">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COPD, n（%）</w:t>
            </w:r>
          </w:p>
        </w:tc>
        <w:tc>
          <w:tcPr>
            <w:tcW w:w="2515" w:type="dxa"/>
            <w:tcBorders>
              <w:top w:val="nil"/>
              <w:left w:val="nil"/>
              <w:bottom w:val="nil"/>
              <w:right w:val="nil"/>
            </w:tcBorders>
            <w:shd w:val="clear" w:color="auto" w:fill="FFFFFF"/>
            <w:vAlign w:val="center"/>
          </w:tcPr>
          <w:p w14:paraId="23030E1A">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9(6.2%)</w:t>
            </w:r>
          </w:p>
        </w:tc>
        <w:tc>
          <w:tcPr>
            <w:tcW w:w="0" w:type="auto"/>
            <w:tcBorders>
              <w:top w:val="nil"/>
              <w:left w:val="nil"/>
              <w:bottom w:val="nil"/>
              <w:right w:val="nil"/>
            </w:tcBorders>
            <w:shd w:val="clear" w:color="auto" w:fill="FFFFFF"/>
            <w:vAlign w:val="center"/>
          </w:tcPr>
          <w:p w14:paraId="544B5AD2">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18(9.4%)</w:t>
            </w:r>
          </w:p>
        </w:tc>
        <w:tc>
          <w:tcPr>
            <w:tcW w:w="995" w:type="dxa"/>
            <w:tcBorders>
              <w:top w:val="nil"/>
              <w:left w:val="nil"/>
              <w:bottom w:val="nil"/>
              <w:right w:val="nil"/>
            </w:tcBorders>
            <w:shd w:val="clear" w:color="auto" w:fill="FFFFFF"/>
            <w:vAlign w:val="center"/>
          </w:tcPr>
          <w:p w14:paraId="5A17619F">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0.401</w:t>
            </w:r>
          </w:p>
        </w:tc>
      </w:tr>
      <w:tr w14:paraId="5DEA5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642E6749">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Diabetes, n（%）</w:t>
            </w:r>
          </w:p>
        </w:tc>
        <w:tc>
          <w:tcPr>
            <w:tcW w:w="2515" w:type="dxa"/>
            <w:tcBorders>
              <w:top w:val="nil"/>
              <w:left w:val="nil"/>
              <w:bottom w:val="nil"/>
              <w:right w:val="nil"/>
            </w:tcBorders>
            <w:shd w:val="clear" w:color="auto" w:fill="FFFFFF"/>
            <w:vAlign w:val="center"/>
          </w:tcPr>
          <w:p w14:paraId="1E108C5C">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17(11.8%)</w:t>
            </w:r>
          </w:p>
        </w:tc>
        <w:tc>
          <w:tcPr>
            <w:tcW w:w="0" w:type="auto"/>
            <w:tcBorders>
              <w:top w:val="nil"/>
              <w:left w:val="nil"/>
              <w:bottom w:val="nil"/>
              <w:right w:val="nil"/>
            </w:tcBorders>
            <w:shd w:val="clear" w:color="auto" w:fill="FFFFFF"/>
            <w:vAlign w:val="center"/>
          </w:tcPr>
          <w:p w14:paraId="2115DC09">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37(19.3%)</w:t>
            </w:r>
          </w:p>
        </w:tc>
        <w:tc>
          <w:tcPr>
            <w:tcW w:w="995" w:type="dxa"/>
            <w:tcBorders>
              <w:top w:val="nil"/>
              <w:left w:val="nil"/>
              <w:bottom w:val="nil"/>
              <w:right w:val="nil"/>
            </w:tcBorders>
            <w:shd w:val="clear" w:color="auto" w:fill="FFFFFF"/>
            <w:vAlign w:val="center"/>
          </w:tcPr>
          <w:p w14:paraId="34F32D90">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0.09</w:t>
            </w:r>
          </w:p>
        </w:tc>
      </w:tr>
      <w:tr w14:paraId="2EBCD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3F941204">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Fatty liver, n（%）</w:t>
            </w:r>
          </w:p>
        </w:tc>
        <w:tc>
          <w:tcPr>
            <w:tcW w:w="2515" w:type="dxa"/>
            <w:tcBorders>
              <w:top w:val="nil"/>
              <w:left w:val="nil"/>
              <w:bottom w:val="nil"/>
              <w:right w:val="nil"/>
            </w:tcBorders>
            <w:shd w:val="clear" w:color="auto" w:fill="FFFFFF"/>
            <w:vAlign w:val="center"/>
          </w:tcPr>
          <w:p w14:paraId="571160B2">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45(31.2%)</w:t>
            </w:r>
          </w:p>
        </w:tc>
        <w:tc>
          <w:tcPr>
            <w:tcW w:w="0" w:type="auto"/>
            <w:tcBorders>
              <w:top w:val="nil"/>
              <w:left w:val="nil"/>
              <w:bottom w:val="nil"/>
              <w:right w:val="nil"/>
            </w:tcBorders>
            <w:shd w:val="clear" w:color="auto" w:fill="FFFFFF"/>
            <w:vAlign w:val="center"/>
          </w:tcPr>
          <w:p w14:paraId="4D6BA955">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52(27.1%)</w:t>
            </w:r>
          </w:p>
        </w:tc>
        <w:tc>
          <w:tcPr>
            <w:tcW w:w="995" w:type="dxa"/>
            <w:tcBorders>
              <w:top w:val="nil"/>
              <w:left w:val="nil"/>
              <w:bottom w:val="nil"/>
              <w:right w:val="nil"/>
            </w:tcBorders>
            <w:shd w:val="clear" w:color="auto" w:fill="FFFFFF"/>
            <w:vAlign w:val="center"/>
          </w:tcPr>
          <w:p w14:paraId="7FC58493">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0.476</w:t>
            </w:r>
          </w:p>
        </w:tc>
      </w:tr>
      <w:tr w14:paraId="689A6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501C456E">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Renal disease, n（%）</w:t>
            </w:r>
          </w:p>
        </w:tc>
        <w:tc>
          <w:tcPr>
            <w:tcW w:w="2515" w:type="dxa"/>
            <w:tcBorders>
              <w:top w:val="nil"/>
              <w:left w:val="nil"/>
              <w:bottom w:val="nil"/>
              <w:right w:val="nil"/>
            </w:tcBorders>
            <w:shd w:val="clear" w:color="auto" w:fill="FFFFFF"/>
            <w:vAlign w:val="center"/>
          </w:tcPr>
          <w:p w14:paraId="47E2F3E0">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10(6.9%)</w:t>
            </w:r>
          </w:p>
        </w:tc>
        <w:tc>
          <w:tcPr>
            <w:tcW w:w="0" w:type="auto"/>
            <w:tcBorders>
              <w:top w:val="nil"/>
              <w:left w:val="nil"/>
              <w:bottom w:val="nil"/>
              <w:right w:val="nil"/>
            </w:tcBorders>
            <w:shd w:val="clear" w:color="auto" w:fill="FFFFFF"/>
            <w:vAlign w:val="center"/>
          </w:tcPr>
          <w:p w14:paraId="18C5C10D">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7(3.6%)</w:t>
            </w:r>
          </w:p>
        </w:tc>
        <w:tc>
          <w:tcPr>
            <w:tcW w:w="995" w:type="dxa"/>
            <w:tcBorders>
              <w:top w:val="nil"/>
              <w:left w:val="nil"/>
              <w:bottom w:val="nil"/>
              <w:right w:val="nil"/>
            </w:tcBorders>
            <w:shd w:val="clear" w:color="auto" w:fill="FFFFFF"/>
            <w:vAlign w:val="center"/>
          </w:tcPr>
          <w:p w14:paraId="5C04DEA6">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0.265</w:t>
            </w:r>
          </w:p>
        </w:tc>
      </w:tr>
      <w:tr w14:paraId="4D7B0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5FE36F6F">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Hyperthyroidism, n（%）</w:t>
            </w:r>
          </w:p>
        </w:tc>
        <w:tc>
          <w:tcPr>
            <w:tcW w:w="2515" w:type="dxa"/>
            <w:tcBorders>
              <w:top w:val="nil"/>
              <w:left w:val="nil"/>
              <w:bottom w:val="nil"/>
              <w:right w:val="nil"/>
            </w:tcBorders>
            <w:shd w:val="clear" w:color="auto" w:fill="FFFFFF"/>
            <w:vAlign w:val="center"/>
          </w:tcPr>
          <w:p w14:paraId="4E7DD31D">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1(0.7%)</w:t>
            </w:r>
          </w:p>
        </w:tc>
        <w:tc>
          <w:tcPr>
            <w:tcW w:w="0" w:type="auto"/>
            <w:tcBorders>
              <w:top w:val="nil"/>
              <w:left w:val="nil"/>
              <w:bottom w:val="nil"/>
              <w:right w:val="nil"/>
            </w:tcBorders>
            <w:shd w:val="clear" w:color="auto" w:fill="FFFFFF"/>
            <w:vAlign w:val="center"/>
          </w:tcPr>
          <w:p w14:paraId="6EE42697">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3(1.6%)</w:t>
            </w:r>
          </w:p>
        </w:tc>
        <w:tc>
          <w:tcPr>
            <w:tcW w:w="995" w:type="dxa"/>
            <w:tcBorders>
              <w:top w:val="nil"/>
              <w:left w:val="nil"/>
              <w:bottom w:val="nil"/>
              <w:right w:val="nil"/>
            </w:tcBorders>
            <w:shd w:val="clear" w:color="auto" w:fill="FFFFFF"/>
            <w:vAlign w:val="center"/>
          </w:tcPr>
          <w:p w14:paraId="1F277135">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0.638</w:t>
            </w:r>
          </w:p>
        </w:tc>
      </w:tr>
      <w:tr w14:paraId="4B342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7F320E5C">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Hyperlipidemia, n（%）</w:t>
            </w:r>
          </w:p>
        </w:tc>
        <w:tc>
          <w:tcPr>
            <w:tcW w:w="2515" w:type="dxa"/>
            <w:tcBorders>
              <w:top w:val="nil"/>
              <w:left w:val="nil"/>
              <w:bottom w:val="nil"/>
              <w:right w:val="nil"/>
            </w:tcBorders>
            <w:shd w:val="clear" w:color="auto" w:fill="FFFFFF"/>
            <w:vAlign w:val="center"/>
          </w:tcPr>
          <w:p w14:paraId="57A99A1D">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17(11.8%)</w:t>
            </w:r>
          </w:p>
        </w:tc>
        <w:tc>
          <w:tcPr>
            <w:tcW w:w="0" w:type="auto"/>
            <w:tcBorders>
              <w:top w:val="nil"/>
              <w:left w:val="nil"/>
              <w:bottom w:val="nil"/>
              <w:right w:val="nil"/>
            </w:tcBorders>
            <w:shd w:val="clear" w:color="auto" w:fill="FFFFFF"/>
            <w:vAlign w:val="center"/>
          </w:tcPr>
          <w:p w14:paraId="082C2264">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22(11.5%)</w:t>
            </w:r>
          </w:p>
        </w:tc>
        <w:tc>
          <w:tcPr>
            <w:tcW w:w="995" w:type="dxa"/>
            <w:tcBorders>
              <w:top w:val="nil"/>
              <w:left w:val="nil"/>
              <w:bottom w:val="nil"/>
              <w:right w:val="nil"/>
            </w:tcBorders>
            <w:shd w:val="clear" w:color="auto" w:fill="FFFFFF"/>
            <w:vAlign w:val="center"/>
          </w:tcPr>
          <w:p w14:paraId="22FA64A4">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1</w:t>
            </w:r>
          </w:p>
        </w:tc>
      </w:tr>
      <w:tr w14:paraId="6C4BA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72444BAA">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b w:val="0"/>
                <w:bCs/>
                <w:i w:val="0"/>
                <w:iCs w:val="0"/>
                <w:color w:val="000000"/>
                <w:sz w:val="24"/>
                <w:szCs w:val="24"/>
                <w:highlight w:val="none"/>
                <w:u w:val="none"/>
              </w:rPr>
            </w:pPr>
            <w:r>
              <w:rPr>
                <w:rFonts w:hint="default" w:ascii="Times New Roman" w:hAnsi="Times New Roman" w:eastAsia="微软雅黑" w:cs="Times New Roman"/>
                <w:b w:val="0"/>
                <w:bCs/>
                <w:i w:val="0"/>
                <w:iCs w:val="0"/>
                <w:color w:val="000000"/>
                <w:kern w:val="0"/>
                <w:sz w:val="24"/>
                <w:szCs w:val="24"/>
                <w:highlight w:val="none"/>
                <w:u w:val="none"/>
                <w:lang w:val="en-US" w:eastAsia="zh-CN" w:bidi="ar"/>
              </w:rPr>
              <w:t>Medications</w:t>
            </w:r>
          </w:p>
        </w:tc>
        <w:tc>
          <w:tcPr>
            <w:tcW w:w="2515" w:type="dxa"/>
            <w:tcBorders>
              <w:top w:val="nil"/>
              <w:left w:val="nil"/>
              <w:bottom w:val="nil"/>
              <w:right w:val="nil"/>
            </w:tcBorders>
            <w:shd w:val="clear" w:color="auto" w:fill="FFFFFF"/>
            <w:vAlign w:val="center"/>
          </w:tcPr>
          <w:p w14:paraId="0B3AEEFC">
            <w:pPr>
              <w:snapToGrid w:val="0"/>
              <w:ind w:left="0" w:leftChars="0" w:right="0" w:rightChars="0" w:firstLine="0" w:firstLineChars="0"/>
              <w:jc w:val="center"/>
              <w:rPr>
                <w:rFonts w:hint="default" w:ascii="Times New Roman" w:hAnsi="Times New Roman" w:eastAsia="微软雅黑" w:cs="Times New Roman"/>
                <w:i w:val="0"/>
                <w:iCs w:val="0"/>
                <w:color w:val="000000"/>
                <w:sz w:val="24"/>
                <w:szCs w:val="24"/>
                <w:highlight w:val="none"/>
                <w:u w:val="none"/>
              </w:rPr>
            </w:pPr>
          </w:p>
        </w:tc>
        <w:tc>
          <w:tcPr>
            <w:tcW w:w="0" w:type="auto"/>
            <w:tcBorders>
              <w:top w:val="nil"/>
              <w:left w:val="nil"/>
              <w:bottom w:val="nil"/>
              <w:right w:val="nil"/>
            </w:tcBorders>
            <w:shd w:val="clear" w:color="auto" w:fill="FFFFFF"/>
            <w:vAlign w:val="center"/>
          </w:tcPr>
          <w:p w14:paraId="79C8BD06">
            <w:pPr>
              <w:snapToGrid w:val="0"/>
              <w:ind w:left="0" w:leftChars="0" w:right="0" w:rightChars="0" w:firstLine="0" w:firstLineChars="0"/>
              <w:jc w:val="center"/>
              <w:rPr>
                <w:rFonts w:hint="default" w:ascii="Times New Roman" w:hAnsi="Times New Roman" w:eastAsia="微软雅黑" w:cs="Times New Roman"/>
                <w:i w:val="0"/>
                <w:iCs w:val="0"/>
                <w:color w:val="000000"/>
                <w:sz w:val="24"/>
                <w:szCs w:val="24"/>
                <w:highlight w:val="none"/>
                <w:u w:val="none"/>
              </w:rPr>
            </w:pPr>
          </w:p>
        </w:tc>
        <w:tc>
          <w:tcPr>
            <w:tcW w:w="995" w:type="dxa"/>
            <w:tcBorders>
              <w:top w:val="nil"/>
              <w:left w:val="nil"/>
              <w:bottom w:val="nil"/>
              <w:right w:val="nil"/>
            </w:tcBorders>
            <w:shd w:val="clear" w:color="auto" w:fill="FFFFFF"/>
            <w:vAlign w:val="center"/>
          </w:tcPr>
          <w:p w14:paraId="5463F137">
            <w:pPr>
              <w:snapToGrid w:val="0"/>
              <w:ind w:left="0" w:leftChars="0" w:right="0" w:rightChars="0" w:firstLine="0" w:firstLineChars="0"/>
              <w:jc w:val="center"/>
              <w:rPr>
                <w:rFonts w:hint="default" w:ascii="Times New Roman" w:hAnsi="Times New Roman" w:eastAsia="微软雅黑" w:cs="Times New Roman"/>
                <w:i w:val="0"/>
                <w:iCs w:val="0"/>
                <w:color w:val="000000"/>
                <w:sz w:val="24"/>
                <w:szCs w:val="24"/>
                <w:highlight w:val="none"/>
                <w:u w:val="none"/>
              </w:rPr>
            </w:pPr>
          </w:p>
        </w:tc>
      </w:tr>
      <w:tr w14:paraId="5D434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0EA76D49">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Statins, n（%）</w:t>
            </w:r>
          </w:p>
        </w:tc>
        <w:tc>
          <w:tcPr>
            <w:tcW w:w="2515" w:type="dxa"/>
            <w:tcBorders>
              <w:top w:val="nil"/>
              <w:left w:val="nil"/>
              <w:bottom w:val="nil"/>
              <w:right w:val="nil"/>
            </w:tcBorders>
            <w:shd w:val="clear" w:color="auto" w:fill="FFFFFF"/>
            <w:vAlign w:val="center"/>
          </w:tcPr>
          <w:p w14:paraId="60C0EFC6">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38(26.4%)</w:t>
            </w:r>
          </w:p>
        </w:tc>
        <w:tc>
          <w:tcPr>
            <w:tcW w:w="0" w:type="auto"/>
            <w:tcBorders>
              <w:top w:val="nil"/>
              <w:left w:val="nil"/>
              <w:bottom w:val="nil"/>
              <w:right w:val="nil"/>
            </w:tcBorders>
            <w:shd w:val="clear" w:color="auto" w:fill="FFFFFF"/>
            <w:vAlign w:val="center"/>
          </w:tcPr>
          <w:p w14:paraId="4D1BC3CD">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50(26.0%)</w:t>
            </w:r>
          </w:p>
        </w:tc>
        <w:tc>
          <w:tcPr>
            <w:tcW w:w="995" w:type="dxa"/>
            <w:tcBorders>
              <w:top w:val="nil"/>
              <w:left w:val="nil"/>
              <w:bottom w:val="nil"/>
              <w:right w:val="nil"/>
            </w:tcBorders>
            <w:shd w:val="clear" w:color="auto" w:fill="FFFFFF"/>
            <w:vAlign w:val="center"/>
          </w:tcPr>
          <w:p w14:paraId="0CB23048">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1</w:t>
            </w:r>
          </w:p>
        </w:tc>
      </w:tr>
      <w:tr w14:paraId="2363A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29E4A136">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Antiplatelet, n（%）</w:t>
            </w:r>
          </w:p>
        </w:tc>
        <w:tc>
          <w:tcPr>
            <w:tcW w:w="2515" w:type="dxa"/>
            <w:tcBorders>
              <w:top w:val="nil"/>
              <w:left w:val="nil"/>
              <w:bottom w:val="nil"/>
              <w:right w:val="nil"/>
            </w:tcBorders>
            <w:shd w:val="clear" w:color="auto" w:fill="FFFFFF"/>
            <w:vAlign w:val="center"/>
          </w:tcPr>
          <w:p w14:paraId="52C0E77B">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8(5.6%)</w:t>
            </w:r>
          </w:p>
        </w:tc>
        <w:tc>
          <w:tcPr>
            <w:tcW w:w="0" w:type="auto"/>
            <w:tcBorders>
              <w:top w:val="nil"/>
              <w:left w:val="nil"/>
              <w:bottom w:val="nil"/>
              <w:right w:val="nil"/>
            </w:tcBorders>
            <w:shd w:val="clear" w:color="auto" w:fill="FFFFFF"/>
            <w:vAlign w:val="center"/>
          </w:tcPr>
          <w:p w14:paraId="7C430B42">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4(2.1%)</w:t>
            </w:r>
          </w:p>
        </w:tc>
        <w:tc>
          <w:tcPr>
            <w:tcW w:w="995" w:type="dxa"/>
            <w:tcBorders>
              <w:top w:val="nil"/>
              <w:left w:val="nil"/>
              <w:bottom w:val="nil"/>
              <w:right w:val="nil"/>
            </w:tcBorders>
            <w:shd w:val="clear" w:color="auto" w:fill="FFFFFF"/>
            <w:vAlign w:val="center"/>
          </w:tcPr>
          <w:p w14:paraId="25474E61">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0.161</w:t>
            </w:r>
          </w:p>
        </w:tc>
      </w:tr>
      <w:tr w14:paraId="0A235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36D01CC2">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Diuretic, n（%）</w:t>
            </w:r>
          </w:p>
        </w:tc>
        <w:tc>
          <w:tcPr>
            <w:tcW w:w="2515" w:type="dxa"/>
            <w:tcBorders>
              <w:top w:val="nil"/>
              <w:left w:val="nil"/>
              <w:bottom w:val="nil"/>
              <w:right w:val="nil"/>
            </w:tcBorders>
            <w:shd w:val="clear" w:color="auto" w:fill="FFFFFF"/>
            <w:vAlign w:val="center"/>
          </w:tcPr>
          <w:p w14:paraId="5855F010">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44(30.6%)</w:t>
            </w:r>
          </w:p>
        </w:tc>
        <w:tc>
          <w:tcPr>
            <w:tcW w:w="0" w:type="auto"/>
            <w:tcBorders>
              <w:top w:val="nil"/>
              <w:left w:val="nil"/>
              <w:bottom w:val="nil"/>
              <w:right w:val="nil"/>
            </w:tcBorders>
            <w:shd w:val="clear" w:color="auto" w:fill="FFFFFF"/>
            <w:vAlign w:val="center"/>
          </w:tcPr>
          <w:p w14:paraId="75C2C570">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76(39.6%)</w:t>
            </w:r>
          </w:p>
        </w:tc>
        <w:tc>
          <w:tcPr>
            <w:tcW w:w="995" w:type="dxa"/>
            <w:tcBorders>
              <w:top w:val="nil"/>
              <w:left w:val="nil"/>
              <w:bottom w:val="nil"/>
              <w:right w:val="nil"/>
            </w:tcBorders>
            <w:shd w:val="clear" w:color="auto" w:fill="FFFFFF"/>
            <w:vAlign w:val="center"/>
          </w:tcPr>
          <w:p w14:paraId="736ED3E1">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0.111</w:t>
            </w:r>
          </w:p>
        </w:tc>
      </w:tr>
      <w:tr w14:paraId="7D6D1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73291D42">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Anticoagulant, n（%）</w:t>
            </w:r>
          </w:p>
        </w:tc>
        <w:tc>
          <w:tcPr>
            <w:tcW w:w="2515" w:type="dxa"/>
            <w:tcBorders>
              <w:top w:val="nil"/>
              <w:left w:val="nil"/>
              <w:bottom w:val="nil"/>
              <w:right w:val="nil"/>
            </w:tcBorders>
            <w:shd w:val="clear" w:color="auto" w:fill="FFFFFF"/>
            <w:vAlign w:val="center"/>
          </w:tcPr>
          <w:p w14:paraId="23BEF9E6">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144(100.0%)</w:t>
            </w:r>
          </w:p>
        </w:tc>
        <w:tc>
          <w:tcPr>
            <w:tcW w:w="0" w:type="auto"/>
            <w:tcBorders>
              <w:top w:val="nil"/>
              <w:left w:val="nil"/>
              <w:bottom w:val="nil"/>
              <w:right w:val="nil"/>
            </w:tcBorders>
            <w:shd w:val="clear" w:color="auto" w:fill="FFFFFF"/>
            <w:vAlign w:val="center"/>
          </w:tcPr>
          <w:p w14:paraId="519BE84E">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192(100.0%)</w:t>
            </w:r>
          </w:p>
        </w:tc>
        <w:tc>
          <w:tcPr>
            <w:tcW w:w="995" w:type="dxa"/>
            <w:tcBorders>
              <w:top w:val="nil"/>
              <w:left w:val="nil"/>
              <w:bottom w:val="nil"/>
              <w:right w:val="nil"/>
            </w:tcBorders>
            <w:shd w:val="clear" w:color="auto" w:fill="FFFFFF"/>
            <w:vAlign w:val="center"/>
          </w:tcPr>
          <w:p w14:paraId="336CAB46">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1</w:t>
            </w:r>
          </w:p>
        </w:tc>
      </w:tr>
      <w:tr w14:paraId="473E1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0BC4E10F">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β-Blocker, n（%）</w:t>
            </w:r>
          </w:p>
        </w:tc>
        <w:tc>
          <w:tcPr>
            <w:tcW w:w="2515" w:type="dxa"/>
            <w:tcBorders>
              <w:top w:val="nil"/>
              <w:left w:val="nil"/>
              <w:bottom w:val="nil"/>
              <w:right w:val="nil"/>
            </w:tcBorders>
            <w:shd w:val="clear" w:color="auto" w:fill="FFFFFF"/>
            <w:vAlign w:val="center"/>
          </w:tcPr>
          <w:p w14:paraId="47A6A1A4">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88(61.1%)</w:t>
            </w:r>
          </w:p>
        </w:tc>
        <w:tc>
          <w:tcPr>
            <w:tcW w:w="0" w:type="auto"/>
            <w:tcBorders>
              <w:top w:val="nil"/>
              <w:left w:val="nil"/>
              <w:bottom w:val="nil"/>
              <w:right w:val="nil"/>
            </w:tcBorders>
            <w:shd w:val="clear" w:color="auto" w:fill="FFFFFF"/>
            <w:vAlign w:val="center"/>
          </w:tcPr>
          <w:p w14:paraId="4FAAF0C4">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126(65.6%)</w:t>
            </w:r>
          </w:p>
        </w:tc>
        <w:tc>
          <w:tcPr>
            <w:tcW w:w="995" w:type="dxa"/>
            <w:tcBorders>
              <w:top w:val="nil"/>
              <w:left w:val="nil"/>
              <w:bottom w:val="nil"/>
              <w:right w:val="nil"/>
            </w:tcBorders>
            <w:shd w:val="clear" w:color="auto" w:fill="FFFFFF"/>
            <w:vAlign w:val="center"/>
          </w:tcPr>
          <w:p w14:paraId="6B1DC6D8">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0.461</w:t>
            </w:r>
          </w:p>
        </w:tc>
      </w:tr>
      <w:tr w14:paraId="2F634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27481CD1">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ACEI or ARB, n（%）</w:t>
            </w:r>
          </w:p>
        </w:tc>
        <w:tc>
          <w:tcPr>
            <w:tcW w:w="2515" w:type="dxa"/>
            <w:tcBorders>
              <w:top w:val="nil"/>
              <w:left w:val="nil"/>
              <w:bottom w:val="nil"/>
              <w:right w:val="nil"/>
            </w:tcBorders>
            <w:shd w:val="clear" w:color="auto" w:fill="FFFFFF"/>
            <w:vAlign w:val="center"/>
          </w:tcPr>
          <w:p w14:paraId="2EC877DC">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64(44.5%)</w:t>
            </w:r>
          </w:p>
        </w:tc>
        <w:tc>
          <w:tcPr>
            <w:tcW w:w="0" w:type="auto"/>
            <w:tcBorders>
              <w:top w:val="nil"/>
              <w:left w:val="nil"/>
              <w:bottom w:val="nil"/>
              <w:right w:val="nil"/>
            </w:tcBorders>
            <w:shd w:val="clear" w:color="auto" w:fill="FFFFFF"/>
            <w:vAlign w:val="center"/>
          </w:tcPr>
          <w:p w14:paraId="73C9CEF3">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85(44.3%)</w:t>
            </w:r>
          </w:p>
        </w:tc>
        <w:tc>
          <w:tcPr>
            <w:tcW w:w="995" w:type="dxa"/>
            <w:tcBorders>
              <w:top w:val="nil"/>
              <w:left w:val="nil"/>
              <w:bottom w:val="nil"/>
              <w:right w:val="nil"/>
            </w:tcBorders>
            <w:shd w:val="clear" w:color="auto" w:fill="FFFFFF"/>
            <w:vAlign w:val="center"/>
          </w:tcPr>
          <w:p w14:paraId="7915C1FA">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0.912</w:t>
            </w:r>
          </w:p>
        </w:tc>
      </w:tr>
      <w:tr w14:paraId="34017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076" w:type="dxa"/>
            <w:tcBorders>
              <w:top w:val="nil"/>
              <w:left w:val="nil"/>
              <w:bottom w:val="single" w:color="000000" w:sz="12" w:space="0"/>
              <w:right w:val="nil"/>
            </w:tcBorders>
            <w:shd w:val="clear" w:color="auto" w:fill="FFFFFF"/>
            <w:vAlign w:val="center"/>
          </w:tcPr>
          <w:p w14:paraId="528B457F">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CCBs, n（%）</w:t>
            </w:r>
          </w:p>
        </w:tc>
        <w:tc>
          <w:tcPr>
            <w:tcW w:w="2515" w:type="dxa"/>
            <w:tcBorders>
              <w:top w:val="nil"/>
              <w:left w:val="nil"/>
              <w:bottom w:val="single" w:color="000000" w:sz="12" w:space="0"/>
              <w:right w:val="nil"/>
            </w:tcBorders>
            <w:shd w:val="clear" w:color="auto" w:fill="FFFFFF"/>
            <w:vAlign w:val="center"/>
          </w:tcPr>
          <w:p w14:paraId="2617A1A1">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59(41.0%)</w:t>
            </w:r>
          </w:p>
        </w:tc>
        <w:tc>
          <w:tcPr>
            <w:tcW w:w="2202" w:type="dxa"/>
            <w:tcBorders>
              <w:top w:val="nil"/>
              <w:left w:val="nil"/>
              <w:bottom w:val="single" w:color="000000" w:sz="12" w:space="0"/>
              <w:right w:val="nil"/>
            </w:tcBorders>
            <w:shd w:val="clear" w:color="auto" w:fill="FFFFFF"/>
            <w:vAlign w:val="center"/>
          </w:tcPr>
          <w:p w14:paraId="1B4743C1">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85(44.3%)</w:t>
            </w:r>
          </w:p>
        </w:tc>
        <w:tc>
          <w:tcPr>
            <w:tcW w:w="995" w:type="dxa"/>
            <w:tcBorders>
              <w:top w:val="nil"/>
              <w:left w:val="nil"/>
              <w:bottom w:val="single" w:color="000000" w:sz="12" w:space="0"/>
              <w:right w:val="nil"/>
            </w:tcBorders>
            <w:shd w:val="clear" w:color="auto" w:fill="FFFFFF"/>
            <w:vAlign w:val="center"/>
          </w:tcPr>
          <w:p w14:paraId="69A4353B">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微软雅黑" w:cs="Times New Roman"/>
                <w:i w:val="0"/>
                <w:iCs w:val="0"/>
                <w:color w:val="000000"/>
                <w:sz w:val="24"/>
                <w:szCs w:val="24"/>
                <w:highlight w:val="none"/>
                <w:u w:val="none"/>
              </w:rPr>
            </w:pPr>
            <w:r>
              <w:rPr>
                <w:rFonts w:hint="default" w:ascii="Times New Roman" w:hAnsi="Times New Roman" w:eastAsia="微软雅黑" w:cs="Times New Roman"/>
                <w:i w:val="0"/>
                <w:iCs w:val="0"/>
                <w:color w:val="000000"/>
                <w:kern w:val="0"/>
                <w:sz w:val="24"/>
                <w:szCs w:val="24"/>
                <w:highlight w:val="none"/>
                <w:u w:val="none"/>
                <w:lang w:val="en-US" w:eastAsia="zh-CN" w:bidi="ar"/>
              </w:rPr>
              <w:t>0.622</w:t>
            </w:r>
          </w:p>
        </w:tc>
      </w:tr>
    </w:tbl>
    <w:p w14:paraId="5FBFF461">
      <w:pPr>
        <w:widowControl/>
        <w:spacing w:line="480" w:lineRule="auto"/>
        <w:jc w:val="left"/>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Continuous variables are presented as the mean ± standard deviation or median [interquartile range], as appropriate. Categorical variables are presented as n (%). Comparisons between groups were performed using Student’s t test or the Wilcoxon rank-sum test for continuous variables, and the chi-square test or Fisher’s exact test for categorical variables, as appropriate.</w:t>
      </w:r>
    </w:p>
    <w:p w14:paraId="3F001AEB">
      <w:pPr>
        <w:widowControl/>
        <w:spacing w:line="480" w:lineRule="auto"/>
        <w:jc w:val="left"/>
        <w:rPr>
          <w:rFonts w:hint="default" w:ascii="Times New Roman" w:hAnsi="Times New Roman" w:eastAsia="宋体" w:cs="Times New Roman"/>
          <w:sz w:val="24"/>
          <w:szCs w:val="24"/>
          <w:highlight w:val="none"/>
          <w:lang w:val="en-US" w:eastAsia="zh-CN" w:bidi="ar"/>
        </w:rPr>
      </w:pPr>
      <w:r>
        <w:rPr>
          <w:rFonts w:hint="default" w:ascii="Times New Roman" w:hAnsi="Times New Roman" w:eastAsia="宋体" w:cs="Times New Roman"/>
          <w:sz w:val="24"/>
          <w:szCs w:val="24"/>
          <w:highlight w:val="none"/>
          <w:lang w:bidi="ar"/>
        </w:rPr>
        <w:t>Abbreviations: LVAs, left atrial low-voltage areas; HDL-C, high-density lipoprotein cholesterol; LDL-C, low-density lipoprotein cholesterol; TSH, thyroid-stimulating hormone; T3, triiodothyronine; T4, thyroxine; eGFR, estimated glomerular filtration rate; COPD, chronic obstructive pulmonary disease; ACEI, angiotensin-converting enzyme inhibitor; ARB, angiotensin receptor blocker; CCB, calcium channel blocker; LAD, left atrial diameter</w:t>
      </w:r>
      <w:r>
        <w:rPr>
          <w:rFonts w:hint="default" w:ascii="Times New Roman" w:hAnsi="Times New Roman" w:eastAsia="宋体" w:cs="Times New Roman"/>
          <w:sz w:val="24"/>
          <w:szCs w:val="24"/>
          <w:highlight w:val="none"/>
          <w:lang w:val="en-US" w:eastAsia="zh-CN" w:bidi="ar"/>
        </w:rPr>
        <w:t>.</w:t>
      </w:r>
    </w:p>
    <w:p w14:paraId="071D7FDB">
      <w:pPr>
        <w:widowControl/>
        <w:spacing w:line="480" w:lineRule="auto"/>
        <w:jc w:val="left"/>
        <w:rPr>
          <w:rFonts w:hint="default" w:ascii="Times New Roman" w:hAnsi="Times New Roman" w:eastAsia="宋体" w:cs="Times New Roman"/>
          <w:sz w:val="24"/>
          <w:szCs w:val="24"/>
          <w:highlight w:val="none"/>
          <w:lang w:val="en-US" w:eastAsia="zh-CN" w:bidi="ar"/>
        </w:rPr>
      </w:pPr>
    </w:p>
    <w:p w14:paraId="7C6F2F4C">
      <w:pPr>
        <w:widowControl/>
        <w:spacing w:line="480" w:lineRule="auto"/>
        <w:jc w:val="left"/>
        <w:rPr>
          <w:rFonts w:hint="default" w:ascii="Times New Roman" w:hAnsi="Times New Roman" w:eastAsia="宋体" w:cs="Times New Roman"/>
          <w:sz w:val="24"/>
          <w:szCs w:val="24"/>
          <w:highlight w:val="none"/>
        </w:rPr>
      </w:pPr>
      <w:r>
        <w:rPr>
          <w:rFonts w:hint="default" w:ascii="Times New Roman" w:hAnsi="Times New Roman" w:cs="Times New Roman" w:eastAsiaTheme="minorEastAsia"/>
          <w:b/>
          <w:bCs/>
          <w:kern w:val="0"/>
          <w:sz w:val="24"/>
          <w:szCs w:val="24"/>
          <w:highlight w:val="none"/>
          <w:lang w:bidi="ar"/>
        </w:rPr>
        <w:t>Supplementary Table S17.</w:t>
      </w:r>
      <w:r>
        <w:rPr>
          <w:rFonts w:hint="default" w:ascii="Times New Roman" w:hAnsi="Times New Roman" w:eastAsia="宋体" w:cs="Times New Roman"/>
          <w:sz w:val="24"/>
          <w:szCs w:val="24"/>
          <w:highlight w:val="none"/>
        </w:rPr>
        <w:t xml:space="preserve"> Associations between continuously modeled LDL-C levels and the presence of left atrial low-voltage areas after excluding patients with coronary artery disease.</w:t>
      </w:r>
    </w:p>
    <w:tbl>
      <w:tblPr>
        <w:tblStyle w:val="8"/>
        <w:tblpPr w:leftFromText="180" w:rightFromText="180" w:vertAnchor="text" w:horzAnchor="page" w:tblpX="1821" w:tblpY="91"/>
        <w:tblOverlap w:val="never"/>
        <w:tblW w:w="8519" w:type="dxa"/>
        <w:tblInd w:w="0" w:type="dxa"/>
        <w:tblLayout w:type="autofit"/>
        <w:tblCellMar>
          <w:top w:w="0" w:type="dxa"/>
          <w:left w:w="108" w:type="dxa"/>
          <w:bottom w:w="0" w:type="dxa"/>
          <w:right w:w="108" w:type="dxa"/>
        </w:tblCellMar>
      </w:tblPr>
      <w:tblGrid>
        <w:gridCol w:w="1301"/>
        <w:gridCol w:w="2506"/>
        <w:gridCol w:w="2203"/>
        <w:gridCol w:w="1004"/>
        <w:gridCol w:w="1505"/>
      </w:tblGrid>
      <w:tr w14:paraId="18A4ECB6">
        <w:tblPrEx>
          <w:tblCellMar>
            <w:top w:w="0" w:type="dxa"/>
            <w:left w:w="108" w:type="dxa"/>
            <w:bottom w:w="0" w:type="dxa"/>
            <w:right w:w="108" w:type="dxa"/>
          </w:tblCellMar>
        </w:tblPrEx>
        <w:trPr>
          <w:trHeight w:val="0" w:hRule="atLeast"/>
          <w:tblHeader/>
        </w:trPr>
        <w:tc>
          <w:tcPr>
            <w:tcW w:w="1301" w:type="dxa"/>
            <w:tcBorders>
              <w:top w:val="single" w:color="000000" w:sz="12" w:space="0"/>
              <w:left w:val="nil"/>
              <w:bottom w:val="single" w:color="000000" w:sz="4" w:space="0"/>
              <w:right w:val="nil"/>
              <w:tl2br w:val="nil"/>
            </w:tcBorders>
            <w:shd w:val="clear" w:color="auto" w:fill="FFFFFF"/>
            <w:vAlign w:val="center"/>
          </w:tcPr>
          <w:p w14:paraId="29FCBC5A">
            <w:pPr>
              <w:snapToGrid w:val="0"/>
              <w:spacing w:line="240" w:lineRule="auto"/>
              <w:ind w:left="0" w:leftChars="0" w:right="0" w:rightChars="0" w:firstLine="0" w:firstLineChars="0"/>
              <w:jc w:val="center"/>
              <w:rPr>
                <w:rFonts w:hint="default" w:ascii="Times New Roman" w:hAnsi="Times New Roman" w:eastAsia="宋体" w:cs="Times New Roman"/>
                <w:b/>
                <w:bCs w:val="0"/>
                <w:color w:val="000000"/>
                <w:sz w:val="24"/>
                <w:szCs w:val="24"/>
                <w:highlight w:val="none"/>
              </w:rPr>
            </w:pPr>
            <w:r>
              <w:rPr>
                <w:rFonts w:hint="default" w:ascii="Times New Roman" w:hAnsi="Times New Roman" w:eastAsia="宋体" w:cs="Times New Roman"/>
                <w:b/>
                <w:bCs w:val="0"/>
                <w:color w:val="000000"/>
                <w:sz w:val="24"/>
                <w:szCs w:val="24"/>
                <w:highlight w:val="none"/>
              </w:rPr>
              <w:t>Model</w:t>
            </w:r>
          </w:p>
        </w:tc>
        <w:tc>
          <w:tcPr>
            <w:tcW w:w="2506" w:type="dxa"/>
            <w:tcBorders>
              <w:top w:val="single" w:color="000000" w:sz="12" w:space="0"/>
              <w:left w:val="nil"/>
              <w:bottom w:val="single" w:color="000000" w:sz="4" w:space="0"/>
              <w:right w:val="nil"/>
            </w:tcBorders>
            <w:shd w:val="clear" w:color="auto" w:fill="FFFFFF"/>
            <w:vAlign w:val="center"/>
          </w:tcPr>
          <w:p w14:paraId="39448359">
            <w:pPr>
              <w:tabs>
                <w:tab w:val="left" w:pos="1486"/>
              </w:tabs>
              <w:snapToGrid w:val="0"/>
              <w:spacing w:line="240" w:lineRule="auto"/>
              <w:ind w:left="0" w:leftChars="0" w:right="0" w:rightChars="0" w:firstLine="0" w:firstLineChars="0"/>
              <w:jc w:val="center"/>
              <w:rPr>
                <w:rFonts w:hint="default" w:ascii="Times New Roman" w:hAnsi="Times New Roman" w:eastAsia="宋体" w:cs="Times New Roman"/>
                <w:b/>
                <w:bCs w:val="0"/>
                <w:color w:val="000000"/>
                <w:sz w:val="24"/>
                <w:szCs w:val="24"/>
                <w:highlight w:val="none"/>
              </w:rPr>
            </w:pPr>
            <w:r>
              <w:rPr>
                <w:rFonts w:hint="default" w:ascii="Times New Roman" w:hAnsi="Times New Roman" w:eastAsia="宋体" w:cs="Times New Roman"/>
                <w:b/>
                <w:bCs w:val="0"/>
                <w:color w:val="000000"/>
                <w:sz w:val="24"/>
                <w:szCs w:val="24"/>
                <w:highlight w:val="none"/>
              </w:rPr>
              <w:t>Number of predictors</w:t>
            </w:r>
          </w:p>
        </w:tc>
        <w:tc>
          <w:tcPr>
            <w:tcW w:w="2203" w:type="dxa"/>
            <w:tcBorders>
              <w:top w:val="single" w:color="000000" w:sz="12" w:space="0"/>
              <w:left w:val="nil"/>
              <w:bottom w:val="single" w:color="000000" w:sz="4" w:space="0"/>
              <w:right w:val="nil"/>
            </w:tcBorders>
            <w:shd w:val="clear" w:color="auto" w:fill="FFFFFF"/>
            <w:vAlign w:val="center"/>
          </w:tcPr>
          <w:p w14:paraId="48E7494E">
            <w:pPr>
              <w:snapToGrid w:val="0"/>
              <w:spacing w:line="240" w:lineRule="auto"/>
              <w:ind w:left="0" w:leftChars="0" w:right="0" w:rightChars="0" w:firstLine="0" w:firstLineChars="0"/>
              <w:jc w:val="center"/>
              <w:rPr>
                <w:rFonts w:hint="default" w:ascii="Times New Roman" w:hAnsi="Times New Roman" w:eastAsia="宋体" w:cs="Times New Roman"/>
                <w:b/>
                <w:bCs w:val="0"/>
                <w:color w:val="000000"/>
                <w:sz w:val="24"/>
                <w:szCs w:val="24"/>
                <w:highlight w:val="none"/>
              </w:rPr>
            </w:pPr>
            <w:r>
              <w:rPr>
                <w:rFonts w:hint="default" w:ascii="Times New Roman" w:hAnsi="Times New Roman" w:eastAsia="宋体" w:cs="Times New Roman"/>
                <w:b/>
                <w:bCs w:val="0"/>
                <w:color w:val="000000"/>
                <w:sz w:val="24"/>
                <w:szCs w:val="24"/>
                <w:highlight w:val="none"/>
              </w:rPr>
              <w:t>OR (95% CI)</w:t>
            </w:r>
          </w:p>
        </w:tc>
        <w:tc>
          <w:tcPr>
            <w:tcW w:w="1004" w:type="dxa"/>
            <w:tcBorders>
              <w:top w:val="single" w:color="000000" w:sz="12" w:space="0"/>
              <w:left w:val="nil"/>
              <w:bottom w:val="single" w:color="000000" w:sz="4" w:space="0"/>
              <w:right w:val="nil"/>
            </w:tcBorders>
            <w:shd w:val="clear" w:color="auto" w:fill="FFFFFF"/>
            <w:vAlign w:val="center"/>
          </w:tcPr>
          <w:p w14:paraId="5E5E05AD">
            <w:pPr>
              <w:snapToGrid w:val="0"/>
              <w:spacing w:line="240" w:lineRule="auto"/>
              <w:ind w:left="0" w:leftChars="0" w:right="0" w:rightChars="0" w:firstLine="0" w:firstLineChars="0"/>
              <w:jc w:val="center"/>
              <w:rPr>
                <w:rFonts w:hint="default" w:ascii="Times New Roman" w:hAnsi="Times New Roman" w:eastAsia="宋体" w:cs="Times New Roman"/>
                <w:b/>
                <w:bCs w:val="0"/>
                <w:color w:val="000000"/>
                <w:sz w:val="24"/>
                <w:szCs w:val="24"/>
                <w:highlight w:val="none"/>
              </w:rPr>
            </w:pPr>
            <w:r>
              <w:rPr>
                <w:rFonts w:hint="default" w:ascii="Times New Roman" w:hAnsi="Times New Roman" w:eastAsia="宋体" w:cs="Times New Roman"/>
                <w:b/>
                <w:bCs w:val="0"/>
                <w:i/>
                <w:iCs/>
                <w:color w:val="000000"/>
                <w:sz w:val="24"/>
                <w:szCs w:val="24"/>
                <w:highlight w:val="none"/>
              </w:rPr>
              <w:t>P</w:t>
            </w:r>
            <w:r>
              <w:rPr>
                <w:rFonts w:hint="default" w:ascii="Times New Roman" w:hAnsi="Times New Roman" w:eastAsia="宋体" w:cs="Times New Roman"/>
                <w:b/>
                <w:bCs w:val="0"/>
                <w:color w:val="000000"/>
                <w:sz w:val="24"/>
                <w:szCs w:val="24"/>
                <w:highlight w:val="none"/>
              </w:rPr>
              <w:t xml:space="preserve"> </w:t>
            </w:r>
            <w:r>
              <w:rPr>
                <w:rFonts w:hint="default" w:ascii="Times New Roman" w:hAnsi="Times New Roman" w:eastAsia="宋体" w:cs="Times New Roman"/>
                <w:b/>
                <w:bCs w:val="0"/>
                <w:color w:val="000000"/>
                <w:sz w:val="24"/>
                <w:szCs w:val="24"/>
                <w:highlight w:val="none"/>
                <w:lang w:val="en-US" w:eastAsia="zh-CN"/>
              </w:rPr>
              <w:t>v</w:t>
            </w:r>
            <w:r>
              <w:rPr>
                <w:rFonts w:hint="default" w:ascii="Times New Roman" w:hAnsi="Times New Roman" w:eastAsia="宋体" w:cs="Times New Roman"/>
                <w:b/>
                <w:bCs w:val="0"/>
                <w:color w:val="000000"/>
                <w:sz w:val="24"/>
                <w:szCs w:val="24"/>
                <w:highlight w:val="none"/>
              </w:rPr>
              <w:t>alue</w:t>
            </w:r>
          </w:p>
        </w:tc>
        <w:tc>
          <w:tcPr>
            <w:tcW w:w="1505" w:type="dxa"/>
            <w:tcBorders>
              <w:top w:val="single" w:color="000000" w:sz="12" w:space="0"/>
              <w:left w:val="nil"/>
              <w:bottom w:val="single" w:color="000000" w:sz="4" w:space="0"/>
              <w:right w:val="nil"/>
            </w:tcBorders>
            <w:shd w:val="clear" w:color="auto" w:fill="FFFFFF"/>
            <w:vAlign w:val="center"/>
          </w:tcPr>
          <w:p w14:paraId="0A3DD908">
            <w:pPr>
              <w:tabs>
                <w:tab w:val="left" w:pos="370"/>
              </w:tabs>
              <w:snapToGrid w:val="0"/>
              <w:spacing w:line="240" w:lineRule="auto"/>
              <w:ind w:left="0" w:leftChars="0" w:right="0" w:rightChars="0" w:firstLine="0" w:firstLineChars="0"/>
              <w:jc w:val="center"/>
              <w:rPr>
                <w:rFonts w:hint="default" w:ascii="Times New Roman" w:hAnsi="Times New Roman" w:eastAsia="宋体" w:cs="Times New Roman"/>
                <w:b/>
                <w:bCs w:val="0"/>
                <w:color w:val="000000"/>
                <w:sz w:val="24"/>
                <w:szCs w:val="24"/>
                <w:highlight w:val="none"/>
                <w:lang w:eastAsia="zh-CN"/>
              </w:rPr>
            </w:pPr>
            <w:r>
              <w:rPr>
                <w:rFonts w:hint="default" w:ascii="Times New Roman" w:hAnsi="Times New Roman" w:eastAsia="宋体" w:cs="Times New Roman"/>
                <w:b/>
                <w:bCs w:val="0"/>
                <w:color w:val="000000"/>
                <w:sz w:val="24"/>
                <w:szCs w:val="24"/>
                <w:highlight w:val="none"/>
                <w:lang w:eastAsia="zh-CN"/>
              </w:rPr>
              <w:t>Sample</w:t>
            </w:r>
            <w:r>
              <w:rPr>
                <w:rFonts w:hint="default" w:ascii="Times New Roman" w:hAnsi="Times New Roman" w:eastAsia="宋体" w:cs="Times New Roman"/>
                <w:b/>
                <w:bCs w:val="0"/>
                <w:color w:val="000000"/>
                <w:sz w:val="24"/>
                <w:szCs w:val="24"/>
                <w:highlight w:val="none"/>
                <w:lang w:val="en-US" w:eastAsia="zh-CN"/>
              </w:rPr>
              <w:t xml:space="preserve"> </w:t>
            </w:r>
            <w:r>
              <w:rPr>
                <w:rFonts w:hint="default" w:ascii="Times New Roman" w:hAnsi="Times New Roman" w:eastAsia="宋体" w:cs="Times New Roman"/>
                <w:b/>
                <w:bCs w:val="0"/>
                <w:color w:val="000000"/>
                <w:sz w:val="24"/>
                <w:szCs w:val="24"/>
                <w:highlight w:val="none"/>
                <w:lang w:eastAsia="zh-CN"/>
              </w:rPr>
              <w:t>Size</w:t>
            </w:r>
          </w:p>
        </w:tc>
      </w:tr>
      <w:tr w14:paraId="05AB523A">
        <w:tblPrEx>
          <w:tblCellMar>
            <w:top w:w="0" w:type="dxa"/>
            <w:left w:w="108" w:type="dxa"/>
            <w:bottom w:w="0" w:type="dxa"/>
            <w:right w:w="108" w:type="dxa"/>
          </w:tblCellMar>
        </w:tblPrEx>
        <w:trPr>
          <w:trHeight w:val="0" w:hRule="atLeast"/>
        </w:trPr>
        <w:tc>
          <w:tcPr>
            <w:tcW w:w="1301" w:type="dxa"/>
            <w:tcBorders>
              <w:top w:val="single" w:color="000000" w:sz="4" w:space="0"/>
              <w:left w:val="nil"/>
              <w:bottom w:val="nil"/>
              <w:right w:val="nil"/>
            </w:tcBorders>
            <w:shd w:val="clear" w:color="auto" w:fill="FFFFFF"/>
            <w:vAlign w:val="center"/>
          </w:tcPr>
          <w:p w14:paraId="14FCFD9A">
            <w:pPr>
              <w:snapToGrid w:val="0"/>
              <w:spacing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宋体" w:cs="Times New Roman"/>
                <w:b w:val="0"/>
                <w:color w:val="000000"/>
                <w:sz w:val="24"/>
                <w:szCs w:val="24"/>
                <w:highlight w:val="none"/>
              </w:rPr>
              <w:t>Model 1</w:t>
            </w:r>
            <w:r>
              <w:rPr>
                <w:rFonts w:hint="default" w:ascii="Times New Roman" w:hAnsi="Times New Roman" w:eastAsia="宋体" w:cs="Times New Roman"/>
                <w:b w:val="0"/>
                <w:color w:val="000000"/>
                <w:sz w:val="24"/>
                <w:szCs w:val="24"/>
                <w:highlight w:val="none"/>
                <w:lang w:val="en-US" w:eastAsia="zh-CN"/>
              </w:rPr>
              <w:t>e</w:t>
            </w:r>
          </w:p>
        </w:tc>
        <w:tc>
          <w:tcPr>
            <w:tcW w:w="2506" w:type="dxa"/>
            <w:tcBorders>
              <w:top w:val="single" w:color="000000" w:sz="4" w:space="0"/>
              <w:left w:val="nil"/>
              <w:bottom w:val="nil"/>
              <w:right w:val="nil"/>
            </w:tcBorders>
            <w:shd w:val="clear" w:color="auto" w:fill="FFFFFF"/>
            <w:vAlign w:val="center"/>
          </w:tcPr>
          <w:p w14:paraId="4252EEAF">
            <w:pPr>
              <w:snapToGrid w:val="0"/>
              <w:spacing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rPr>
            </w:pPr>
            <w:r>
              <w:rPr>
                <w:rFonts w:hint="default" w:ascii="Times New Roman" w:hAnsi="Times New Roman" w:eastAsia="宋体" w:cs="Times New Roman"/>
                <w:b w:val="0"/>
                <w:color w:val="000000"/>
                <w:sz w:val="24"/>
                <w:szCs w:val="24"/>
                <w:highlight w:val="none"/>
              </w:rPr>
              <w:t>3</w:t>
            </w:r>
          </w:p>
        </w:tc>
        <w:tc>
          <w:tcPr>
            <w:tcW w:w="2203" w:type="dxa"/>
            <w:tcBorders>
              <w:top w:val="single" w:color="000000" w:sz="4" w:space="0"/>
              <w:left w:val="nil"/>
              <w:bottom w:val="nil"/>
              <w:right w:val="nil"/>
            </w:tcBorders>
            <w:shd w:val="clear" w:color="auto" w:fill="FFFFFF"/>
            <w:vAlign w:val="center"/>
          </w:tcPr>
          <w:p w14:paraId="25F65D3D">
            <w:pPr>
              <w:snapToGrid w:val="0"/>
              <w:spacing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rPr>
            </w:pPr>
            <w:r>
              <w:rPr>
                <w:rFonts w:hint="default" w:ascii="Times New Roman" w:hAnsi="Times New Roman" w:eastAsia="宋体" w:cs="Times New Roman"/>
                <w:b w:val="0"/>
                <w:color w:val="000000"/>
                <w:sz w:val="24"/>
                <w:szCs w:val="24"/>
                <w:highlight w:val="none"/>
              </w:rPr>
              <w:t>0.6</w:t>
            </w:r>
            <w:r>
              <w:rPr>
                <w:rFonts w:hint="default" w:ascii="Times New Roman" w:hAnsi="Times New Roman" w:eastAsia="宋体" w:cs="Times New Roman"/>
                <w:b w:val="0"/>
                <w:color w:val="000000"/>
                <w:sz w:val="24"/>
                <w:szCs w:val="24"/>
                <w:highlight w:val="none"/>
                <w:lang w:val="en-US" w:eastAsia="zh-CN"/>
              </w:rPr>
              <w:t>37</w:t>
            </w:r>
            <w:r>
              <w:rPr>
                <w:rFonts w:hint="default" w:ascii="Times New Roman" w:hAnsi="Times New Roman" w:eastAsia="宋体" w:cs="Times New Roman"/>
                <w:b w:val="0"/>
                <w:color w:val="000000"/>
                <w:sz w:val="24"/>
                <w:szCs w:val="24"/>
                <w:highlight w:val="none"/>
              </w:rPr>
              <w:t xml:space="preserve"> (0.455-0.890)</w:t>
            </w:r>
          </w:p>
        </w:tc>
        <w:tc>
          <w:tcPr>
            <w:tcW w:w="1004" w:type="dxa"/>
            <w:tcBorders>
              <w:top w:val="single" w:color="000000" w:sz="4" w:space="0"/>
              <w:left w:val="nil"/>
              <w:bottom w:val="nil"/>
              <w:right w:val="nil"/>
            </w:tcBorders>
            <w:shd w:val="clear" w:color="auto" w:fill="FFFFFF"/>
            <w:vAlign w:val="center"/>
          </w:tcPr>
          <w:p w14:paraId="19D10B93">
            <w:pPr>
              <w:snapToGrid w:val="0"/>
              <w:spacing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rPr>
            </w:pPr>
            <w:r>
              <w:rPr>
                <w:rFonts w:hint="default" w:ascii="Times New Roman" w:hAnsi="Times New Roman" w:eastAsia="宋体" w:cs="Times New Roman"/>
                <w:b w:val="0"/>
                <w:color w:val="000000"/>
                <w:sz w:val="24"/>
                <w:szCs w:val="24"/>
                <w:highlight w:val="none"/>
              </w:rPr>
              <w:t>0.008</w:t>
            </w:r>
          </w:p>
        </w:tc>
        <w:tc>
          <w:tcPr>
            <w:tcW w:w="1505" w:type="dxa"/>
            <w:tcBorders>
              <w:top w:val="single" w:color="000000" w:sz="4" w:space="0"/>
              <w:left w:val="nil"/>
              <w:bottom w:val="nil"/>
              <w:right w:val="nil"/>
            </w:tcBorders>
            <w:shd w:val="clear" w:color="auto" w:fill="FFFFFF"/>
            <w:vAlign w:val="center"/>
          </w:tcPr>
          <w:p w14:paraId="4BB1520A">
            <w:pPr>
              <w:snapToGrid w:val="0"/>
              <w:spacing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宋体" w:cs="Times New Roman"/>
                <w:b w:val="0"/>
                <w:color w:val="000000"/>
                <w:sz w:val="24"/>
                <w:szCs w:val="24"/>
                <w:highlight w:val="none"/>
                <w:lang w:val="en-US" w:eastAsia="zh-CN"/>
              </w:rPr>
              <w:t>336</w:t>
            </w:r>
          </w:p>
        </w:tc>
      </w:tr>
      <w:tr w14:paraId="3A881FD2">
        <w:tblPrEx>
          <w:tblCellMar>
            <w:top w:w="0" w:type="dxa"/>
            <w:left w:w="108" w:type="dxa"/>
            <w:bottom w:w="0" w:type="dxa"/>
            <w:right w:w="108" w:type="dxa"/>
          </w:tblCellMar>
        </w:tblPrEx>
        <w:trPr>
          <w:trHeight w:val="0" w:hRule="atLeast"/>
        </w:trPr>
        <w:tc>
          <w:tcPr>
            <w:tcW w:w="1301" w:type="dxa"/>
            <w:tcBorders>
              <w:top w:val="nil"/>
              <w:left w:val="nil"/>
              <w:bottom w:val="nil"/>
              <w:right w:val="nil"/>
            </w:tcBorders>
            <w:shd w:val="clear" w:color="auto" w:fill="FFFFFF"/>
            <w:vAlign w:val="center"/>
          </w:tcPr>
          <w:p w14:paraId="41A04357">
            <w:pPr>
              <w:snapToGrid w:val="0"/>
              <w:spacing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宋体" w:cs="Times New Roman"/>
                <w:b w:val="0"/>
                <w:color w:val="000000"/>
                <w:sz w:val="24"/>
                <w:szCs w:val="24"/>
                <w:highlight w:val="none"/>
              </w:rPr>
              <w:t>Model 2</w:t>
            </w:r>
            <w:r>
              <w:rPr>
                <w:rFonts w:hint="default" w:ascii="Times New Roman" w:hAnsi="Times New Roman" w:eastAsia="宋体" w:cs="Times New Roman"/>
                <w:b w:val="0"/>
                <w:color w:val="000000"/>
                <w:sz w:val="24"/>
                <w:szCs w:val="24"/>
                <w:highlight w:val="none"/>
                <w:lang w:val="en-US" w:eastAsia="zh-CN"/>
              </w:rPr>
              <w:t>e</w:t>
            </w:r>
          </w:p>
        </w:tc>
        <w:tc>
          <w:tcPr>
            <w:tcW w:w="2506" w:type="dxa"/>
            <w:tcBorders>
              <w:top w:val="nil"/>
              <w:left w:val="nil"/>
              <w:bottom w:val="nil"/>
              <w:right w:val="nil"/>
            </w:tcBorders>
            <w:shd w:val="clear" w:color="auto" w:fill="FFFFFF"/>
            <w:vAlign w:val="center"/>
          </w:tcPr>
          <w:p w14:paraId="7F4F6925">
            <w:pPr>
              <w:snapToGrid w:val="0"/>
              <w:spacing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宋体" w:cs="Times New Roman"/>
                <w:b w:val="0"/>
                <w:color w:val="000000"/>
                <w:sz w:val="24"/>
                <w:szCs w:val="24"/>
                <w:highlight w:val="none"/>
              </w:rPr>
              <w:t>1</w:t>
            </w:r>
            <w:r>
              <w:rPr>
                <w:rFonts w:hint="default" w:ascii="Times New Roman" w:hAnsi="Times New Roman" w:eastAsia="宋体" w:cs="Times New Roman"/>
                <w:b w:val="0"/>
                <w:color w:val="000000"/>
                <w:sz w:val="24"/>
                <w:szCs w:val="24"/>
                <w:highlight w:val="none"/>
                <w:lang w:val="en-US" w:eastAsia="zh-CN"/>
              </w:rPr>
              <w:t>0</w:t>
            </w:r>
          </w:p>
        </w:tc>
        <w:tc>
          <w:tcPr>
            <w:tcW w:w="2203" w:type="dxa"/>
            <w:tcBorders>
              <w:top w:val="nil"/>
              <w:left w:val="nil"/>
              <w:bottom w:val="nil"/>
              <w:right w:val="nil"/>
            </w:tcBorders>
            <w:shd w:val="clear" w:color="auto" w:fill="FFFFFF"/>
            <w:vAlign w:val="center"/>
          </w:tcPr>
          <w:p w14:paraId="6AE28D8E">
            <w:pPr>
              <w:snapToGrid w:val="0"/>
              <w:spacing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rPr>
            </w:pPr>
            <w:r>
              <w:rPr>
                <w:rFonts w:hint="default" w:ascii="Times New Roman" w:hAnsi="Times New Roman" w:eastAsia="宋体" w:cs="Times New Roman"/>
                <w:b w:val="0"/>
                <w:color w:val="000000"/>
                <w:sz w:val="24"/>
                <w:szCs w:val="24"/>
                <w:highlight w:val="none"/>
              </w:rPr>
              <w:t>0.6</w:t>
            </w:r>
            <w:r>
              <w:rPr>
                <w:rFonts w:hint="default" w:ascii="Times New Roman" w:hAnsi="Times New Roman" w:eastAsia="宋体" w:cs="Times New Roman"/>
                <w:b w:val="0"/>
                <w:color w:val="000000"/>
                <w:sz w:val="24"/>
                <w:szCs w:val="24"/>
                <w:highlight w:val="none"/>
                <w:lang w:val="en-US" w:eastAsia="zh-CN"/>
              </w:rPr>
              <w:t>58</w:t>
            </w:r>
            <w:r>
              <w:rPr>
                <w:rFonts w:hint="default" w:ascii="Times New Roman" w:hAnsi="Times New Roman" w:eastAsia="宋体" w:cs="Times New Roman"/>
                <w:b w:val="0"/>
                <w:color w:val="000000"/>
                <w:sz w:val="24"/>
                <w:szCs w:val="24"/>
                <w:highlight w:val="none"/>
              </w:rPr>
              <w:t xml:space="preserve"> (0.463-0.934)</w:t>
            </w:r>
          </w:p>
        </w:tc>
        <w:tc>
          <w:tcPr>
            <w:tcW w:w="1004" w:type="dxa"/>
            <w:tcBorders>
              <w:top w:val="nil"/>
              <w:left w:val="nil"/>
              <w:bottom w:val="nil"/>
              <w:right w:val="nil"/>
            </w:tcBorders>
            <w:shd w:val="clear" w:color="auto" w:fill="FFFFFF"/>
            <w:vAlign w:val="center"/>
          </w:tcPr>
          <w:p w14:paraId="7365A659">
            <w:pPr>
              <w:snapToGrid w:val="0"/>
              <w:spacing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宋体" w:cs="Times New Roman"/>
                <w:b w:val="0"/>
                <w:color w:val="000000"/>
                <w:sz w:val="24"/>
                <w:szCs w:val="24"/>
                <w:highlight w:val="none"/>
              </w:rPr>
              <w:t>0.0</w:t>
            </w:r>
            <w:r>
              <w:rPr>
                <w:rFonts w:hint="default" w:ascii="Times New Roman" w:hAnsi="Times New Roman" w:eastAsia="宋体" w:cs="Times New Roman"/>
                <w:b w:val="0"/>
                <w:color w:val="000000"/>
                <w:sz w:val="24"/>
                <w:szCs w:val="24"/>
                <w:highlight w:val="none"/>
                <w:lang w:val="en-US" w:eastAsia="zh-CN"/>
              </w:rPr>
              <w:t>19</w:t>
            </w:r>
          </w:p>
        </w:tc>
        <w:tc>
          <w:tcPr>
            <w:tcW w:w="1505" w:type="dxa"/>
            <w:tcBorders>
              <w:top w:val="nil"/>
              <w:left w:val="nil"/>
              <w:bottom w:val="nil"/>
              <w:right w:val="nil"/>
            </w:tcBorders>
            <w:shd w:val="clear" w:color="auto" w:fill="FFFFFF"/>
            <w:vAlign w:val="center"/>
          </w:tcPr>
          <w:p w14:paraId="1E34D775">
            <w:pPr>
              <w:snapToGrid w:val="0"/>
              <w:spacing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宋体" w:cs="Times New Roman"/>
                <w:b w:val="0"/>
                <w:color w:val="000000"/>
                <w:sz w:val="24"/>
                <w:szCs w:val="24"/>
                <w:highlight w:val="none"/>
                <w:lang w:val="en-US" w:eastAsia="zh-CN"/>
              </w:rPr>
              <w:t>336</w:t>
            </w:r>
          </w:p>
        </w:tc>
      </w:tr>
      <w:tr w14:paraId="35823992">
        <w:tblPrEx>
          <w:tblCellMar>
            <w:top w:w="0" w:type="dxa"/>
            <w:left w:w="108" w:type="dxa"/>
            <w:bottom w:w="0" w:type="dxa"/>
            <w:right w:w="108" w:type="dxa"/>
          </w:tblCellMar>
        </w:tblPrEx>
        <w:trPr>
          <w:trHeight w:val="0" w:hRule="atLeast"/>
        </w:trPr>
        <w:tc>
          <w:tcPr>
            <w:tcW w:w="1301" w:type="dxa"/>
            <w:tcBorders>
              <w:top w:val="nil"/>
              <w:left w:val="nil"/>
              <w:bottom w:val="nil"/>
              <w:right w:val="nil"/>
            </w:tcBorders>
            <w:shd w:val="clear" w:color="auto" w:fill="FFFFFF"/>
            <w:vAlign w:val="center"/>
          </w:tcPr>
          <w:p w14:paraId="74784087">
            <w:pPr>
              <w:snapToGrid w:val="0"/>
              <w:spacing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宋体" w:cs="Times New Roman"/>
                <w:b w:val="0"/>
                <w:color w:val="000000"/>
                <w:sz w:val="24"/>
                <w:szCs w:val="24"/>
                <w:highlight w:val="none"/>
              </w:rPr>
              <w:t>Model 3</w:t>
            </w:r>
            <w:r>
              <w:rPr>
                <w:rFonts w:hint="default" w:ascii="Times New Roman" w:hAnsi="Times New Roman" w:eastAsia="宋体" w:cs="Times New Roman"/>
                <w:b w:val="0"/>
                <w:color w:val="000000"/>
                <w:sz w:val="24"/>
                <w:szCs w:val="24"/>
                <w:highlight w:val="none"/>
                <w:lang w:val="en-US" w:eastAsia="zh-CN"/>
              </w:rPr>
              <w:t>e</w:t>
            </w:r>
          </w:p>
        </w:tc>
        <w:tc>
          <w:tcPr>
            <w:tcW w:w="2506" w:type="dxa"/>
            <w:tcBorders>
              <w:top w:val="nil"/>
              <w:left w:val="nil"/>
              <w:bottom w:val="nil"/>
              <w:right w:val="nil"/>
            </w:tcBorders>
            <w:shd w:val="clear" w:color="auto" w:fill="FFFFFF"/>
            <w:vAlign w:val="center"/>
          </w:tcPr>
          <w:p w14:paraId="129563B3">
            <w:pPr>
              <w:snapToGrid w:val="0"/>
              <w:spacing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宋体" w:cs="Times New Roman"/>
                <w:b w:val="0"/>
                <w:color w:val="000000"/>
                <w:sz w:val="24"/>
                <w:szCs w:val="24"/>
                <w:highlight w:val="none"/>
              </w:rPr>
              <w:t>1</w:t>
            </w:r>
            <w:r>
              <w:rPr>
                <w:rFonts w:hint="default" w:ascii="Times New Roman" w:hAnsi="Times New Roman" w:eastAsia="宋体" w:cs="Times New Roman"/>
                <w:b w:val="0"/>
                <w:color w:val="000000"/>
                <w:sz w:val="24"/>
                <w:szCs w:val="24"/>
                <w:highlight w:val="none"/>
                <w:lang w:val="en-US" w:eastAsia="zh-CN"/>
              </w:rPr>
              <w:t>4</w:t>
            </w:r>
          </w:p>
        </w:tc>
        <w:tc>
          <w:tcPr>
            <w:tcW w:w="2203" w:type="dxa"/>
            <w:tcBorders>
              <w:top w:val="nil"/>
              <w:left w:val="nil"/>
              <w:bottom w:val="nil"/>
              <w:right w:val="nil"/>
            </w:tcBorders>
            <w:shd w:val="clear" w:color="auto" w:fill="FFFFFF"/>
            <w:vAlign w:val="center"/>
          </w:tcPr>
          <w:p w14:paraId="305E6156">
            <w:pPr>
              <w:snapToGrid w:val="0"/>
              <w:spacing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rPr>
            </w:pPr>
            <w:r>
              <w:rPr>
                <w:rFonts w:hint="default" w:ascii="Times New Roman" w:hAnsi="Times New Roman" w:eastAsia="宋体" w:cs="Times New Roman"/>
                <w:b w:val="0"/>
                <w:color w:val="000000"/>
                <w:sz w:val="24"/>
                <w:szCs w:val="24"/>
                <w:highlight w:val="none"/>
              </w:rPr>
              <w:t>0.6</w:t>
            </w:r>
            <w:r>
              <w:rPr>
                <w:rFonts w:hint="default" w:ascii="Times New Roman" w:hAnsi="Times New Roman" w:eastAsia="宋体" w:cs="Times New Roman"/>
                <w:b w:val="0"/>
                <w:color w:val="000000"/>
                <w:sz w:val="24"/>
                <w:szCs w:val="24"/>
                <w:highlight w:val="none"/>
                <w:lang w:val="en-US" w:eastAsia="zh-CN"/>
              </w:rPr>
              <w:t>39</w:t>
            </w:r>
            <w:r>
              <w:rPr>
                <w:rFonts w:hint="default" w:ascii="Times New Roman" w:hAnsi="Times New Roman" w:eastAsia="宋体" w:cs="Times New Roman"/>
                <w:b w:val="0"/>
                <w:color w:val="000000"/>
                <w:sz w:val="24"/>
                <w:szCs w:val="24"/>
                <w:highlight w:val="none"/>
              </w:rPr>
              <w:t xml:space="preserve"> (0.4</w:t>
            </w:r>
            <w:r>
              <w:rPr>
                <w:rFonts w:hint="default" w:ascii="Times New Roman" w:hAnsi="Times New Roman" w:eastAsia="宋体" w:cs="Times New Roman"/>
                <w:b w:val="0"/>
                <w:color w:val="000000"/>
                <w:sz w:val="24"/>
                <w:szCs w:val="24"/>
                <w:highlight w:val="none"/>
                <w:lang w:val="en-US" w:eastAsia="zh-CN"/>
              </w:rPr>
              <w:t>42-0.925</w:t>
            </w:r>
            <w:r>
              <w:rPr>
                <w:rFonts w:hint="default" w:ascii="Times New Roman" w:hAnsi="Times New Roman" w:eastAsia="宋体" w:cs="Times New Roman"/>
                <w:b w:val="0"/>
                <w:color w:val="000000"/>
                <w:sz w:val="24"/>
                <w:szCs w:val="24"/>
                <w:highlight w:val="none"/>
              </w:rPr>
              <w:t>)</w:t>
            </w:r>
          </w:p>
        </w:tc>
        <w:tc>
          <w:tcPr>
            <w:tcW w:w="1004" w:type="dxa"/>
            <w:tcBorders>
              <w:top w:val="nil"/>
              <w:left w:val="nil"/>
              <w:bottom w:val="nil"/>
              <w:right w:val="nil"/>
            </w:tcBorders>
            <w:shd w:val="clear" w:color="auto" w:fill="FFFFFF"/>
            <w:vAlign w:val="center"/>
          </w:tcPr>
          <w:p w14:paraId="5CC20213">
            <w:pPr>
              <w:snapToGrid w:val="0"/>
              <w:spacing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rPr>
            </w:pPr>
            <w:r>
              <w:rPr>
                <w:rFonts w:hint="default" w:ascii="Times New Roman" w:hAnsi="Times New Roman" w:eastAsia="宋体" w:cs="Times New Roman"/>
                <w:b w:val="0"/>
                <w:color w:val="000000"/>
                <w:sz w:val="24"/>
                <w:szCs w:val="24"/>
                <w:highlight w:val="none"/>
              </w:rPr>
              <w:t>0.0</w:t>
            </w:r>
            <w:r>
              <w:rPr>
                <w:rFonts w:hint="default" w:ascii="Times New Roman" w:hAnsi="Times New Roman" w:eastAsia="宋体" w:cs="Times New Roman"/>
                <w:b w:val="0"/>
                <w:color w:val="000000"/>
                <w:sz w:val="24"/>
                <w:szCs w:val="24"/>
                <w:highlight w:val="none"/>
                <w:lang w:val="en-US" w:eastAsia="zh-CN"/>
              </w:rPr>
              <w:t>1</w:t>
            </w:r>
            <w:r>
              <w:rPr>
                <w:rFonts w:hint="default" w:ascii="Times New Roman" w:hAnsi="Times New Roman" w:eastAsia="宋体" w:cs="Times New Roman"/>
                <w:b w:val="0"/>
                <w:color w:val="000000"/>
                <w:sz w:val="24"/>
                <w:szCs w:val="24"/>
                <w:highlight w:val="none"/>
              </w:rPr>
              <w:t>8</w:t>
            </w:r>
          </w:p>
        </w:tc>
        <w:tc>
          <w:tcPr>
            <w:tcW w:w="1505" w:type="dxa"/>
            <w:tcBorders>
              <w:top w:val="nil"/>
              <w:left w:val="nil"/>
              <w:bottom w:val="nil"/>
              <w:right w:val="nil"/>
            </w:tcBorders>
            <w:shd w:val="clear" w:color="auto" w:fill="FFFFFF"/>
            <w:vAlign w:val="center"/>
          </w:tcPr>
          <w:p w14:paraId="20957BF6">
            <w:pPr>
              <w:snapToGrid w:val="0"/>
              <w:spacing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宋体" w:cs="Times New Roman"/>
                <w:b w:val="0"/>
                <w:color w:val="000000"/>
                <w:sz w:val="24"/>
                <w:szCs w:val="24"/>
                <w:highlight w:val="none"/>
                <w:lang w:val="en-US" w:eastAsia="zh-CN"/>
              </w:rPr>
              <w:t>336</w:t>
            </w:r>
          </w:p>
        </w:tc>
      </w:tr>
      <w:tr w14:paraId="353DD479">
        <w:tblPrEx>
          <w:tblCellMar>
            <w:top w:w="0" w:type="dxa"/>
            <w:left w:w="108" w:type="dxa"/>
            <w:bottom w:w="0" w:type="dxa"/>
            <w:right w:w="108" w:type="dxa"/>
          </w:tblCellMar>
        </w:tblPrEx>
        <w:trPr>
          <w:trHeight w:val="0" w:hRule="atLeast"/>
        </w:trPr>
        <w:tc>
          <w:tcPr>
            <w:tcW w:w="1301" w:type="dxa"/>
            <w:tcBorders>
              <w:top w:val="nil"/>
              <w:left w:val="nil"/>
              <w:bottom w:val="single" w:color="000000" w:sz="12" w:space="0"/>
              <w:right w:val="nil"/>
            </w:tcBorders>
            <w:shd w:val="clear" w:color="auto" w:fill="FFFFFF"/>
            <w:vAlign w:val="center"/>
          </w:tcPr>
          <w:p w14:paraId="50CAC33B">
            <w:pPr>
              <w:snapToGrid w:val="0"/>
              <w:spacing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宋体" w:cs="Times New Roman"/>
                <w:b w:val="0"/>
                <w:color w:val="000000"/>
                <w:sz w:val="24"/>
                <w:szCs w:val="24"/>
                <w:highlight w:val="none"/>
              </w:rPr>
              <w:t>*Model 4</w:t>
            </w:r>
            <w:r>
              <w:rPr>
                <w:rFonts w:hint="default" w:ascii="Times New Roman" w:hAnsi="Times New Roman" w:eastAsia="宋体" w:cs="Times New Roman"/>
                <w:b w:val="0"/>
                <w:color w:val="000000"/>
                <w:sz w:val="24"/>
                <w:szCs w:val="24"/>
                <w:highlight w:val="none"/>
                <w:lang w:val="en-US" w:eastAsia="zh-CN"/>
              </w:rPr>
              <w:t>e</w:t>
            </w:r>
          </w:p>
        </w:tc>
        <w:tc>
          <w:tcPr>
            <w:tcW w:w="2506" w:type="dxa"/>
            <w:tcBorders>
              <w:top w:val="nil"/>
              <w:left w:val="nil"/>
              <w:bottom w:val="single" w:color="000000" w:sz="12" w:space="0"/>
              <w:right w:val="nil"/>
            </w:tcBorders>
            <w:shd w:val="clear" w:color="auto" w:fill="FFFFFF"/>
            <w:vAlign w:val="center"/>
          </w:tcPr>
          <w:p w14:paraId="171FD212">
            <w:pPr>
              <w:snapToGrid w:val="0"/>
              <w:spacing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lang w:val="en-US" w:eastAsia="zh-CN" w:bidi="ar"/>
              </w:rPr>
            </w:pPr>
            <w:r>
              <w:rPr>
                <w:rFonts w:hint="default" w:ascii="Times New Roman" w:hAnsi="Times New Roman" w:eastAsia="宋体" w:cs="Times New Roman"/>
                <w:b w:val="0"/>
                <w:color w:val="000000"/>
                <w:sz w:val="24"/>
                <w:szCs w:val="24"/>
                <w:highlight w:val="none"/>
              </w:rPr>
              <w:t>1</w:t>
            </w:r>
            <w:r>
              <w:rPr>
                <w:rFonts w:hint="default" w:ascii="Times New Roman" w:hAnsi="Times New Roman" w:eastAsia="宋体" w:cs="Times New Roman"/>
                <w:b w:val="0"/>
                <w:color w:val="000000"/>
                <w:sz w:val="24"/>
                <w:szCs w:val="24"/>
                <w:highlight w:val="none"/>
                <w:lang w:val="en-US" w:eastAsia="zh-CN"/>
              </w:rPr>
              <w:t>5</w:t>
            </w:r>
          </w:p>
        </w:tc>
        <w:tc>
          <w:tcPr>
            <w:tcW w:w="2203" w:type="dxa"/>
            <w:tcBorders>
              <w:top w:val="nil"/>
              <w:left w:val="nil"/>
              <w:bottom w:val="single" w:color="000000" w:sz="12" w:space="0"/>
              <w:right w:val="nil"/>
            </w:tcBorders>
            <w:shd w:val="clear" w:color="auto" w:fill="FFFFFF"/>
            <w:vAlign w:val="center"/>
          </w:tcPr>
          <w:p w14:paraId="05D27741">
            <w:pPr>
              <w:snapToGrid w:val="0"/>
              <w:spacing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rPr>
            </w:pPr>
            <w:r>
              <w:rPr>
                <w:rFonts w:hint="default" w:ascii="Times New Roman" w:hAnsi="Times New Roman" w:eastAsia="宋体" w:cs="Times New Roman"/>
                <w:b w:val="0"/>
                <w:color w:val="000000"/>
                <w:kern w:val="0"/>
                <w:sz w:val="24"/>
                <w:szCs w:val="24"/>
                <w:highlight w:val="none"/>
                <w:lang w:bidi="ar"/>
              </w:rPr>
              <w:t>0.7</w:t>
            </w:r>
            <w:r>
              <w:rPr>
                <w:rFonts w:hint="default" w:ascii="Times New Roman" w:hAnsi="Times New Roman" w:eastAsia="宋体" w:cs="Times New Roman"/>
                <w:b w:val="0"/>
                <w:color w:val="000000"/>
                <w:kern w:val="0"/>
                <w:sz w:val="24"/>
                <w:szCs w:val="24"/>
                <w:highlight w:val="none"/>
                <w:lang w:val="en-US" w:eastAsia="zh-CN" w:bidi="ar"/>
              </w:rPr>
              <w:t>19</w:t>
            </w:r>
            <w:r>
              <w:rPr>
                <w:rFonts w:hint="default" w:ascii="Times New Roman" w:hAnsi="Times New Roman" w:eastAsia="宋体" w:cs="Times New Roman"/>
                <w:b w:val="0"/>
                <w:color w:val="000000"/>
                <w:kern w:val="0"/>
                <w:sz w:val="24"/>
                <w:szCs w:val="24"/>
                <w:highlight w:val="none"/>
                <w:lang w:bidi="ar"/>
              </w:rPr>
              <w:t xml:space="preserve"> (0.490-1.057)</w:t>
            </w:r>
          </w:p>
        </w:tc>
        <w:tc>
          <w:tcPr>
            <w:tcW w:w="1004" w:type="dxa"/>
            <w:tcBorders>
              <w:top w:val="nil"/>
              <w:left w:val="nil"/>
              <w:bottom w:val="single" w:color="000000" w:sz="12" w:space="0"/>
              <w:right w:val="nil"/>
            </w:tcBorders>
            <w:shd w:val="clear" w:color="auto" w:fill="FFFFFF"/>
            <w:vAlign w:val="center"/>
          </w:tcPr>
          <w:p w14:paraId="7409414D">
            <w:pPr>
              <w:snapToGrid w:val="0"/>
              <w:spacing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宋体" w:cs="Times New Roman"/>
                <w:b w:val="0"/>
                <w:color w:val="000000"/>
                <w:sz w:val="24"/>
                <w:szCs w:val="24"/>
                <w:highlight w:val="none"/>
              </w:rPr>
              <w:t>0.0</w:t>
            </w:r>
            <w:r>
              <w:rPr>
                <w:rFonts w:hint="default" w:ascii="Times New Roman" w:hAnsi="Times New Roman" w:eastAsia="宋体" w:cs="Times New Roman"/>
                <w:b w:val="0"/>
                <w:color w:val="000000"/>
                <w:sz w:val="24"/>
                <w:szCs w:val="24"/>
                <w:highlight w:val="none"/>
                <w:lang w:val="en-US" w:eastAsia="zh-CN"/>
              </w:rPr>
              <w:t>93</w:t>
            </w:r>
          </w:p>
        </w:tc>
        <w:tc>
          <w:tcPr>
            <w:tcW w:w="1505" w:type="dxa"/>
            <w:tcBorders>
              <w:top w:val="nil"/>
              <w:left w:val="nil"/>
              <w:bottom w:val="single" w:color="000000" w:sz="12" w:space="0"/>
              <w:right w:val="nil"/>
            </w:tcBorders>
            <w:shd w:val="clear" w:color="auto" w:fill="FFFFFF"/>
            <w:vAlign w:val="center"/>
          </w:tcPr>
          <w:p w14:paraId="488DBB31">
            <w:pPr>
              <w:snapToGrid w:val="0"/>
              <w:spacing w:line="240" w:lineRule="auto"/>
              <w:ind w:left="0" w:leftChars="0" w:right="0" w:rightChars="0" w:firstLine="0" w:firstLineChars="0"/>
              <w:jc w:val="center"/>
              <w:rPr>
                <w:rFonts w:hint="default" w:ascii="Times New Roman" w:hAnsi="Times New Roman" w:eastAsia="宋体" w:cs="Times New Roman"/>
                <w:b w:val="0"/>
                <w:color w:val="000000"/>
                <w:sz w:val="24"/>
                <w:szCs w:val="24"/>
                <w:highlight w:val="none"/>
                <w:lang w:val="en-US" w:eastAsia="zh-CN"/>
              </w:rPr>
            </w:pPr>
            <w:r>
              <w:rPr>
                <w:rFonts w:hint="default" w:ascii="Times New Roman" w:hAnsi="Times New Roman" w:eastAsia="宋体" w:cs="Times New Roman"/>
                <w:b w:val="0"/>
                <w:color w:val="000000"/>
                <w:sz w:val="24"/>
                <w:szCs w:val="24"/>
                <w:highlight w:val="none"/>
                <w:lang w:val="en-US" w:eastAsia="zh-CN"/>
              </w:rPr>
              <w:t>336</w:t>
            </w:r>
          </w:p>
        </w:tc>
      </w:tr>
    </w:tbl>
    <w:p w14:paraId="7587FDE1">
      <w:pPr>
        <w:widowControl/>
        <w:spacing w:line="480" w:lineRule="auto"/>
        <w:jc w:val="left"/>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*Model 4</w:t>
      </w:r>
      <w:r>
        <w:rPr>
          <w:rFonts w:hint="default" w:ascii="Times New Roman" w:hAnsi="Times New Roman" w:eastAsia="宋体" w:cs="Times New Roman"/>
          <w:sz w:val="24"/>
          <w:szCs w:val="24"/>
          <w:highlight w:val="none"/>
          <w:lang w:val="en-US" w:eastAsia="zh-CN" w:bidi="ar"/>
        </w:rPr>
        <w:t>e</w:t>
      </w:r>
      <w:r>
        <w:rPr>
          <w:rFonts w:hint="default" w:ascii="Times New Roman" w:hAnsi="Times New Roman" w:eastAsia="宋体" w:cs="Times New Roman"/>
          <w:sz w:val="24"/>
          <w:szCs w:val="24"/>
          <w:highlight w:val="none"/>
          <w:lang w:bidi="ar"/>
        </w:rPr>
        <w:t xml:space="preserve"> additionally included LAD as a prespecified exploratory attenuation model. Because LAD may represent a downstream structural correlate of the observed association between LDL-C and the atrial substrate phenotype, Model 4</w:t>
      </w:r>
      <w:r>
        <w:rPr>
          <w:rFonts w:hint="default" w:ascii="Times New Roman" w:hAnsi="Times New Roman" w:eastAsia="宋体" w:cs="Times New Roman"/>
          <w:sz w:val="24"/>
          <w:szCs w:val="24"/>
          <w:highlight w:val="none"/>
          <w:lang w:val="en-US" w:eastAsia="zh-CN" w:bidi="ar"/>
        </w:rPr>
        <w:t>e</w:t>
      </w:r>
      <w:r>
        <w:rPr>
          <w:rFonts w:hint="default" w:ascii="Times New Roman" w:hAnsi="Times New Roman" w:eastAsia="宋体" w:cs="Times New Roman"/>
          <w:sz w:val="24"/>
          <w:szCs w:val="24"/>
          <w:highlight w:val="none"/>
          <w:lang w:bidi="ar"/>
        </w:rPr>
        <w:t xml:space="preserve"> was considered exploratory rather than part of the primary confounder-adjusted model sequence.</w:t>
      </w:r>
    </w:p>
    <w:p w14:paraId="51B904FF">
      <w:pPr>
        <w:widowControl/>
        <w:spacing w:line="480" w:lineRule="auto"/>
        <w:jc w:val="left"/>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Model 1</w:t>
      </w:r>
      <w:r>
        <w:rPr>
          <w:rFonts w:hint="default" w:ascii="Times New Roman" w:hAnsi="Times New Roman" w:eastAsia="宋体" w:cs="Times New Roman"/>
          <w:sz w:val="24"/>
          <w:szCs w:val="24"/>
          <w:highlight w:val="none"/>
          <w:lang w:val="en-US" w:eastAsia="zh-CN" w:bidi="ar"/>
        </w:rPr>
        <w:t>e</w:t>
      </w:r>
      <w:r>
        <w:rPr>
          <w:rFonts w:hint="default" w:ascii="Times New Roman" w:hAnsi="Times New Roman" w:eastAsia="宋体" w:cs="Times New Roman"/>
          <w:sz w:val="24"/>
          <w:szCs w:val="24"/>
          <w:highlight w:val="none"/>
          <w:lang w:bidi="ar"/>
        </w:rPr>
        <w:t>: Adjusted for age and sex.</w:t>
      </w:r>
      <w:r>
        <w:rPr>
          <w:rFonts w:hint="default" w:ascii="Times New Roman" w:hAnsi="Times New Roman" w:eastAsia="宋体" w:cs="Times New Roman"/>
          <w:sz w:val="24"/>
          <w:szCs w:val="24"/>
          <w:highlight w:val="none"/>
          <w:lang w:bidi="ar"/>
        </w:rPr>
        <w:br w:type="textWrapping"/>
      </w:r>
      <w:r>
        <w:rPr>
          <w:rFonts w:hint="default" w:ascii="Times New Roman" w:hAnsi="Times New Roman" w:eastAsia="宋体" w:cs="Times New Roman"/>
          <w:sz w:val="24"/>
          <w:szCs w:val="24"/>
          <w:highlight w:val="none"/>
          <w:lang w:bidi="ar"/>
        </w:rPr>
        <w:t>Model 2</w:t>
      </w:r>
      <w:r>
        <w:rPr>
          <w:rFonts w:hint="default" w:ascii="Times New Roman" w:hAnsi="Times New Roman" w:eastAsia="宋体" w:cs="Times New Roman"/>
          <w:sz w:val="24"/>
          <w:szCs w:val="24"/>
          <w:highlight w:val="none"/>
          <w:lang w:val="en-US" w:eastAsia="zh-CN" w:bidi="ar"/>
        </w:rPr>
        <w:t>e</w:t>
      </w:r>
      <w:r>
        <w:rPr>
          <w:rFonts w:hint="default" w:ascii="Times New Roman" w:hAnsi="Times New Roman" w:eastAsia="宋体" w:cs="Times New Roman"/>
          <w:sz w:val="24"/>
          <w:szCs w:val="24"/>
          <w:highlight w:val="none"/>
          <w:lang w:bidi="ar"/>
        </w:rPr>
        <w:t>: Adjusted for age, sex, BMI, T3, hypertension, heart failure, diabetes, stroke, and COPD.</w:t>
      </w:r>
      <w:r>
        <w:rPr>
          <w:rFonts w:hint="default" w:ascii="Times New Roman" w:hAnsi="Times New Roman" w:eastAsia="宋体" w:cs="Times New Roman"/>
          <w:sz w:val="24"/>
          <w:szCs w:val="24"/>
          <w:highlight w:val="none"/>
          <w:lang w:bidi="ar"/>
        </w:rPr>
        <w:br w:type="textWrapping"/>
      </w:r>
      <w:r>
        <w:rPr>
          <w:rFonts w:hint="default" w:ascii="Times New Roman" w:hAnsi="Times New Roman" w:eastAsia="宋体" w:cs="Times New Roman"/>
          <w:sz w:val="24"/>
          <w:szCs w:val="24"/>
          <w:highlight w:val="none"/>
          <w:lang w:bidi="ar"/>
        </w:rPr>
        <w:t>Model 3</w:t>
      </w:r>
      <w:r>
        <w:rPr>
          <w:rFonts w:hint="default" w:ascii="Times New Roman" w:hAnsi="Times New Roman" w:eastAsia="宋体" w:cs="Times New Roman"/>
          <w:sz w:val="24"/>
          <w:szCs w:val="24"/>
          <w:highlight w:val="none"/>
          <w:lang w:val="en-US" w:eastAsia="zh-CN" w:bidi="ar"/>
        </w:rPr>
        <w:t>e</w:t>
      </w:r>
      <w:r>
        <w:rPr>
          <w:rFonts w:hint="default" w:ascii="Times New Roman" w:hAnsi="Times New Roman" w:eastAsia="宋体" w:cs="Times New Roman"/>
          <w:sz w:val="24"/>
          <w:szCs w:val="24"/>
          <w:highlight w:val="none"/>
          <w:lang w:bidi="ar"/>
        </w:rPr>
        <w:t>: Adjusted for age, sex, BMI, T3, hypertension, heart failure, diabetes, stroke, COPD, hyperlipidemia, triglycerides, HDL-C, and statin use.</w:t>
      </w:r>
      <w:r>
        <w:rPr>
          <w:rFonts w:hint="default" w:ascii="Times New Roman" w:hAnsi="Times New Roman" w:eastAsia="宋体" w:cs="Times New Roman"/>
          <w:sz w:val="24"/>
          <w:szCs w:val="24"/>
          <w:highlight w:val="none"/>
          <w:lang w:bidi="ar"/>
        </w:rPr>
        <w:br w:type="textWrapping"/>
      </w:r>
      <w:r>
        <w:rPr>
          <w:rFonts w:hint="default" w:ascii="Times New Roman" w:hAnsi="Times New Roman" w:eastAsia="宋体" w:cs="Times New Roman"/>
          <w:sz w:val="24"/>
          <w:szCs w:val="24"/>
          <w:highlight w:val="none"/>
          <w:lang w:bidi="ar"/>
        </w:rPr>
        <w:t>Model 4</w:t>
      </w:r>
      <w:r>
        <w:rPr>
          <w:rFonts w:hint="default" w:ascii="Times New Roman" w:hAnsi="Times New Roman" w:eastAsia="宋体" w:cs="Times New Roman"/>
          <w:sz w:val="24"/>
          <w:szCs w:val="24"/>
          <w:highlight w:val="none"/>
          <w:lang w:val="en-US" w:eastAsia="zh-CN" w:bidi="ar"/>
        </w:rPr>
        <w:t>e</w:t>
      </w:r>
      <w:r>
        <w:rPr>
          <w:rFonts w:hint="default" w:ascii="Times New Roman" w:hAnsi="Times New Roman" w:eastAsia="宋体" w:cs="Times New Roman"/>
          <w:sz w:val="24"/>
          <w:szCs w:val="24"/>
          <w:highlight w:val="none"/>
          <w:lang w:bidi="ar"/>
        </w:rPr>
        <w:t xml:space="preserve">: Adjusted for age, sex, BMI, T3, hypertension, heart failure, diabetes, stroke, COPD, hyperlipidemia, triglycerides, HDL-C, statin use, and LAD. </w:t>
      </w:r>
    </w:p>
    <w:p w14:paraId="311EAE27">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b/>
          <w:bCs/>
          <w:sz w:val="24"/>
          <w:szCs w:val="24"/>
          <w:highlight w:val="none"/>
          <w:lang w:bidi="ar"/>
        </w:rPr>
        <w:t xml:space="preserve">Abbreviations: </w:t>
      </w:r>
      <w:r>
        <w:rPr>
          <w:rFonts w:hint="default" w:ascii="Times New Roman" w:hAnsi="Times New Roman" w:eastAsia="宋体" w:cs="Times New Roman"/>
          <w:sz w:val="24"/>
          <w:szCs w:val="24"/>
          <w:highlight w:val="none"/>
          <w:lang w:bidi="ar"/>
        </w:rPr>
        <w:t>LDL-C, low-density lipoprotein cholesterol; LVA, left atrial low-voltage area; OR, odds ratio; CI, confidence interval; LAD, left atrial diameter; BMI, body mass index; T3, triiodothyronine; COPD, chronic obstructive pulmonary disease; HDL-C, high-density lipoprotein cholesterol.</w:t>
      </w:r>
    </w:p>
    <w:p w14:paraId="70B8E7C3">
      <w:pPr>
        <w:keepNext w:val="0"/>
        <w:keepLines w:val="0"/>
        <w:widowControl/>
        <w:suppressLineNumbers w:val="0"/>
        <w:spacing w:line="480" w:lineRule="auto"/>
        <w:jc w:val="left"/>
        <w:rPr>
          <w:rFonts w:hint="default" w:ascii="Times New Roman" w:hAnsi="Times New Roman" w:cs="Times New Roman" w:eastAsiaTheme="minorEastAsia"/>
          <w:kern w:val="0"/>
          <w:sz w:val="24"/>
          <w:szCs w:val="24"/>
          <w:highlight w:val="none"/>
          <w:lang w:bidi="ar"/>
        </w:rPr>
      </w:pPr>
      <w:r>
        <w:rPr>
          <w:rFonts w:hint="default" w:ascii="Times New Roman" w:hAnsi="Times New Roman" w:cs="Times New Roman" w:eastAsiaTheme="minorEastAsia"/>
          <w:b/>
          <w:bCs/>
          <w:kern w:val="0"/>
          <w:sz w:val="24"/>
          <w:szCs w:val="24"/>
          <w:highlight w:val="none"/>
          <w:lang w:bidi="ar"/>
        </w:rPr>
        <w:t>Supplementary Table S1</w:t>
      </w:r>
      <w:r>
        <w:rPr>
          <w:rFonts w:hint="default" w:ascii="Times New Roman" w:hAnsi="Times New Roman" w:cs="Times New Roman"/>
          <w:b/>
          <w:bCs/>
          <w:kern w:val="0"/>
          <w:sz w:val="24"/>
          <w:szCs w:val="24"/>
          <w:highlight w:val="none"/>
          <w:lang w:val="en-US" w:eastAsia="zh-CN" w:bidi="ar"/>
        </w:rPr>
        <w:t>8</w:t>
      </w:r>
      <w:r>
        <w:rPr>
          <w:rFonts w:hint="default" w:ascii="Times New Roman" w:hAnsi="Times New Roman" w:cs="Times New Roman" w:eastAsiaTheme="minorEastAsia"/>
          <w:b/>
          <w:bCs/>
          <w:kern w:val="0"/>
          <w:sz w:val="24"/>
          <w:szCs w:val="24"/>
          <w:highlight w:val="none"/>
          <w:lang w:bidi="ar"/>
        </w:rPr>
        <w:t>.</w:t>
      </w:r>
      <w:r>
        <w:rPr>
          <w:rFonts w:hint="default" w:ascii="Times New Roman" w:hAnsi="Times New Roman" w:eastAsia="宋体" w:cs="Times New Roman"/>
          <w:sz w:val="24"/>
          <w:szCs w:val="24"/>
          <w:highlight w:val="none"/>
        </w:rPr>
        <w:t xml:space="preserve"> Comparison of mapping characteristics according to mapping rhythm among patients with available quantitative mapping data</w:t>
      </w:r>
      <w:r>
        <w:rPr>
          <w:rFonts w:hint="default" w:ascii="Times New Roman" w:hAnsi="Times New Roman" w:cs="Times New Roman" w:eastAsiaTheme="minorEastAsia"/>
          <w:kern w:val="0"/>
          <w:sz w:val="24"/>
          <w:szCs w:val="24"/>
          <w:highlight w:val="none"/>
          <w:lang w:bidi="ar"/>
        </w:rPr>
        <w:t>.</w:t>
      </w:r>
    </w:p>
    <w:tbl>
      <w:tblPr>
        <w:tblStyle w:val="8"/>
        <w:tblW w:w="85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791"/>
        <w:gridCol w:w="2435"/>
        <w:gridCol w:w="2138"/>
        <w:gridCol w:w="1140"/>
      </w:tblGrid>
      <w:tr w14:paraId="6A86C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jc w:val="center"/>
        </w:trPr>
        <w:tc>
          <w:tcPr>
            <w:tcW w:w="3751" w:type="dxa"/>
            <w:tcBorders>
              <w:top w:val="single" w:color="000000" w:sz="12" w:space="0"/>
              <w:left w:val="nil"/>
              <w:bottom w:val="single" w:color="000000" w:sz="4" w:space="0"/>
              <w:right w:val="nil"/>
            </w:tcBorders>
            <w:shd w:val="clear" w:color="auto" w:fill="FFFFFF"/>
            <w:vAlign w:val="center"/>
          </w:tcPr>
          <w:p w14:paraId="66C16CDE">
            <w:pPr>
              <w:jc w:val="center"/>
              <w:rPr>
                <w:rFonts w:hint="default" w:ascii="Times New Roman" w:hAnsi="Times New Roman" w:eastAsia="微软雅黑" w:cs="Times New Roman"/>
                <w:b/>
                <w:bCs/>
                <w:i w:val="0"/>
                <w:iCs w:val="0"/>
                <w:color w:val="000000"/>
                <w:sz w:val="24"/>
                <w:szCs w:val="24"/>
                <w:highlight w:val="none"/>
                <w:u w:val="none"/>
              </w:rPr>
            </w:pPr>
          </w:p>
        </w:tc>
        <w:tc>
          <w:tcPr>
            <w:tcW w:w="3231" w:type="dxa"/>
            <w:tcBorders>
              <w:top w:val="single" w:color="000000" w:sz="12" w:space="0"/>
              <w:left w:val="nil"/>
              <w:bottom w:val="single" w:color="000000" w:sz="4" w:space="0"/>
              <w:right w:val="nil"/>
            </w:tcBorders>
            <w:shd w:val="clear" w:color="auto" w:fill="FFFFFF"/>
            <w:vAlign w:val="center"/>
          </w:tcPr>
          <w:p w14:paraId="7326DABB">
            <w:pPr>
              <w:keepNext w:val="0"/>
              <w:keepLines w:val="0"/>
              <w:widowControl/>
              <w:suppressLineNumbers w:val="0"/>
              <w:jc w:val="center"/>
              <w:textAlignment w:val="center"/>
              <w:rPr>
                <w:rFonts w:hint="default" w:ascii="Times New Roman" w:hAnsi="Times New Roman" w:eastAsia="微软雅黑" w:cs="Times New Roman"/>
                <w:b/>
                <w:bCs/>
                <w:i w:val="0"/>
                <w:iCs w:val="0"/>
                <w:color w:val="000000"/>
                <w:sz w:val="24"/>
                <w:szCs w:val="24"/>
                <w:highlight w:val="none"/>
                <w:u w:val="none"/>
              </w:rPr>
            </w:pPr>
            <w:r>
              <w:rPr>
                <w:rFonts w:hint="default" w:ascii="Times New Roman" w:hAnsi="Times New Roman" w:eastAsia="微软雅黑" w:cs="Times New Roman"/>
                <w:b/>
                <w:bCs/>
                <w:i w:val="0"/>
                <w:iCs w:val="0"/>
                <w:color w:val="000000"/>
                <w:kern w:val="0"/>
                <w:sz w:val="24"/>
                <w:szCs w:val="24"/>
                <w:highlight w:val="none"/>
                <w:u w:val="none"/>
                <w:lang w:val="en-US" w:eastAsia="zh-CN" w:bidi="ar"/>
              </w:rPr>
              <w:t>Atrial arrhythmia</w:t>
            </w:r>
            <w:r>
              <w:rPr>
                <w:rFonts w:hint="default" w:ascii="Times New Roman" w:hAnsi="Times New Roman" w:eastAsia="微软雅黑" w:cs="Times New Roman"/>
                <w:b/>
                <w:bCs/>
                <w:i w:val="0"/>
                <w:iCs w:val="0"/>
                <w:color w:val="000000"/>
                <w:kern w:val="0"/>
                <w:sz w:val="24"/>
                <w:szCs w:val="24"/>
                <w:highlight w:val="none"/>
                <w:u w:val="none"/>
                <w:lang w:val="en-US" w:eastAsia="zh-CN" w:bidi="ar"/>
              </w:rPr>
              <w:br w:type="textWrapping"/>
            </w:r>
            <w:r>
              <w:rPr>
                <w:rFonts w:hint="default" w:ascii="Times New Roman" w:hAnsi="Times New Roman" w:eastAsia="微软雅黑" w:cs="Times New Roman"/>
                <w:b/>
                <w:bCs/>
                <w:i w:val="0"/>
                <w:iCs w:val="0"/>
                <w:color w:val="000000"/>
                <w:kern w:val="0"/>
                <w:sz w:val="24"/>
                <w:szCs w:val="24"/>
                <w:highlight w:val="none"/>
                <w:u w:val="none"/>
                <w:lang w:val="en-US" w:eastAsia="zh-CN" w:bidi="ar"/>
              </w:rPr>
              <w:t>N = 61</w:t>
            </w:r>
          </w:p>
        </w:tc>
        <w:tc>
          <w:tcPr>
            <w:tcW w:w="2911" w:type="dxa"/>
            <w:tcBorders>
              <w:top w:val="single" w:color="000000" w:sz="12" w:space="0"/>
              <w:left w:val="nil"/>
              <w:bottom w:val="single" w:color="000000" w:sz="4" w:space="0"/>
              <w:right w:val="nil"/>
            </w:tcBorders>
            <w:shd w:val="clear" w:color="auto" w:fill="FFFFFF"/>
            <w:vAlign w:val="center"/>
          </w:tcPr>
          <w:p w14:paraId="13C21417">
            <w:pPr>
              <w:keepNext w:val="0"/>
              <w:keepLines w:val="0"/>
              <w:widowControl/>
              <w:suppressLineNumbers w:val="0"/>
              <w:jc w:val="center"/>
              <w:textAlignment w:val="center"/>
              <w:rPr>
                <w:rFonts w:hint="default" w:ascii="Times New Roman" w:hAnsi="Times New Roman" w:eastAsia="微软雅黑" w:cs="Times New Roman"/>
                <w:b/>
                <w:bCs/>
                <w:i w:val="0"/>
                <w:iCs w:val="0"/>
                <w:color w:val="000000"/>
                <w:sz w:val="24"/>
                <w:szCs w:val="24"/>
                <w:highlight w:val="none"/>
                <w:u w:val="none"/>
              </w:rPr>
            </w:pPr>
            <w:r>
              <w:rPr>
                <w:rFonts w:hint="default" w:ascii="Times New Roman" w:hAnsi="Times New Roman" w:eastAsia="微软雅黑" w:cs="Times New Roman"/>
                <w:b/>
                <w:bCs/>
                <w:i w:val="0"/>
                <w:iCs w:val="0"/>
                <w:color w:val="000000"/>
                <w:kern w:val="0"/>
                <w:sz w:val="24"/>
                <w:szCs w:val="24"/>
                <w:highlight w:val="none"/>
                <w:u w:val="none"/>
                <w:lang w:val="en-US" w:eastAsia="zh-CN" w:bidi="ar"/>
              </w:rPr>
              <w:t>Sinus rhythm</w:t>
            </w:r>
            <w:r>
              <w:rPr>
                <w:rFonts w:hint="default" w:ascii="Times New Roman" w:hAnsi="Times New Roman" w:eastAsia="微软雅黑" w:cs="Times New Roman"/>
                <w:b/>
                <w:bCs/>
                <w:i w:val="0"/>
                <w:iCs w:val="0"/>
                <w:color w:val="000000"/>
                <w:kern w:val="0"/>
                <w:sz w:val="24"/>
                <w:szCs w:val="24"/>
                <w:highlight w:val="none"/>
                <w:u w:val="none"/>
                <w:lang w:val="en-US" w:eastAsia="zh-CN" w:bidi="ar"/>
              </w:rPr>
              <w:br w:type="textWrapping"/>
            </w:r>
            <w:r>
              <w:rPr>
                <w:rFonts w:hint="default" w:ascii="Times New Roman" w:hAnsi="Times New Roman" w:eastAsia="微软雅黑" w:cs="Times New Roman"/>
                <w:b/>
                <w:bCs/>
                <w:i w:val="0"/>
                <w:iCs w:val="0"/>
                <w:color w:val="000000"/>
                <w:kern w:val="0"/>
                <w:sz w:val="24"/>
                <w:szCs w:val="24"/>
                <w:highlight w:val="none"/>
                <w:u w:val="none"/>
                <w:lang w:val="en-US" w:eastAsia="zh-CN" w:bidi="ar"/>
              </w:rPr>
              <w:t>N = 306</w:t>
            </w:r>
          </w:p>
        </w:tc>
        <w:tc>
          <w:tcPr>
            <w:tcW w:w="1331" w:type="dxa"/>
            <w:tcBorders>
              <w:top w:val="single" w:color="000000" w:sz="12" w:space="0"/>
              <w:left w:val="nil"/>
              <w:bottom w:val="single" w:color="000000" w:sz="4" w:space="0"/>
              <w:right w:val="nil"/>
            </w:tcBorders>
            <w:shd w:val="clear" w:color="auto" w:fill="FFFFFF"/>
            <w:vAlign w:val="center"/>
          </w:tcPr>
          <w:p w14:paraId="04C7D850">
            <w:pPr>
              <w:keepNext w:val="0"/>
              <w:keepLines w:val="0"/>
              <w:widowControl/>
              <w:suppressLineNumbers w:val="0"/>
              <w:jc w:val="center"/>
              <w:textAlignment w:val="center"/>
              <w:rPr>
                <w:rFonts w:hint="default" w:ascii="Times New Roman" w:hAnsi="Times New Roman" w:eastAsia="微软雅黑" w:cs="Times New Roman"/>
                <w:b/>
                <w:bCs/>
                <w:i w:val="0"/>
                <w:iCs w:val="0"/>
                <w:color w:val="000000"/>
                <w:sz w:val="24"/>
                <w:szCs w:val="24"/>
                <w:highlight w:val="none"/>
                <w:u w:val="none"/>
              </w:rPr>
            </w:pPr>
            <w:r>
              <w:rPr>
                <w:rFonts w:hint="default" w:ascii="Times New Roman" w:hAnsi="Times New Roman" w:eastAsia="微软雅黑" w:cs="Times New Roman"/>
                <w:b/>
                <w:bCs/>
                <w:i/>
                <w:iCs/>
                <w:color w:val="000000"/>
                <w:kern w:val="0"/>
                <w:sz w:val="24"/>
                <w:szCs w:val="24"/>
                <w:highlight w:val="none"/>
                <w:u w:val="none"/>
                <w:lang w:val="en-US" w:eastAsia="zh-CN" w:bidi="ar"/>
              </w:rPr>
              <w:t>P</w:t>
            </w:r>
            <w:r>
              <w:rPr>
                <w:rFonts w:hint="default" w:ascii="Times New Roman" w:hAnsi="Times New Roman" w:eastAsia="微软雅黑" w:cs="Times New Roman"/>
                <w:b/>
                <w:bCs/>
                <w:i w:val="0"/>
                <w:iCs w:val="0"/>
                <w:color w:val="000000"/>
                <w:kern w:val="0"/>
                <w:sz w:val="24"/>
                <w:szCs w:val="24"/>
                <w:highlight w:val="none"/>
                <w:u w:val="none"/>
                <w:lang w:val="en-US" w:eastAsia="zh-CN" w:bidi="ar"/>
              </w:rPr>
              <w:t xml:space="preserve"> value</w:t>
            </w:r>
          </w:p>
        </w:tc>
      </w:tr>
      <w:tr w14:paraId="35887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3751" w:type="dxa"/>
            <w:tcBorders>
              <w:top w:val="nil"/>
              <w:left w:val="nil"/>
              <w:bottom w:val="nil"/>
              <w:right w:val="nil"/>
            </w:tcBorders>
            <w:shd w:val="clear" w:color="auto" w:fill="FFFFFF"/>
            <w:vAlign w:val="center"/>
          </w:tcPr>
          <w:p w14:paraId="4DE0C403">
            <w:pPr>
              <w:keepNext w:val="0"/>
              <w:keepLines w:val="0"/>
              <w:widowControl/>
              <w:suppressLineNumbers w:val="0"/>
              <w:jc w:val="center"/>
              <w:textAlignment w:val="center"/>
              <w:rPr>
                <w:rFonts w:hint="default" w:ascii="Times New Roman" w:hAnsi="Times New Roman" w:eastAsia="微软雅黑" w:cs="Times New Roman"/>
                <w:i w:val="0"/>
                <w:iCs w:val="0"/>
                <w:color w:val="08090C"/>
                <w:sz w:val="24"/>
                <w:szCs w:val="24"/>
                <w:highlight w:val="none"/>
                <w:u w:val="none"/>
              </w:rPr>
            </w:pPr>
            <w:r>
              <w:rPr>
                <w:rFonts w:hint="default" w:ascii="Times New Roman" w:hAnsi="Times New Roman" w:eastAsia="微软雅黑" w:cs="Times New Roman"/>
                <w:i w:val="0"/>
                <w:iCs w:val="0"/>
                <w:color w:val="08090C"/>
                <w:kern w:val="0"/>
                <w:sz w:val="24"/>
                <w:szCs w:val="24"/>
                <w:highlight w:val="none"/>
                <w:u w:val="none"/>
                <w:lang w:val="en-US" w:eastAsia="zh-CN" w:bidi="ar"/>
              </w:rPr>
              <w:t>*Complete mapping proportion, %</w:t>
            </w:r>
          </w:p>
        </w:tc>
        <w:tc>
          <w:tcPr>
            <w:tcW w:w="3231" w:type="dxa"/>
            <w:tcBorders>
              <w:top w:val="nil"/>
              <w:left w:val="nil"/>
              <w:bottom w:val="nil"/>
              <w:right w:val="nil"/>
            </w:tcBorders>
            <w:shd w:val="clear" w:color="auto" w:fill="FFFFFF"/>
            <w:vAlign w:val="center"/>
          </w:tcPr>
          <w:p w14:paraId="62C928CA">
            <w:pPr>
              <w:keepNext w:val="0"/>
              <w:keepLines w:val="0"/>
              <w:widowControl/>
              <w:suppressLineNumbers w:val="0"/>
              <w:jc w:val="center"/>
              <w:textAlignment w:val="center"/>
              <w:rPr>
                <w:rFonts w:hint="default" w:ascii="Times New Roman" w:hAnsi="Times New Roman" w:eastAsia="微软雅黑" w:cs="Times New Roman"/>
                <w:i w:val="0"/>
                <w:iCs w:val="0"/>
                <w:color w:val="08090C"/>
                <w:sz w:val="24"/>
                <w:szCs w:val="24"/>
                <w:highlight w:val="none"/>
                <w:u w:val="none"/>
              </w:rPr>
            </w:pPr>
            <w:r>
              <w:rPr>
                <w:rFonts w:hint="default" w:ascii="Times New Roman" w:hAnsi="Times New Roman" w:eastAsia="微软雅黑" w:cs="Times New Roman"/>
                <w:i w:val="0"/>
                <w:iCs w:val="0"/>
                <w:color w:val="08090C"/>
                <w:kern w:val="0"/>
                <w:sz w:val="24"/>
                <w:szCs w:val="24"/>
                <w:highlight w:val="none"/>
                <w:u w:val="none"/>
                <w:lang w:val="en-US" w:eastAsia="zh-CN" w:bidi="ar"/>
              </w:rPr>
              <w:t>79.22%</w:t>
            </w:r>
          </w:p>
        </w:tc>
        <w:tc>
          <w:tcPr>
            <w:tcW w:w="2911" w:type="dxa"/>
            <w:tcBorders>
              <w:top w:val="nil"/>
              <w:left w:val="nil"/>
              <w:bottom w:val="nil"/>
              <w:right w:val="nil"/>
            </w:tcBorders>
            <w:shd w:val="clear" w:color="auto" w:fill="FFFFFF"/>
            <w:vAlign w:val="center"/>
          </w:tcPr>
          <w:p w14:paraId="17985432">
            <w:pPr>
              <w:keepNext w:val="0"/>
              <w:keepLines w:val="0"/>
              <w:widowControl/>
              <w:suppressLineNumbers w:val="0"/>
              <w:jc w:val="center"/>
              <w:textAlignment w:val="center"/>
              <w:rPr>
                <w:rFonts w:hint="default" w:ascii="Times New Roman" w:hAnsi="Times New Roman" w:eastAsia="微软雅黑" w:cs="Times New Roman"/>
                <w:i w:val="0"/>
                <w:iCs w:val="0"/>
                <w:color w:val="08090C"/>
                <w:sz w:val="24"/>
                <w:szCs w:val="24"/>
                <w:highlight w:val="none"/>
                <w:u w:val="none"/>
              </w:rPr>
            </w:pPr>
            <w:r>
              <w:rPr>
                <w:rFonts w:hint="default" w:ascii="Times New Roman" w:hAnsi="Times New Roman" w:eastAsia="微软雅黑" w:cs="Times New Roman"/>
                <w:i w:val="0"/>
                <w:iCs w:val="0"/>
                <w:color w:val="08090C"/>
                <w:kern w:val="0"/>
                <w:sz w:val="24"/>
                <w:szCs w:val="24"/>
                <w:highlight w:val="none"/>
                <w:u w:val="none"/>
                <w:lang w:val="en-US" w:eastAsia="zh-CN" w:bidi="ar"/>
              </w:rPr>
              <w:t>93.58%</w:t>
            </w:r>
          </w:p>
        </w:tc>
        <w:tc>
          <w:tcPr>
            <w:tcW w:w="1331" w:type="dxa"/>
            <w:tcBorders>
              <w:top w:val="nil"/>
              <w:left w:val="nil"/>
              <w:bottom w:val="nil"/>
              <w:right w:val="nil"/>
            </w:tcBorders>
            <w:shd w:val="clear" w:color="auto" w:fill="FFFFFF"/>
            <w:vAlign w:val="center"/>
          </w:tcPr>
          <w:p w14:paraId="70AB71C2">
            <w:pPr>
              <w:keepNext w:val="0"/>
              <w:keepLines w:val="0"/>
              <w:widowControl/>
              <w:suppressLineNumbers w:val="0"/>
              <w:jc w:val="center"/>
              <w:textAlignment w:val="center"/>
              <w:rPr>
                <w:rFonts w:hint="default" w:ascii="Times New Roman" w:hAnsi="Times New Roman" w:eastAsia="微软雅黑" w:cs="Times New Roman"/>
                <w:i w:val="0"/>
                <w:iCs w:val="0"/>
                <w:color w:val="08090C"/>
                <w:sz w:val="24"/>
                <w:szCs w:val="24"/>
                <w:highlight w:val="none"/>
                <w:u w:val="none"/>
              </w:rPr>
            </w:pPr>
            <w:r>
              <w:rPr>
                <w:rFonts w:hint="default" w:ascii="Times New Roman" w:hAnsi="Times New Roman" w:eastAsia="微软雅黑" w:cs="Times New Roman"/>
                <w:i w:val="0"/>
                <w:iCs w:val="0"/>
                <w:color w:val="08090C"/>
                <w:kern w:val="0"/>
                <w:sz w:val="24"/>
                <w:szCs w:val="24"/>
                <w:highlight w:val="none"/>
                <w:u w:val="none"/>
                <w:lang w:val="en-US" w:eastAsia="zh-CN" w:bidi="ar"/>
              </w:rPr>
              <w:t>&lt;0.001</w:t>
            </w:r>
          </w:p>
        </w:tc>
      </w:tr>
      <w:tr w14:paraId="49DD9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3751" w:type="dxa"/>
            <w:tcBorders>
              <w:top w:val="nil"/>
              <w:left w:val="nil"/>
              <w:bottom w:val="nil"/>
              <w:right w:val="nil"/>
            </w:tcBorders>
            <w:shd w:val="clear" w:color="auto" w:fill="FFFFFF"/>
            <w:vAlign w:val="center"/>
          </w:tcPr>
          <w:p w14:paraId="535A3F63">
            <w:pPr>
              <w:keepNext w:val="0"/>
              <w:keepLines w:val="0"/>
              <w:widowControl/>
              <w:suppressLineNumbers w:val="0"/>
              <w:jc w:val="center"/>
              <w:textAlignment w:val="center"/>
              <w:rPr>
                <w:rFonts w:hint="default" w:ascii="Times New Roman" w:hAnsi="Times New Roman" w:eastAsia="微软雅黑" w:cs="Times New Roman"/>
                <w:i w:val="0"/>
                <w:iCs w:val="0"/>
                <w:color w:val="08090C"/>
                <w:sz w:val="24"/>
                <w:szCs w:val="24"/>
                <w:highlight w:val="none"/>
                <w:u w:val="none"/>
              </w:rPr>
            </w:pPr>
            <w:r>
              <w:rPr>
                <w:rFonts w:hint="default" w:ascii="Times New Roman" w:hAnsi="Times New Roman" w:eastAsia="微软雅黑" w:cs="Times New Roman"/>
                <w:i w:val="0"/>
                <w:iCs w:val="0"/>
                <w:color w:val="08090C"/>
                <w:kern w:val="0"/>
                <w:sz w:val="24"/>
                <w:szCs w:val="24"/>
                <w:highlight w:val="none"/>
                <w:u w:val="none"/>
                <w:lang w:val="en-US" w:eastAsia="zh-CN" w:bidi="ar"/>
              </w:rPr>
              <w:t>Mapping point count</w:t>
            </w:r>
          </w:p>
        </w:tc>
        <w:tc>
          <w:tcPr>
            <w:tcW w:w="3231" w:type="dxa"/>
            <w:tcBorders>
              <w:top w:val="nil"/>
              <w:left w:val="nil"/>
              <w:bottom w:val="nil"/>
              <w:right w:val="nil"/>
            </w:tcBorders>
            <w:shd w:val="clear" w:color="auto" w:fill="FFFFFF"/>
            <w:vAlign w:val="center"/>
          </w:tcPr>
          <w:p w14:paraId="4B5F881A">
            <w:pPr>
              <w:keepNext w:val="0"/>
              <w:keepLines w:val="0"/>
              <w:widowControl/>
              <w:suppressLineNumbers w:val="0"/>
              <w:jc w:val="center"/>
              <w:textAlignment w:val="center"/>
              <w:rPr>
                <w:rFonts w:hint="default" w:ascii="Times New Roman" w:hAnsi="Times New Roman" w:eastAsia="微软雅黑" w:cs="Times New Roman"/>
                <w:i w:val="0"/>
                <w:iCs w:val="0"/>
                <w:color w:val="08090C"/>
                <w:sz w:val="24"/>
                <w:szCs w:val="24"/>
                <w:highlight w:val="none"/>
                <w:u w:val="none"/>
              </w:rPr>
            </w:pPr>
            <w:r>
              <w:rPr>
                <w:rFonts w:hint="default" w:ascii="Times New Roman" w:hAnsi="Times New Roman" w:eastAsia="微软雅黑" w:cs="Times New Roman"/>
                <w:i w:val="0"/>
                <w:iCs w:val="0"/>
                <w:color w:val="08090C"/>
                <w:kern w:val="0"/>
                <w:sz w:val="24"/>
                <w:szCs w:val="24"/>
                <w:highlight w:val="none"/>
                <w:u w:val="none"/>
                <w:lang w:val="en-US" w:eastAsia="zh-CN" w:bidi="ar"/>
              </w:rPr>
              <w:t>1,694.00 [1,015.00, 2,638.00]</w:t>
            </w:r>
          </w:p>
        </w:tc>
        <w:tc>
          <w:tcPr>
            <w:tcW w:w="2911" w:type="dxa"/>
            <w:tcBorders>
              <w:top w:val="nil"/>
              <w:left w:val="nil"/>
              <w:bottom w:val="nil"/>
              <w:right w:val="nil"/>
            </w:tcBorders>
            <w:shd w:val="clear" w:color="auto" w:fill="FFFFFF"/>
            <w:vAlign w:val="center"/>
          </w:tcPr>
          <w:p w14:paraId="62A03830">
            <w:pPr>
              <w:keepNext w:val="0"/>
              <w:keepLines w:val="0"/>
              <w:widowControl/>
              <w:suppressLineNumbers w:val="0"/>
              <w:jc w:val="center"/>
              <w:textAlignment w:val="center"/>
              <w:rPr>
                <w:rFonts w:hint="default" w:ascii="Times New Roman" w:hAnsi="Times New Roman" w:eastAsia="微软雅黑" w:cs="Times New Roman"/>
                <w:i w:val="0"/>
                <w:iCs w:val="0"/>
                <w:color w:val="08090C"/>
                <w:sz w:val="24"/>
                <w:szCs w:val="24"/>
                <w:highlight w:val="none"/>
                <w:u w:val="none"/>
              </w:rPr>
            </w:pPr>
            <w:r>
              <w:rPr>
                <w:rFonts w:hint="default" w:ascii="Times New Roman" w:hAnsi="Times New Roman" w:eastAsia="微软雅黑" w:cs="Times New Roman"/>
                <w:i w:val="0"/>
                <w:iCs w:val="0"/>
                <w:color w:val="08090C"/>
                <w:kern w:val="0"/>
                <w:sz w:val="24"/>
                <w:szCs w:val="24"/>
                <w:highlight w:val="none"/>
                <w:u w:val="none"/>
                <w:lang w:val="en-US" w:eastAsia="zh-CN" w:bidi="ar"/>
              </w:rPr>
              <w:t>846.00 [629.00, 1,316.00]</w:t>
            </w:r>
          </w:p>
        </w:tc>
        <w:tc>
          <w:tcPr>
            <w:tcW w:w="1331" w:type="dxa"/>
            <w:tcBorders>
              <w:top w:val="nil"/>
              <w:left w:val="nil"/>
              <w:bottom w:val="nil"/>
              <w:right w:val="nil"/>
            </w:tcBorders>
            <w:shd w:val="clear" w:color="auto" w:fill="FFFFFF"/>
            <w:vAlign w:val="center"/>
          </w:tcPr>
          <w:p w14:paraId="0D26935A">
            <w:pPr>
              <w:keepNext w:val="0"/>
              <w:keepLines w:val="0"/>
              <w:widowControl/>
              <w:suppressLineNumbers w:val="0"/>
              <w:jc w:val="center"/>
              <w:textAlignment w:val="center"/>
              <w:rPr>
                <w:rFonts w:hint="default" w:ascii="Times New Roman" w:hAnsi="Times New Roman" w:eastAsia="微软雅黑" w:cs="Times New Roman"/>
                <w:i w:val="0"/>
                <w:iCs w:val="0"/>
                <w:color w:val="08090C"/>
                <w:sz w:val="24"/>
                <w:szCs w:val="24"/>
                <w:highlight w:val="none"/>
                <w:u w:val="none"/>
              </w:rPr>
            </w:pPr>
            <w:r>
              <w:rPr>
                <w:rFonts w:hint="default" w:ascii="Times New Roman" w:hAnsi="Times New Roman" w:eastAsia="微软雅黑" w:cs="Times New Roman"/>
                <w:i w:val="0"/>
                <w:iCs w:val="0"/>
                <w:color w:val="08090C"/>
                <w:kern w:val="0"/>
                <w:sz w:val="24"/>
                <w:szCs w:val="24"/>
                <w:highlight w:val="none"/>
                <w:u w:val="none"/>
                <w:lang w:val="en-US" w:eastAsia="zh-CN" w:bidi="ar"/>
              </w:rPr>
              <w:t>&lt;0.001</w:t>
            </w:r>
          </w:p>
        </w:tc>
      </w:tr>
      <w:tr w14:paraId="67193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3751" w:type="dxa"/>
            <w:tcBorders>
              <w:top w:val="nil"/>
              <w:left w:val="nil"/>
              <w:bottom w:val="single" w:color="000000" w:sz="12" w:space="0"/>
              <w:right w:val="nil"/>
            </w:tcBorders>
            <w:shd w:val="clear" w:color="auto" w:fill="FFFFFF"/>
            <w:vAlign w:val="center"/>
          </w:tcPr>
          <w:p w14:paraId="5989D90A">
            <w:pPr>
              <w:keepNext w:val="0"/>
              <w:keepLines w:val="0"/>
              <w:widowControl/>
              <w:suppressLineNumbers w:val="0"/>
              <w:jc w:val="center"/>
              <w:textAlignment w:val="center"/>
              <w:rPr>
                <w:rFonts w:hint="default" w:ascii="Times New Roman" w:hAnsi="Times New Roman" w:eastAsia="微软雅黑" w:cs="Times New Roman"/>
                <w:i w:val="0"/>
                <w:iCs w:val="0"/>
                <w:color w:val="08090C"/>
                <w:sz w:val="24"/>
                <w:szCs w:val="24"/>
                <w:highlight w:val="none"/>
                <w:u w:val="none"/>
              </w:rPr>
            </w:pPr>
            <w:r>
              <w:rPr>
                <w:rFonts w:hint="default" w:ascii="Times New Roman" w:hAnsi="Times New Roman" w:eastAsia="微软雅黑" w:cs="Times New Roman"/>
                <w:i w:val="0"/>
                <w:iCs w:val="0"/>
                <w:color w:val="08090C"/>
                <w:kern w:val="0"/>
                <w:sz w:val="24"/>
                <w:szCs w:val="24"/>
                <w:highlight w:val="none"/>
                <w:u w:val="none"/>
                <w:lang w:val="en-US" w:eastAsia="zh-CN" w:bidi="ar"/>
              </w:rPr>
              <w:t>Total LVA burden, %</w:t>
            </w:r>
          </w:p>
        </w:tc>
        <w:tc>
          <w:tcPr>
            <w:tcW w:w="3231" w:type="dxa"/>
            <w:tcBorders>
              <w:top w:val="nil"/>
              <w:left w:val="nil"/>
              <w:bottom w:val="single" w:color="000000" w:sz="12" w:space="0"/>
              <w:right w:val="nil"/>
            </w:tcBorders>
            <w:shd w:val="clear" w:color="auto" w:fill="FFFFFF"/>
            <w:vAlign w:val="center"/>
          </w:tcPr>
          <w:p w14:paraId="25CB6251">
            <w:pPr>
              <w:keepNext w:val="0"/>
              <w:keepLines w:val="0"/>
              <w:widowControl/>
              <w:suppressLineNumbers w:val="0"/>
              <w:jc w:val="center"/>
              <w:textAlignment w:val="center"/>
              <w:rPr>
                <w:rFonts w:hint="default" w:ascii="Times New Roman" w:hAnsi="Times New Roman" w:eastAsia="微软雅黑" w:cs="Times New Roman"/>
                <w:i w:val="0"/>
                <w:iCs w:val="0"/>
                <w:color w:val="08090C"/>
                <w:sz w:val="24"/>
                <w:szCs w:val="24"/>
                <w:highlight w:val="none"/>
                <w:u w:val="none"/>
              </w:rPr>
            </w:pPr>
            <w:r>
              <w:rPr>
                <w:rFonts w:hint="default" w:ascii="Times New Roman" w:hAnsi="Times New Roman" w:eastAsia="微软雅黑" w:cs="Times New Roman"/>
                <w:i w:val="0"/>
                <w:iCs w:val="0"/>
                <w:color w:val="08090C"/>
                <w:kern w:val="0"/>
                <w:sz w:val="24"/>
                <w:szCs w:val="24"/>
                <w:highlight w:val="none"/>
                <w:u w:val="none"/>
                <w:lang w:val="en-US" w:eastAsia="zh-CN" w:bidi="ar"/>
              </w:rPr>
              <w:t>12.80 [7.20, 19.20]</w:t>
            </w:r>
          </w:p>
        </w:tc>
        <w:tc>
          <w:tcPr>
            <w:tcW w:w="2911" w:type="dxa"/>
            <w:tcBorders>
              <w:top w:val="nil"/>
              <w:left w:val="nil"/>
              <w:bottom w:val="single" w:color="000000" w:sz="12" w:space="0"/>
              <w:right w:val="nil"/>
            </w:tcBorders>
            <w:shd w:val="clear" w:color="auto" w:fill="FFFFFF"/>
            <w:vAlign w:val="center"/>
          </w:tcPr>
          <w:p w14:paraId="1DC05E1B">
            <w:pPr>
              <w:keepNext w:val="0"/>
              <w:keepLines w:val="0"/>
              <w:widowControl/>
              <w:suppressLineNumbers w:val="0"/>
              <w:jc w:val="center"/>
              <w:textAlignment w:val="center"/>
              <w:rPr>
                <w:rFonts w:hint="default" w:ascii="Times New Roman" w:hAnsi="Times New Roman" w:eastAsia="微软雅黑" w:cs="Times New Roman"/>
                <w:i w:val="0"/>
                <w:iCs w:val="0"/>
                <w:color w:val="08090C"/>
                <w:sz w:val="24"/>
                <w:szCs w:val="24"/>
                <w:highlight w:val="none"/>
                <w:u w:val="none"/>
              </w:rPr>
            </w:pPr>
            <w:r>
              <w:rPr>
                <w:rFonts w:hint="default" w:ascii="Times New Roman" w:hAnsi="Times New Roman" w:eastAsia="微软雅黑" w:cs="Times New Roman"/>
                <w:i w:val="0"/>
                <w:iCs w:val="0"/>
                <w:color w:val="08090C"/>
                <w:kern w:val="0"/>
                <w:sz w:val="24"/>
                <w:szCs w:val="24"/>
                <w:highlight w:val="none"/>
                <w:u w:val="none"/>
                <w:lang w:val="en-US" w:eastAsia="zh-CN" w:bidi="ar"/>
              </w:rPr>
              <w:t>1.10 [0.00, 9.10]</w:t>
            </w:r>
          </w:p>
        </w:tc>
        <w:tc>
          <w:tcPr>
            <w:tcW w:w="1331" w:type="dxa"/>
            <w:tcBorders>
              <w:top w:val="nil"/>
              <w:left w:val="nil"/>
              <w:bottom w:val="single" w:color="000000" w:sz="12" w:space="0"/>
              <w:right w:val="nil"/>
            </w:tcBorders>
            <w:shd w:val="clear" w:color="auto" w:fill="FFFFFF"/>
            <w:vAlign w:val="center"/>
          </w:tcPr>
          <w:p w14:paraId="3F2D0077">
            <w:pPr>
              <w:keepNext w:val="0"/>
              <w:keepLines w:val="0"/>
              <w:widowControl/>
              <w:suppressLineNumbers w:val="0"/>
              <w:jc w:val="center"/>
              <w:textAlignment w:val="center"/>
              <w:rPr>
                <w:rFonts w:hint="default" w:ascii="Times New Roman" w:hAnsi="Times New Roman" w:eastAsia="微软雅黑" w:cs="Times New Roman"/>
                <w:i w:val="0"/>
                <w:iCs w:val="0"/>
                <w:color w:val="08090C"/>
                <w:sz w:val="24"/>
                <w:szCs w:val="24"/>
                <w:highlight w:val="none"/>
                <w:u w:val="none"/>
              </w:rPr>
            </w:pPr>
            <w:r>
              <w:rPr>
                <w:rFonts w:hint="default" w:ascii="Times New Roman" w:hAnsi="Times New Roman" w:eastAsia="微软雅黑" w:cs="Times New Roman"/>
                <w:i w:val="0"/>
                <w:iCs w:val="0"/>
                <w:color w:val="08090C"/>
                <w:kern w:val="0"/>
                <w:sz w:val="24"/>
                <w:szCs w:val="24"/>
                <w:highlight w:val="none"/>
                <w:u w:val="none"/>
                <w:lang w:val="en-US" w:eastAsia="zh-CN" w:bidi="ar"/>
              </w:rPr>
              <w:t>&lt;0.001</w:t>
            </w:r>
          </w:p>
        </w:tc>
      </w:tr>
    </w:tbl>
    <w:p w14:paraId="5FFFEBEA">
      <w:pPr>
        <w:keepNext w:val="0"/>
        <w:keepLines w:val="0"/>
        <w:widowControl/>
        <w:suppressLineNumbers w:val="0"/>
        <w:spacing w:line="480" w:lineRule="auto"/>
        <w:jc w:val="left"/>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val="en-US" w:eastAsia="zh-CN" w:bidi="ar"/>
        </w:rPr>
        <w:t>*</w:t>
      </w:r>
      <w:r>
        <w:rPr>
          <w:rFonts w:hint="default" w:ascii="Times New Roman" w:hAnsi="Times New Roman" w:eastAsia="宋体" w:cs="Times New Roman"/>
          <w:sz w:val="24"/>
          <w:szCs w:val="24"/>
          <w:highlight w:val="none"/>
          <w:lang w:bidi="ar"/>
        </w:rPr>
        <w:t>Complete mapping proportion was calculated as the number of patients with complete quantitative mapping data divided by the total number of patients in each mapping-rhythm subgroup: 61/77 patients in the atrial-arrhythmia mapping group and 306/327 patients in the sinus-rhythm mapping group.</w:t>
      </w:r>
    </w:p>
    <w:p w14:paraId="1E4802B3">
      <w:pPr>
        <w:keepNext w:val="0"/>
        <w:keepLines w:val="0"/>
        <w:widowControl/>
        <w:suppressLineNumbers w:val="0"/>
        <w:spacing w:line="480" w:lineRule="auto"/>
        <w:jc w:val="left"/>
        <w:rPr>
          <w:rFonts w:hint="default" w:ascii="Times New Roman" w:hAnsi="Times New Roman" w:eastAsia="宋体" w:cs="Times New Roman"/>
          <w:b/>
          <w:bCs w:val="0"/>
          <w:sz w:val="24"/>
          <w:szCs w:val="24"/>
          <w:highlight w:val="none"/>
          <w:lang w:bidi="ar"/>
        </w:rPr>
      </w:pPr>
      <w:r>
        <w:rPr>
          <w:rFonts w:hint="default" w:ascii="Times New Roman" w:hAnsi="Times New Roman" w:eastAsia="宋体" w:cs="Times New Roman"/>
          <w:sz w:val="24"/>
          <w:szCs w:val="24"/>
          <w:highlight w:val="none"/>
          <w:lang w:bidi="ar"/>
        </w:rPr>
        <w:t>Continuous variables are presented as median [interquartile range], and categorical variables are presented as n (%) or percentages, as appropriate. Comparisons between groups were performed using the Wilcoxon rank-sum test for continuous variables and the chi-square test or Fisher’s exact test for categorical variables, as appropriate.</w:t>
      </w:r>
    </w:p>
    <w:p w14:paraId="45CD1CDE">
      <w:pPr>
        <w:keepNext w:val="0"/>
        <w:keepLines w:val="0"/>
        <w:widowControl/>
        <w:suppressLineNumbers w:val="0"/>
        <w:spacing w:line="480" w:lineRule="auto"/>
        <w:jc w:val="left"/>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b/>
          <w:bCs w:val="0"/>
          <w:sz w:val="24"/>
          <w:szCs w:val="24"/>
          <w:highlight w:val="none"/>
          <w:lang w:bidi="ar"/>
        </w:rPr>
        <w:t>Abbreviations:</w:t>
      </w:r>
      <w:r>
        <w:rPr>
          <w:rFonts w:hint="default" w:ascii="Times New Roman" w:hAnsi="Times New Roman" w:eastAsia="宋体" w:cs="Times New Roman"/>
          <w:sz w:val="24"/>
          <w:szCs w:val="24"/>
          <w:highlight w:val="none"/>
        </w:rPr>
        <w:t xml:space="preserve"> </w:t>
      </w:r>
      <w:r>
        <w:rPr>
          <w:rFonts w:hint="default" w:ascii="Times New Roman" w:hAnsi="Times New Roman" w:eastAsia="宋体" w:cs="Times New Roman"/>
          <w:sz w:val="24"/>
          <w:szCs w:val="24"/>
          <w:highlight w:val="none"/>
          <w:lang w:bidi="ar"/>
        </w:rPr>
        <w:t>LVA, left atrial low-voltage area.</w:t>
      </w:r>
    </w:p>
    <w:p w14:paraId="6C42C2FA">
      <w:pPr>
        <w:keepNext w:val="0"/>
        <w:keepLines w:val="0"/>
        <w:widowControl/>
        <w:suppressLineNumbers w:val="0"/>
        <w:spacing w:line="480" w:lineRule="auto"/>
        <w:jc w:val="left"/>
        <w:rPr>
          <w:rFonts w:hint="default" w:ascii="Times New Roman" w:hAnsi="Times New Roman" w:eastAsia="宋体" w:cs="Times New Roman"/>
          <w:sz w:val="24"/>
          <w:szCs w:val="24"/>
          <w:highlight w:val="none"/>
          <w:lang w:bidi="ar"/>
        </w:rPr>
      </w:pPr>
    </w:p>
    <w:p w14:paraId="3F6413BA">
      <w:pPr>
        <w:keepNext w:val="0"/>
        <w:keepLines w:val="0"/>
        <w:widowControl/>
        <w:suppressLineNumbers w:val="0"/>
        <w:spacing w:line="480" w:lineRule="auto"/>
        <w:jc w:val="left"/>
        <w:rPr>
          <w:rFonts w:hint="default" w:ascii="Times New Roman" w:hAnsi="Times New Roman" w:eastAsia="宋体" w:cs="Times New Roman"/>
          <w:kern w:val="0"/>
          <w:sz w:val="24"/>
          <w:szCs w:val="24"/>
          <w:highlight w:val="none"/>
          <w:lang w:val="en-US" w:eastAsia="zh-CN" w:bidi="ar"/>
        </w:rPr>
      </w:pPr>
      <w:r>
        <w:rPr>
          <w:rFonts w:hint="default" w:ascii="Times New Roman" w:hAnsi="Times New Roman" w:cs="Times New Roman" w:eastAsiaTheme="minorEastAsia"/>
          <w:b/>
          <w:bCs/>
          <w:kern w:val="0"/>
          <w:sz w:val="24"/>
          <w:szCs w:val="24"/>
          <w:highlight w:val="none"/>
          <w:lang w:bidi="ar"/>
        </w:rPr>
        <w:t>Supplementary Table S1</w:t>
      </w:r>
      <w:r>
        <w:rPr>
          <w:rFonts w:hint="default" w:ascii="Times New Roman" w:hAnsi="Times New Roman" w:cs="Times New Roman"/>
          <w:b/>
          <w:bCs/>
          <w:kern w:val="0"/>
          <w:sz w:val="24"/>
          <w:szCs w:val="24"/>
          <w:highlight w:val="none"/>
          <w:lang w:val="en-US" w:eastAsia="zh-CN" w:bidi="ar"/>
        </w:rPr>
        <w:t>9</w:t>
      </w:r>
      <w:r>
        <w:rPr>
          <w:rFonts w:hint="default" w:ascii="Times New Roman" w:hAnsi="Times New Roman" w:cs="Times New Roman" w:eastAsiaTheme="minorEastAsia"/>
          <w:b/>
          <w:bCs/>
          <w:kern w:val="0"/>
          <w:sz w:val="24"/>
          <w:szCs w:val="24"/>
          <w:highlight w:val="none"/>
          <w:lang w:bidi="ar"/>
        </w:rPr>
        <w:t>.</w:t>
      </w:r>
      <w:r>
        <w:rPr>
          <w:rFonts w:hint="default" w:ascii="Times New Roman" w:hAnsi="Times New Roman" w:eastAsia="宋体" w:cs="Times New Roman"/>
          <w:sz w:val="24"/>
          <w:szCs w:val="24"/>
          <w:highlight w:val="none"/>
        </w:rPr>
        <w:t xml:space="preserve"> Mapping completeness and accepted mapping-point count according to LVA status in the sinus-rhythm mapping subgroup</w:t>
      </w:r>
      <w:r>
        <w:rPr>
          <w:rFonts w:hint="default" w:ascii="Times New Roman" w:hAnsi="Times New Roman" w:eastAsia="宋体" w:cs="Times New Roman"/>
          <w:kern w:val="2"/>
          <w:sz w:val="24"/>
          <w:szCs w:val="24"/>
          <w:highlight w:val="none"/>
          <w:lang w:val="en-US" w:eastAsia="zh-CN" w:bidi="ar"/>
        </w:rPr>
        <w:t>.</w:t>
      </w:r>
    </w:p>
    <w:tbl>
      <w:tblPr>
        <w:tblStyle w:val="8"/>
        <w:tblW w:w="85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915"/>
        <w:gridCol w:w="2237"/>
        <w:gridCol w:w="2237"/>
        <w:gridCol w:w="1115"/>
      </w:tblGrid>
      <w:tr w14:paraId="387A4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blHeader/>
          <w:jc w:val="center"/>
        </w:trPr>
        <w:tc>
          <w:tcPr>
            <w:tcW w:w="3751" w:type="dxa"/>
            <w:tcBorders>
              <w:top w:val="single" w:color="000000" w:sz="12" w:space="0"/>
              <w:left w:val="nil"/>
              <w:bottom w:val="single" w:color="000000" w:sz="4" w:space="0"/>
              <w:right w:val="nil"/>
            </w:tcBorders>
            <w:shd w:val="clear" w:color="auto" w:fill="FFFFFF"/>
            <w:vAlign w:val="center"/>
          </w:tcPr>
          <w:p w14:paraId="37823204">
            <w:pPr>
              <w:jc w:val="center"/>
              <w:rPr>
                <w:rFonts w:hint="default" w:ascii="Times New Roman" w:hAnsi="Times New Roman" w:eastAsia="微软雅黑" w:cs="Times New Roman"/>
                <w:b/>
                <w:bCs/>
                <w:i w:val="0"/>
                <w:iCs w:val="0"/>
                <w:color w:val="000000"/>
                <w:sz w:val="24"/>
                <w:szCs w:val="24"/>
                <w:highlight w:val="none"/>
                <w:u w:val="none"/>
              </w:rPr>
            </w:pPr>
          </w:p>
        </w:tc>
        <w:tc>
          <w:tcPr>
            <w:tcW w:w="2911" w:type="dxa"/>
            <w:tcBorders>
              <w:top w:val="single" w:color="000000" w:sz="12" w:space="0"/>
              <w:left w:val="nil"/>
              <w:bottom w:val="single" w:color="000000" w:sz="4" w:space="0"/>
              <w:right w:val="nil"/>
            </w:tcBorders>
            <w:shd w:val="clear" w:color="auto" w:fill="FFFFFF"/>
            <w:vAlign w:val="center"/>
          </w:tcPr>
          <w:p w14:paraId="142FD76D">
            <w:pPr>
              <w:keepNext w:val="0"/>
              <w:keepLines w:val="0"/>
              <w:widowControl/>
              <w:suppressLineNumbers w:val="0"/>
              <w:jc w:val="center"/>
              <w:textAlignment w:val="center"/>
              <w:rPr>
                <w:rFonts w:hint="default" w:ascii="Times New Roman" w:hAnsi="Times New Roman" w:eastAsia="微软雅黑" w:cs="Times New Roman"/>
                <w:b/>
                <w:bCs/>
                <w:i w:val="0"/>
                <w:iCs w:val="0"/>
                <w:color w:val="000000"/>
                <w:sz w:val="24"/>
                <w:szCs w:val="24"/>
                <w:highlight w:val="none"/>
                <w:u w:val="none"/>
              </w:rPr>
            </w:pPr>
            <w:r>
              <w:rPr>
                <w:rFonts w:hint="default" w:ascii="Times New Roman" w:hAnsi="Times New Roman" w:eastAsia="微软雅黑" w:cs="Times New Roman"/>
                <w:b/>
                <w:bCs/>
                <w:i w:val="0"/>
                <w:iCs w:val="0"/>
                <w:color w:val="000000"/>
                <w:kern w:val="0"/>
                <w:sz w:val="24"/>
                <w:szCs w:val="24"/>
                <w:highlight w:val="none"/>
                <w:u w:val="none"/>
                <w:lang w:val="en-US" w:eastAsia="zh-CN" w:bidi="ar"/>
              </w:rPr>
              <w:t>LVA absent</w:t>
            </w:r>
            <w:r>
              <w:rPr>
                <w:rFonts w:hint="default" w:ascii="Times New Roman" w:hAnsi="Times New Roman" w:eastAsia="微软雅黑" w:cs="Times New Roman"/>
                <w:b/>
                <w:bCs/>
                <w:i w:val="0"/>
                <w:iCs w:val="0"/>
                <w:color w:val="000000"/>
                <w:kern w:val="0"/>
                <w:sz w:val="24"/>
                <w:szCs w:val="24"/>
                <w:highlight w:val="none"/>
                <w:u w:val="none"/>
                <w:lang w:val="en-US" w:eastAsia="zh-CN" w:bidi="ar"/>
              </w:rPr>
              <w:br w:type="textWrapping"/>
            </w:r>
            <w:r>
              <w:rPr>
                <w:rFonts w:hint="default" w:ascii="Times New Roman" w:hAnsi="Times New Roman" w:eastAsia="微软雅黑" w:cs="Times New Roman"/>
                <w:b/>
                <w:bCs/>
                <w:i w:val="0"/>
                <w:iCs w:val="0"/>
                <w:color w:val="000000"/>
                <w:kern w:val="0"/>
                <w:sz w:val="24"/>
                <w:szCs w:val="24"/>
                <w:highlight w:val="none"/>
                <w:u w:val="none"/>
                <w:lang w:val="en-US" w:eastAsia="zh-CN" w:bidi="ar"/>
              </w:rPr>
              <w:t>N = 149</w:t>
            </w:r>
          </w:p>
        </w:tc>
        <w:tc>
          <w:tcPr>
            <w:tcW w:w="2911" w:type="dxa"/>
            <w:tcBorders>
              <w:top w:val="single" w:color="000000" w:sz="12" w:space="0"/>
              <w:left w:val="nil"/>
              <w:bottom w:val="single" w:color="000000" w:sz="4" w:space="0"/>
              <w:right w:val="nil"/>
            </w:tcBorders>
            <w:shd w:val="clear" w:color="auto" w:fill="FFFFFF"/>
            <w:vAlign w:val="center"/>
          </w:tcPr>
          <w:p w14:paraId="082561E7">
            <w:pPr>
              <w:keepNext w:val="0"/>
              <w:keepLines w:val="0"/>
              <w:widowControl/>
              <w:suppressLineNumbers w:val="0"/>
              <w:jc w:val="center"/>
              <w:textAlignment w:val="center"/>
              <w:rPr>
                <w:rFonts w:hint="default" w:ascii="Times New Roman" w:hAnsi="Times New Roman" w:eastAsia="微软雅黑" w:cs="Times New Roman"/>
                <w:b/>
                <w:bCs/>
                <w:i w:val="0"/>
                <w:iCs w:val="0"/>
                <w:color w:val="000000"/>
                <w:sz w:val="24"/>
                <w:szCs w:val="24"/>
                <w:highlight w:val="none"/>
                <w:u w:val="none"/>
              </w:rPr>
            </w:pPr>
            <w:r>
              <w:rPr>
                <w:rFonts w:hint="default" w:ascii="Times New Roman" w:hAnsi="Times New Roman" w:eastAsia="微软雅黑" w:cs="Times New Roman"/>
                <w:b/>
                <w:bCs/>
                <w:i w:val="0"/>
                <w:iCs w:val="0"/>
                <w:color w:val="000000"/>
                <w:kern w:val="0"/>
                <w:sz w:val="24"/>
                <w:szCs w:val="24"/>
                <w:highlight w:val="none"/>
                <w:u w:val="none"/>
                <w:lang w:val="en-US" w:eastAsia="zh-CN" w:bidi="ar"/>
              </w:rPr>
              <w:t>LVA present</w:t>
            </w:r>
            <w:r>
              <w:rPr>
                <w:rFonts w:hint="default" w:ascii="Times New Roman" w:hAnsi="Times New Roman" w:eastAsia="微软雅黑" w:cs="Times New Roman"/>
                <w:b/>
                <w:bCs/>
                <w:i w:val="0"/>
                <w:iCs w:val="0"/>
                <w:color w:val="000000"/>
                <w:kern w:val="0"/>
                <w:sz w:val="24"/>
                <w:szCs w:val="24"/>
                <w:highlight w:val="none"/>
                <w:u w:val="none"/>
                <w:lang w:val="en-US" w:eastAsia="zh-CN" w:bidi="ar"/>
              </w:rPr>
              <w:br w:type="textWrapping"/>
            </w:r>
            <w:r>
              <w:rPr>
                <w:rFonts w:hint="default" w:ascii="Times New Roman" w:hAnsi="Times New Roman" w:eastAsia="微软雅黑" w:cs="Times New Roman"/>
                <w:b/>
                <w:bCs/>
                <w:i w:val="0"/>
                <w:iCs w:val="0"/>
                <w:color w:val="000000"/>
                <w:kern w:val="0"/>
                <w:sz w:val="24"/>
                <w:szCs w:val="24"/>
                <w:highlight w:val="none"/>
                <w:u w:val="none"/>
                <w:lang w:val="en-US" w:eastAsia="zh-CN" w:bidi="ar"/>
              </w:rPr>
              <w:t>N = 157</w:t>
            </w:r>
          </w:p>
        </w:tc>
        <w:tc>
          <w:tcPr>
            <w:tcW w:w="1331" w:type="dxa"/>
            <w:tcBorders>
              <w:top w:val="single" w:color="000000" w:sz="12" w:space="0"/>
              <w:left w:val="nil"/>
              <w:bottom w:val="single" w:color="000000" w:sz="4" w:space="0"/>
              <w:right w:val="nil"/>
            </w:tcBorders>
            <w:shd w:val="clear" w:color="auto" w:fill="FFFFFF"/>
            <w:vAlign w:val="center"/>
          </w:tcPr>
          <w:p w14:paraId="44405BD4">
            <w:pPr>
              <w:keepNext w:val="0"/>
              <w:keepLines w:val="0"/>
              <w:widowControl/>
              <w:suppressLineNumbers w:val="0"/>
              <w:jc w:val="center"/>
              <w:textAlignment w:val="center"/>
              <w:rPr>
                <w:rFonts w:hint="default" w:ascii="Times New Roman" w:hAnsi="Times New Roman" w:eastAsia="微软雅黑" w:cs="Times New Roman"/>
                <w:b/>
                <w:bCs/>
                <w:i w:val="0"/>
                <w:iCs w:val="0"/>
                <w:color w:val="000000"/>
                <w:sz w:val="24"/>
                <w:szCs w:val="24"/>
                <w:highlight w:val="none"/>
                <w:u w:val="none"/>
              </w:rPr>
            </w:pPr>
            <w:r>
              <w:rPr>
                <w:rFonts w:hint="default" w:ascii="Times New Roman" w:hAnsi="Times New Roman" w:eastAsia="微软雅黑" w:cs="Times New Roman"/>
                <w:b/>
                <w:bCs/>
                <w:i/>
                <w:iCs/>
                <w:color w:val="000000"/>
                <w:kern w:val="0"/>
                <w:sz w:val="24"/>
                <w:szCs w:val="24"/>
                <w:highlight w:val="none"/>
                <w:u w:val="none"/>
                <w:lang w:val="en-US" w:eastAsia="zh-CN" w:bidi="ar"/>
              </w:rPr>
              <w:t>P</w:t>
            </w:r>
            <w:r>
              <w:rPr>
                <w:rFonts w:hint="default" w:ascii="Times New Roman" w:hAnsi="Times New Roman" w:eastAsia="微软雅黑" w:cs="Times New Roman"/>
                <w:b/>
                <w:bCs/>
                <w:i w:val="0"/>
                <w:iCs w:val="0"/>
                <w:color w:val="000000"/>
                <w:kern w:val="0"/>
                <w:sz w:val="24"/>
                <w:szCs w:val="24"/>
                <w:highlight w:val="none"/>
                <w:u w:val="none"/>
                <w:lang w:val="en-US" w:eastAsia="zh-CN" w:bidi="ar"/>
              </w:rPr>
              <w:t xml:space="preserve"> value</w:t>
            </w:r>
          </w:p>
        </w:tc>
      </w:tr>
      <w:tr w14:paraId="405E5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3751" w:type="dxa"/>
            <w:tcBorders>
              <w:top w:val="nil"/>
              <w:left w:val="nil"/>
              <w:bottom w:val="nil"/>
              <w:right w:val="nil"/>
            </w:tcBorders>
            <w:shd w:val="clear" w:color="auto" w:fill="FFFFFF"/>
            <w:vAlign w:val="center"/>
          </w:tcPr>
          <w:p w14:paraId="302E0C17">
            <w:pPr>
              <w:keepNext w:val="0"/>
              <w:keepLines w:val="0"/>
              <w:widowControl/>
              <w:suppressLineNumbers w:val="0"/>
              <w:jc w:val="center"/>
              <w:textAlignment w:val="center"/>
              <w:rPr>
                <w:rFonts w:hint="default" w:ascii="Times New Roman" w:hAnsi="Times New Roman" w:eastAsia="微软雅黑" w:cs="Times New Roman"/>
                <w:i w:val="0"/>
                <w:iCs w:val="0"/>
                <w:color w:val="08090C"/>
                <w:sz w:val="24"/>
                <w:szCs w:val="24"/>
                <w:highlight w:val="none"/>
                <w:u w:val="none"/>
              </w:rPr>
            </w:pPr>
            <w:r>
              <w:rPr>
                <w:rFonts w:hint="default" w:ascii="Times New Roman" w:hAnsi="Times New Roman" w:eastAsia="微软雅黑" w:cs="Times New Roman"/>
                <w:i w:val="0"/>
                <w:iCs w:val="0"/>
                <w:color w:val="08090C"/>
                <w:kern w:val="0"/>
                <w:sz w:val="24"/>
                <w:szCs w:val="24"/>
                <w:highlight w:val="none"/>
                <w:u w:val="none"/>
                <w:lang w:val="en-US" w:eastAsia="zh-CN" w:bidi="ar"/>
              </w:rPr>
              <w:t>*Complete mapping proportion, %</w:t>
            </w:r>
          </w:p>
        </w:tc>
        <w:tc>
          <w:tcPr>
            <w:tcW w:w="2911" w:type="dxa"/>
            <w:tcBorders>
              <w:top w:val="nil"/>
              <w:left w:val="nil"/>
              <w:bottom w:val="nil"/>
              <w:right w:val="nil"/>
            </w:tcBorders>
            <w:shd w:val="clear" w:color="auto" w:fill="FFFFFF"/>
            <w:vAlign w:val="center"/>
          </w:tcPr>
          <w:p w14:paraId="3A46F0C0">
            <w:pPr>
              <w:keepNext w:val="0"/>
              <w:keepLines w:val="0"/>
              <w:widowControl/>
              <w:suppressLineNumbers w:val="0"/>
              <w:jc w:val="center"/>
              <w:textAlignment w:val="center"/>
              <w:rPr>
                <w:rFonts w:hint="default" w:ascii="Times New Roman" w:hAnsi="Times New Roman" w:eastAsia="微软雅黑" w:cs="Times New Roman"/>
                <w:i w:val="0"/>
                <w:iCs w:val="0"/>
                <w:color w:val="08090C"/>
                <w:sz w:val="24"/>
                <w:szCs w:val="24"/>
                <w:highlight w:val="none"/>
                <w:u w:val="none"/>
              </w:rPr>
            </w:pPr>
            <w:r>
              <w:rPr>
                <w:rFonts w:hint="default" w:ascii="Times New Roman" w:hAnsi="Times New Roman" w:eastAsia="微软雅黑" w:cs="Times New Roman"/>
                <w:i w:val="0"/>
                <w:iCs w:val="0"/>
                <w:color w:val="08090C"/>
                <w:kern w:val="0"/>
                <w:sz w:val="24"/>
                <w:szCs w:val="24"/>
                <w:highlight w:val="none"/>
                <w:u w:val="none"/>
                <w:lang w:val="en-US" w:eastAsia="zh-CN" w:bidi="ar"/>
              </w:rPr>
              <w:t>93.71%</w:t>
            </w:r>
          </w:p>
        </w:tc>
        <w:tc>
          <w:tcPr>
            <w:tcW w:w="2911" w:type="dxa"/>
            <w:tcBorders>
              <w:top w:val="nil"/>
              <w:left w:val="nil"/>
              <w:bottom w:val="nil"/>
              <w:right w:val="nil"/>
            </w:tcBorders>
            <w:shd w:val="clear" w:color="auto" w:fill="FFFFFF"/>
            <w:vAlign w:val="center"/>
          </w:tcPr>
          <w:p w14:paraId="520409B1">
            <w:pPr>
              <w:keepNext w:val="0"/>
              <w:keepLines w:val="0"/>
              <w:widowControl/>
              <w:suppressLineNumbers w:val="0"/>
              <w:jc w:val="center"/>
              <w:textAlignment w:val="center"/>
              <w:rPr>
                <w:rFonts w:hint="default" w:ascii="Times New Roman" w:hAnsi="Times New Roman" w:eastAsia="微软雅黑" w:cs="Times New Roman"/>
                <w:i w:val="0"/>
                <w:iCs w:val="0"/>
                <w:color w:val="08090C"/>
                <w:sz w:val="24"/>
                <w:szCs w:val="24"/>
                <w:highlight w:val="none"/>
                <w:u w:val="none"/>
              </w:rPr>
            </w:pPr>
            <w:r>
              <w:rPr>
                <w:rFonts w:hint="default" w:ascii="Times New Roman" w:hAnsi="Times New Roman" w:eastAsia="微软雅黑" w:cs="Times New Roman"/>
                <w:i w:val="0"/>
                <w:iCs w:val="0"/>
                <w:color w:val="08090C"/>
                <w:kern w:val="0"/>
                <w:sz w:val="24"/>
                <w:szCs w:val="24"/>
                <w:highlight w:val="none"/>
                <w:u w:val="none"/>
                <w:lang w:val="en-US" w:eastAsia="zh-CN" w:bidi="ar"/>
              </w:rPr>
              <w:t>93.45%</w:t>
            </w:r>
          </w:p>
        </w:tc>
        <w:tc>
          <w:tcPr>
            <w:tcW w:w="1331" w:type="dxa"/>
            <w:tcBorders>
              <w:top w:val="nil"/>
              <w:left w:val="nil"/>
              <w:bottom w:val="nil"/>
              <w:right w:val="nil"/>
            </w:tcBorders>
            <w:shd w:val="clear" w:color="auto" w:fill="FFFFFF"/>
            <w:vAlign w:val="center"/>
          </w:tcPr>
          <w:p w14:paraId="2B39E189">
            <w:pPr>
              <w:keepNext w:val="0"/>
              <w:keepLines w:val="0"/>
              <w:widowControl/>
              <w:suppressLineNumbers w:val="0"/>
              <w:jc w:val="center"/>
              <w:textAlignment w:val="center"/>
              <w:rPr>
                <w:rFonts w:hint="default" w:ascii="Times New Roman" w:hAnsi="Times New Roman" w:eastAsia="微软雅黑" w:cs="Times New Roman"/>
                <w:i w:val="0"/>
                <w:iCs w:val="0"/>
                <w:color w:val="08090C"/>
                <w:sz w:val="24"/>
                <w:szCs w:val="24"/>
                <w:highlight w:val="none"/>
                <w:u w:val="none"/>
              </w:rPr>
            </w:pPr>
            <w:r>
              <w:rPr>
                <w:rFonts w:hint="default" w:ascii="Times New Roman" w:hAnsi="Times New Roman" w:eastAsia="微软雅黑" w:cs="Times New Roman"/>
                <w:i w:val="0"/>
                <w:iCs w:val="0"/>
                <w:color w:val="08090C"/>
                <w:kern w:val="0"/>
                <w:sz w:val="24"/>
                <w:szCs w:val="24"/>
                <w:highlight w:val="none"/>
                <w:u w:val="none"/>
                <w:lang w:val="en-US" w:eastAsia="zh-CN" w:bidi="ar"/>
              </w:rPr>
              <w:t>0.93</w:t>
            </w:r>
          </w:p>
        </w:tc>
      </w:tr>
      <w:tr w14:paraId="25F39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3751" w:type="dxa"/>
            <w:tcBorders>
              <w:top w:val="nil"/>
              <w:left w:val="nil"/>
              <w:bottom w:val="single" w:color="000000" w:sz="12" w:space="0"/>
              <w:right w:val="nil"/>
            </w:tcBorders>
            <w:shd w:val="clear" w:color="auto" w:fill="FFFFFF"/>
            <w:vAlign w:val="center"/>
          </w:tcPr>
          <w:p w14:paraId="36CC32B7">
            <w:pPr>
              <w:keepNext w:val="0"/>
              <w:keepLines w:val="0"/>
              <w:widowControl/>
              <w:suppressLineNumbers w:val="0"/>
              <w:jc w:val="center"/>
              <w:textAlignment w:val="center"/>
              <w:rPr>
                <w:rFonts w:hint="default" w:ascii="Times New Roman" w:hAnsi="Times New Roman" w:eastAsia="微软雅黑" w:cs="Times New Roman"/>
                <w:i w:val="0"/>
                <w:iCs w:val="0"/>
                <w:color w:val="08090C"/>
                <w:sz w:val="24"/>
                <w:szCs w:val="24"/>
                <w:highlight w:val="none"/>
                <w:u w:val="none"/>
              </w:rPr>
            </w:pPr>
            <w:r>
              <w:rPr>
                <w:rFonts w:hint="default" w:ascii="Times New Roman" w:hAnsi="Times New Roman" w:eastAsia="微软雅黑" w:cs="Times New Roman"/>
                <w:i w:val="0"/>
                <w:iCs w:val="0"/>
                <w:color w:val="08090C"/>
                <w:kern w:val="0"/>
                <w:sz w:val="24"/>
                <w:szCs w:val="24"/>
                <w:highlight w:val="none"/>
                <w:u w:val="none"/>
                <w:lang w:val="en-US" w:eastAsia="zh-CN" w:bidi="ar"/>
              </w:rPr>
              <w:t>Mapping point count</w:t>
            </w:r>
          </w:p>
        </w:tc>
        <w:tc>
          <w:tcPr>
            <w:tcW w:w="2911" w:type="dxa"/>
            <w:tcBorders>
              <w:top w:val="nil"/>
              <w:left w:val="nil"/>
              <w:bottom w:val="single" w:color="000000" w:sz="12" w:space="0"/>
              <w:right w:val="nil"/>
            </w:tcBorders>
            <w:shd w:val="clear" w:color="auto" w:fill="FFFFFF"/>
            <w:vAlign w:val="center"/>
          </w:tcPr>
          <w:p w14:paraId="75B7D0AD">
            <w:pPr>
              <w:keepNext w:val="0"/>
              <w:keepLines w:val="0"/>
              <w:widowControl/>
              <w:suppressLineNumbers w:val="0"/>
              <w:jc w:val="center"/>
              <w:textAlignment w:val="center"/>
              <w:rPr>
                <w:rFonts w:hint="default" w:ascii="Times New Roman" w:hAnsi="Times New Roman" w:eastAsia="微软雅黑" w:cs="Times New Roman"/>
                <w:i w:val="0"/>
                <w:iCs w:val="0"/>
                <w:color w:val="08090C"/>
                <w:sz w:val="24"/>
                <w:szCs w:val="24"/>
                <w:highlight w:val="none"/>
                <w:u w:val="none"/>
              </w:rPr>
            </w:pPr>
            <w:r>
              <w:rPr>
                <w:rFonts w:hint="default" w:ascii="Times New Roman" w:hAnsi="Times New Roman" w:eastAsia="微软雅黑" w:cs="Times New Roman"/>
                <w:i w:val="0"/>
                <w:iCs w:val="0"/>
                <w:color w:val="08090C"/>
                <w:kern w:val="0"/>
                <w:sz w:val="24"/>
                <w:szCs w:val="24"/>
                <w:highlight w:val="none"/>
                <w:u w:val="none"/>
                <w:lang w:val="en-US" w:eastAsia="zh-CN" w:bidi="ar"/>
              </w:rPr>
              <w:t>880.00 [649.00, 1,304.00]</w:t>
            </w:r>
          </w:p>
        </w:tc>
        <w:tc>
          <w:tcPr>
            <w:tcW w:w="2911" w:type="dxa"/>
            <w:tcBorders>
              <w:top w:val="nil"/>
              <w:left w:val="nil"/>
              <w:bottom w:val="single" w:color="000000" w:sz="12" w:space="0"/>
              <w:right w:val="nil"/>
            </w:tcBorders>
            <w:shd w:val="clear" w:color="auto" w:fill="FFFFFF"/>
            <w:vAlign w:val="center"/>
          </w:tcPr>
          <w:p w14:paraId="61F330B8">
            <w:pPr>
              <w:keepNext w:val="0"/>
              <w:keepLines w:val="0"/>
              <w:widowControl/>
              <w:suppressLineNumbers w:val="0"/>
              <w:jc w:val="center"/>
              <w:textAlignment w:val="center"/>
              <w:rPr>
                <w:rFonts w:hint="default" w:ascii="Times New Roman" w:hAnsi="Times New Roman" w:eastAsia="微软雅黑" w:cs="Times New Roman"/>
                <w:i w:val="0"/>
                <w:iCs w:val="0"/>
                <w:color w:val="08090C"/>
                <w:sz w:val="24"/>
                <w:szCs w:val="24"/>
                <w:highlight w:val="none"/>
                <w:u w:val="none"/>
              </w:rPr>
            </w:pPr>
            <w:r>
              <w:rPr>
                <w:rFonts w:hint="default" w:ascii="Times New Roman" w:hAnsi="Times New Roman" w:eastAsia="微软雅黑" w:cs="Times New Roman"/>
                <w:i w:val="0"/>
                <w:iCs w:val="0"/>
                <w:color w:val="08090C"/>
                <w:kern w:val="0"/>
                <w:sz w:val="24"/>
                <w:szCs w:val="24"/>
                <w:highlight w:val="none"/>
                <w:u w:val="none"/>
                <w:lang w:val="en-US" w:eastAsia="zh-CN" w:bidi="ar"/>
              </w:rPr>
              <w:t>828.00 [602.00, 1,316.00]</w:t>
            </w:r>
          </w:p>
        </w:tc>
        <w:tc>
          <w:tcPr>
            <w:tcW w:w="1331" w:type="dxa"/>
            <w:tcBorders>
              <w:top w:val="nil"/>
              <w:left w:val="nil"/>
              <w:bottom w:val="single" w:color="000000" w:sz="12" w:space="0"/>
              <w:right w:val="nil"/>
            </w:tcBorders>
            <w:shd w:val="clear" w:color="auto" w:fill="FFFFFF"/>
            <w:vAlign w:val="center"/>
          </w:tcPr>
          <w:p w14:paraId="2B6E2BA6">
            <w:pPr>
              <w:keepNext w:val="0"/>
              <w:keepLines w:val="0"/>
              <w:widowControl/>
              <w:suppressLineNumbers w:val="0"/>
              <w:jc w:val="center"/>
              <w:textAlignment w:val="center"/>
              <w:rPr>
                <w:rFonts w:hint="default" w:ascii="Times New Roman" w:hAnsi="Times New Roman" w:eastAsia="微软雅黑" w:cs="Times New Roman"/>
                <w:i w:val="0"/>
                <w:iCs w:val="0"/>
                <w:color w:val="08090C"/>
                <w:sz w:val="24"/>
                <w:szCs w:val="24"/>
                <w:highlight w:val="none"/>
                <w:u w:val="none"/>
              </w:rPr>
            </w:pPr>
            <w:r>
              <w:rPr>
                <w:rFonts w:hint="default" w:ascii="Times New Roman" w:hAnsi="Times New Roman" w:eastAsia="微软雅黑" w:cs="Times New Roman"/>
                <w:i w:val="0"/>
                <w:iCs w:val="0"/>
                <w:color w:val="08090C"/>
                <w:kern w:val="0"/>
                <w:sz w:val="24"/>
                <w:szCs w:val="24"/>
                <w:highlight w:val="none"/>
                <w:u w:val="none"/>
                <w:lang w:val="en-US" w:eastAsia="zh-CN" w:bidi="ar"/>
              </w:rPr>
              <w:t>0.5</w:t>
            </w:r>
          </w:p>
        </w:tc>
      </w:tr>
    </w:tbl>
    <w:p w14:paraId="2C52A5A6">
      <w:pPr>
        <w:keepNext w:val="0"/>
        <w:keepLines w:val="0"/>
        <w:widowControl/>
        <w:suppressLineNumbers w:val="0"/>
        <w:spacing w:line="480" w:lineRule="auto"/>
        <w:jc w:val="left"/>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val="en-US" w:eastAsia="zh-CN" w:bidi="ar"/>
        </w:rPr>
        <w:t>*</w:t>
      </w:r>
      <w:r>
        <w:rPr>
          <w:rFonts w:hint="default" w:ascii="Times New Roman" w:hAnsi="Times New Roman" w:eastAsia="宋体" w:cs="Times New Roman"/>
          <w:sz w:val="24"/>
          <w:szCs w:val="24"/>
          <w:highlight w:val="none"/>
          <w:lang w:bidi="ar"/>
        </w:rPr>
        <w:t>Complete mapping proportion was calculated within the sinus-rhythm mapping subgroup as the number of patients with complete quantitative mapping data divided by the total number of patients in each LVA-status subgroup: 149/159 patients without LVAs and 157/168 patients with LVAs.</w:t>
      </w:r>
    </w:p>
    <w:p w14:paraId="3963BC17">
      <w:pPr>
        <w:keepNext w:val="0"/>
        <w:keepLines w:val="0"/>
        <w:widowControl/>
        <w:suppressLineNumbers w:val="0"/>
        <w:spacing w:line="480" w:lineRule="auto"/>
        <w:jc w:val="left"/>
        <w:rPr>
          <w:rFonts w:hint="default" w:ascii="Times New Roman" w:hAnsi="Times New Roman" w:eastAsia="宋体" w:cs="Times New Roman"/>
          <w:b/>
          <w:bCs w:val="0"/>
          <w:sz w:val="24"/>
          <w:szCs w:val="24"/>
          <w:highlight w:val="none"/>
          <w:lang w:bidi="ar"/>
        </w:rPr>
      </w:pPr>
      <w:r>
        <w:rPr>
          <w:rFonts w:hint="default" w:ascii="Times New Roman" w:hAnsi="Times New Roman" w:eastAsia="宋体" w:cs="Times New Roman"/>
          <w:sz w:val="24"/>
          <w:szCs w:val="24"/>
          <w:highlight w:val="none"/>
          <w:lang w:bidi="ar"/>
        </w:rPr>
        <w:t>Continuous variables are presented as median [interquartile range], and categorical variables are presented as n (%) or percentages, as appropriate. Comparisons between groups were performed using the Wilcoxon rank-sum test for continuous variables and the chi-square test or Fisher’s exact test for categorical variables, as appropriate.</w:t>
      </w:r>
    </w:p>
    <w:p w14:paraId="6A6C93BF">
      <w:pPr>
        <w:keepNext w:val="0"/>
        <w:keepLines w:val="0"/>
        <w:widowControl/>
        <w:suppressLineNumbers w:val="0"/>
        <w:spacing w:line="480" w:lineRule="auto"/>
        <w:jc w:val="left"/>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b/>
          <w:bCs w:val="0"/>
          <w:sz w:val="24"/>
          <w:szCs w:val="24"/>
          <w:highlight w:val="none"/>
          <w:lang w:bidi="ar"/>
        </w:rPr>
        <w:t>Abbreviations:</w:t>
      </w:r>
      <w:r>
        <w:rPr>
          <w:rFonts w:hint="default" w:ascii="Times New Roman" w:hAnsi="Times New Roman" w:eastAsia="宋体" w:cs="Times New Roman"/>
          <w:sz w:val="24"/>
          <w:szCs w:val="24"/>
          <w:highlight w:val="none"/>
        </w:rPr>
        <w:t xml:space="preserve"> </w:t>
      </w:r>
      <w:r>
        <w:rPr>
          <w:rFonts w:hint="default" w:ascii="Times New Roman" w:hAnsi="Times New Roman" w:eastAsia="宋体" w:cs="Times New Roman"/>
          <w:sz w:val="24"/>
          <w:szCs w:val="24"/>
          <w:highlight w:val="none"/>
          <w:lang w:bidi="ar"/>
        </w:rPr>
        <w:t>LVA</w:t>
      </w:r>
      <w:r>
        <w:rPr>
          <w:rFonts w:hint="default" w:ascii="Times New Roman" w:hAnsi="Times New Roman" w:eastAsia="宋体" w:cs="Times New Roman"/>
          <w:sz w:val="24"/>
          <w:szCs w:val="24"/>
          <w:highlight w:val="none"/>
          <w:lang w:val="en-US" w:eastAsia="zh-CN" w:bidi="ar"/>
        </w:rPr>
        <w:t>s</w:t>
      </w:r>
      <w:r>
        <w:rPr>
          <w:rFonts w:hint="default" w:ascii="Times New Roman" w:hAnsi="Times New Roman" w:eastAsia="宋体" w:cs="Times New Roman"/>
          <w:sz w:val="24"/>
          <w:szCs w:val="24"/>
          <w:highlight w:val="none"/>
          <w:lang w:bidi="ar"/>
        </w:rPr>
        <w:t>, left atrial low-voltage area.</w:t>
      </w:r>
    </w:p>
    <w:p w14:paraId="7B5DB49A">
      <w:pPr>
        <w:keepNext w:val="0"/>
        <w:keepLines w:val="0"/>
        <w:widowControl/>
        <w:suppressLineNumbers w:val="0"/>
        <w:spacing w:line="480" w:lineRule="auto"/>
        <w:jc w:val="left"/>
        <w:rPr>
          <w:rFonts w:hint="default" w:ascii="Times New Roman" w:hAnsi="Times New Roman" w:cs="Times New Roman" w:eastAsiaTheme="minorEastAsia"/>
          <w:b/>
          <w:bCs/>
          <w:kern w:val="0"/>
          <w:sz w:val="24"/>
          <w:szCs w:val="24"/>
          <w:highlight w:val="none"/>
          <w:lang w:bidi="ar"/>
        </w:rPr>
      </w:pPr>
    </w:p>
    <w:p w14:paraId="0CF409C7">
      <w:pPr>
        <w:keepNext w:val="0"/>
        <w:keepLines w:val="0"/>
        <w:widowControl/>
        <w:suppressLineNumbers w:val="0"/>
        <w:spacing w:line="480" w:lineRule="auto"/>
        <w:jc w:val="left"/>
        <w:rPr>
          <w:rFonts w:hint="default" w:ascii="Times New Roman" w:hAnsi="Times New Roman" w:cs="Times New Roman" w:eastAsiaTheme="minorEastAsia"/>
          <w:kern w:val="0"/>
          <w:sz w:val="24"/>
          <w:szCs w:val="24"/>
          <w:highlight w:val="none"/>
          <w:lang w:bidi="ar"/>
        </w:rPr>
      </w:pPr>
      <w:r>
        <w:rPr>
          <w:rFonts w:hint="default" w:ascii="Times New Roman" w:hAnsi="Times New Roman" w:cs="Times New Roman" w:eastAsiaTheme="minorEastAsia"/>
          <w:b/>
          <w:bCs/>
          <w:kern w:val="0"/>
          <w:sz w:val="24"/>
          <w:szCs w:val="24"/>
          <w:highlight w:val="none"/>
          <w:lang w:bidi="ar"/>
        </w:rPr>
        <w:t>Supplementary Table S</w:t>
      </w:r>
      <w:r>
        <w:rPr>
          <w:rFonts w:hint="default" w:ascii="Times New Roman" w:hAnsi="Times New Roman" w:cs="Times New Roman"/>
          <w:b/>
          <w:bCs/>
          <w:kern w:val="0"/>
          <w:sz w:val="24"/>
          <w:szCs w:val="24"/>
          <w:highlight w:val="none"/>
          <w:lang w:val="en-US" w:eastAsia="zh-CN" w:bidi="ar"/>
        </w:rPr>
        <w:t>20</w:t>
      </w:r>
      <w:r>
        <w:rPr>
          <w:rFonts w:hint="default" w:ascii="Times New Roman" w:hAnsi="Times New Roman" w:cs="Times New Roman" w:eastAsiaTheme="minorEastAsia"/>
          <w:b/>
          <w:bCs/>
          <w:kern w:val="0"/>
          <w:sz w:val="24"/>
          <w:szCs w:val="24"/>
          <w:highlight w:val="none"/>
          <w:lang w:bidi="ar"/>
        </w:rPr>
        <w:t>.</w:t>
      </w:r>
      <w:r>
        <w:rPr>
          <w:rFonts w:hint="default" w:ascii="Times New Roman" w:hAnsi="Times New Roman" w:eastAsia="宋体" w:cs="Times New Roman"/>
          <w:sz w:val="24"/>
          <w:szCs w:val="24"/>
          <w:highlight w:val="none"/>
        </w:rPr>
        <w:t xml:space="preserve"> </w:t>
      </w:r>
      <w:r>
        <w:rPr>
          <w:rFonts w:hint="default" w:ascii="Times New Roman" w:hAnsi="Times New Roman" w:cs="Times New Roman" w:eastAsiaTheme="minorEastAsia"/>
          <w:kern w:val="0"/>
          <w:sz w:val="24"/>
          <w:szCs w:val="24"/>
          <w:highlight w:val="none"/>
          <w:lang w:bidi="ar"/>
        </w:rPr>
        <w:t>Regional distribution of left atrial low-voltage areas in the sinus-rhythm subgroup with complete quantitative data.</w:t>
      </w:r>
    </w:p>
    <w:tbl>
      <w:tblPr>
        <w:tblStyle w:val="8"/>
        <w:tblW w:w="85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297"/>
        <w:gridCol w:w="2791"/>
        <w:gridCol w:w="3416"/>
      </w:tblGrid>
      <w:tr w14:paraId="4D143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3360" w:type="dxa"/>
            <w:tcBorders>
              <w:top w:val="single" w:color="000000" w:sz="12" w:space="0"/>
              <w:left w:val="nil"/>
              <w:bottom w:val="single" w:color="000000" w:sz="4" w:space="0"/>
              <w:right w:val="nil"/>
              <w:tl2br w:val="nil"/>
            </w:tcBorders>
            <w:shd w:val="clear" w:color="auto" w:fill="FFFFFF"/>
            <w:vAlign w:val="center"/>
          </w:tcPr>
          <w:p w14:paraId="07DCCA95">
            <w:pPr>
              <w:keepNext w:val="0"/>
              <w:keepLines w:val="0"/>
              <w:widowControl/>
              <w:suppressLineNumbers w:val="0"/>
              <w:jc w:val="center"/>
              <w:textAlignment w:val="center"/>
              <w:rPr>
                <w:rFonts w:hint="default" w:ascii="Times New Roman" w:hAnsi="Times New Roman" w:eastAsia="Carlito" w:cs="Times New Roman"/>
                <w:b/>
                <w:bCs w:val="0"/>
                <w:i w:val="0"/>
                <w:iCs w:val="0"/>
                <w:color w:val="000000"/>
                <w:sz w:val="24"/>
                <w:szCs w:val="24"/>
                <w:highlight w:val="none"/>
                <w:u w:val="none"/>
              </w:rPr>
            </w:pPr>
            <w:r>
              <w:rPr>
                <w:rFonts w:hint="default" w:ascii="Times New Roman" w:hAnsi="Times New Roman" w:eastAsia="Carlito" w:cs="Times New Roman"/>
                <w:b/>
                <w:bCs w:val="0"/>
                <w:i w:val="0"/>
                <w:iCs w:val="0"/>
                <w:color w:val="000000"/>
                <w:kern w:val="0"/>
                <w:sz w:val="24"/>
                <w:szCs w:val="24"/>
                <w:highlight w:val="none"/>
                <w:u w:val="none"/>
                <w:lang w:val="en-US" w:eastAsia="zh-CN" w:bidi="ar"/>
              </w:rPr>
              <w:t>Region</w:t>
            </w:r>
          </w:p>
        </w:tc>
        <w:tc>
          <w:tcPr>
            <w:tcW w:w="4080" w:type="dxa"/>
            <w:tcBorders>
              <w:top w:val="single" w:color="000000" w:sz="12" w:space="0"/>
              <w:left w:val="nil"/>
              <w:bottom w:val="single" w:color="000000" w:sz="4" w:space="0"/>
              <w:right w:val="nil"/>
            </w:tcBorders>
            <w:shd w:val="clear" w:color="auto" w:fill="FFFFFF"/>
            <w:vAlign w:val="center"/>
          </w:tcPr>
          <w:p w14:paraId="63F8A19A">
            <w:pPr>
              <w:keepNext w:val="0"/>
              <w:keepLines w:val="0"/>
              <w:widowControl/>
              <w:suppressLineNumbers w:val="0"/>
              <w:jc w:val="center"/>
              <w:textAlignment w:val="center"/>
              <w:rPr>
                <w:rFonts w:hint="default" w:ascii="Times New Roman" w:hAnsi="Times New Roman" w:eastAsia="Carlito" w:cs="Times New Roman"/>
                <w:b/>
                <w:bCs w:val="0"/>
                <w:i w:val="0"/>
                <w:iCs w:val="0"/>
                <w:color w:val="000000"/>
                <w:sz w:val="24"/>
                <w:szCs w:val="24"/>
                <w:highlight w:val="none"/>
                <w:u w:val="none"/>
              </w:rPr>
            </w:pPr>
            <w:r>
              <w:rPr>
                <w:rFonts w:hint="default" w:ascii="Times New Roman" w:hAnsi="Times New Roman" w:eastAsia="Carlito" w:cs="Times New Roman"/>
                <w:b/>
                <w:bCs w:val="0"/>
                <w:i w:val="0"/>
                <w:iCs w:val="0"/>
                <w:color w:val="000000"/>
                <w:kern w:val="0"/>
                <w:sz w:val="24"/>
                <w:szCs w:val="24"/>
                <w:highlight w:val="none"/>
                <w:u w:val="none"/>
                <w:lang w:val="en-US" w:eastAsia="zh-CN" w:bidi="ar"/>
              </w:rPr>
              <w:t>Patients with regional LVA involvement, n (%)</w:t>
            </w:r>
          </w:p>
        </w:tc>
        <w:tc>
          <w:tcPr>
            <w:tcW w:w="5760" w:type="dxa"/>
            <w:tcBorders>
              <w:top w:val="single" w:color="000000" w:sz="12" w:space="0"/>
              <w:left w:val="nil"/>
              <w:bottom w:val="single" w:color="000000" w:sz="4" w:space="0"/>
              <w:right w:val="nil"/>
            </w:tcBorders>
            <w:shd w:val="clear" w:color="auto" w:fill="FFFFFF"/>
            <w:vAlign w:val="center"/>
          </w:tcPr>
          <w:p w14:paraId="6100593E">
            <w:pPr>
              <w:keepNext w:val="0"/>
              <w:keepLines w:val="0"/>
              <w:widowControl/>
              <w:suppressLineNumbers w:val="0"/>
              <w:jc w:val="center"/>
              <w:textAlignment w:val="center"/>
              <w:rPr>
                <w:rFonts w:hint="default" w:ascii="Times New Roman" w:hAnsi="Times New Roman" w:eastAsia="Carlito" w:cs="Times New Roman"/>
                <w:b/>
                <w:bCs w:val="0"/>
                <w:i w:val="0"/>
                <w:iCs w:val="0"/>
                <w:color w:val="000000"/>
                <w:sz w:val="24"/>
                <w:szCs w:val="24"/>
                <w:highlight w:val="none"/>
                <w:u w:val="none"/>
              </w:rPr>
            </w:pPr>
            <w:r>
              <w:rPr>
                <w:rFonts w:hint="default" w:ascii="Times New Roman" w:hAnsi="Times New Roman" w:eastAsia="Carlito" w:cs="Times New Roman"/>
                <w:b/>
                <w:bCs w:val="0"/>
                <w:i w:val="0"/>
                <w:iCs w:val="0"/>
                <w:color w:val="000000"/>
                <w:kern w:val="0"/>
                <w:sz w:val="24"/>
                <w:szCs w:val="24"/>
                <w:highlight w:val="none"/>
                <w:u w:val="none"/>
                <w:lang w:val="en-US" w:eastAsia="zh-CN" w:bidi="ar"/>
              </w:rPr>
              <w:t>Regional LVA burden among patients with LVAs, median [IQR]</w:t>
            </w:r>
          </w:p>
        </w:tc>
      </w:tr>
      <w:tr w14:paraId="6E44E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3360" w:type="dxa"/>
            <w:tcBorders>
              <w:top w:val="single" w:color="000000" w:sz="4" w:space="0"/>
              <w:left w:val="nil"/>
              <w:bottom w:val="nil"/>
              <w:right w:val="nil"/>
            </w:tcBorders>
            <w:shd w:val="clear" w:color="auto" w:fill="FFFFFF"/>
            <w:vAlign w:val="center"/>
          </w:tcPr>
          <w:p w14:paraId="6A49BAFD">
            <w:pPr>
              <w:keepNext w:val="0"/>
              <w:keepLines w:val="0"/>
              <w:widowControl/>
              <w:suppressLineNumbers w:val="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Any LVA / Total LVA burden</w:t>
            </w:r>
          </w:p>
        </w:tc>
        <w:tc>
          <w:tcPr>
            <w:tcW w:w="4080" w:type="dxa"/>
            <w:tcBorders>
              <w:top w:val="single" w:color="000000" w:sz="4" w:space="0"/>
              <w:left w:val="nil"/>
              <w:bottom w:val="nil"/>
              <w:right w:val="nil"/>
            </w:tcBorders>
            <w:shd w:val="clear" w:color="auto" w:fill="FFFFFF"/>
            <w:vAlign w:val="center"/>
          </w:tcPr>
          <w:p w14:paraId="3CE7FB12">
            <w:pPr>
              <w:keepNext w:val="0"/>
              <w:keepLines w:val="0"/>
              <w:widowControl/>
              <w:suppressLineNumbers w:val="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157 (51.3%)</w:t>
            </w:r>
          </w:p>
        </w:tc>
        <w:tc>
          <w:tcPr>
            <w:tcW w:w="5760" w:type="dxa"/>
            <w:tcBorders>
              <w:top w:val="single" w:color="000000" w:sz="4" w:space="0"/>
              <w:left w:val="nil"/>
              <w:bottom w:val="nil"/>
              <w:right w:val="nil"/>
            </w:tcBorders>
            <w:shd w:val="clear" w:color="auto" w:fill="FFFFFF"/>
            <w:vAlign w:val="center"/>
          </w:tcPr>
          <w:p w14:paraId="4DC52BC0">
            <w:pPr>
              <w:keepNext w:val="0"/>
              <w:keepLines w:val="0"/>
              <w:widowControl/>
              <w:suppressLineNumbers w:val="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9.00 [4.20, 14.70]</w:t>
            </w:r>
          </w:p>
        </w:tc>
      </w:tr>
      <w:tr w14:paraId="01F89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3360" w:type="dxa"/>
            <w:tcBorders>
              <w:top w:val="nil"/>
              <w:left w:val="nil"/>
              <w:bottom w:val="nil"/>
              <w:right w:val="nil"/>
            </w:tcBorders>
            <w:shd w:val="clear" w:color="auto" w:fill="FFFFFF"/>
            <w:vAlign w:val="center"/>
          </w:tcPr>
          <w:p w14:paraId="5FD8FE25">
            <w:pPr>
              <w:keepNext w:val="0"/>
              <w:keepLines w:val="0"/>
              <w:widowControl/>
              <w:suppressLineNumbers w:val="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Anterior wall</w:t>
            </w:r>
          </w:p>
        </w:tc>
        <w:tc>
          <w:tcPr>
            <w:tcW w:w="4080" w:type="dxa"/>
            <w:tcBorders>
              <w:top w:val="nil"/>
              <w:left w:val="nil"/>
              <w:bottom w:val="nil"/>
              <w:right w:val="nil"/>
            </w:tcBorders>
            <w:shd w:val="clear" w:color="auto" w:fill="FFFFFF"/>
            <w:vAlign w:val="center"/>
          </w:tcPr>
          <w:p w14:paraId="2D4E3483">
            <w:pPr>
              <w:keepNext w:val="0"/>
              <w:keepLines w:val="0"/>
              <w:widowControl/>
              <w:suppressLineNumbers w:val="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96 (31.4%)</w:t>
            </w:r>
          </w:p>
        </w:tc>
        <w:tc>
          <w:tcPr>
            <w:tcW w:w="5760" w:type="dxa"/>
            <w:tcBorders>
              <w:top w:val="nil"/>
              <w:left w:val="nil"/>
              <w:bottom w:val="nil"/>
              <w:right w:val="nil"/>
            </w:tcBorders>
            <w:shd w:val="clear" w:color="auto" w:fill="FFFFFF"/>
            <w:vAlign w:val="center"/>
          </w:tcPr>
          <w:p w14:paraId="506319F0">
            <w:pPr>
              <w:keepNext w:val="0"/>
              <w:keepLines w:val="0"/>
              <w:widowControl/>
              <w:suppressLineNumbers w:val="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2.00 [0.00, 6.90]</w:t>
            </w:r>
          </w:p>
        </w:tc>
      </w:tr>
      <w:tr w14:paraId="7305D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3360" w:type="dxa"/>
            <w:tcBorders>
              <w:top w:val="nil"/>
              <w:left w:val="nil"/>
              <w:bottom w:val="nil"/>
              <w:right w:val="nil"/>
            </w:tcBorders>
            <w:shd w:val="clear" w:color="auto" w:fill="FFFFFF"/>
            <w:vAlign w:val="center"/>
          </w:tcPr>
          <w:p w14:paraId="10ED2CD3">
            <w:pPr>
              <w:keepNext w:val="0"/>
              <w:keepLines w:val="0"/>
              <w:widowControl/>
              <w:suppressLineNumbers w:val="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Posterior wall</w:t>
            </w:r>
          </w:p>
        </w:tc>
        <w:tc>
          <w:tcPr>
            <w:tcW w:w="4080" w:type="dxa"/>
            <w:tcBorders>
              <w:top w:val="nil"/>
              <w:left w:val="nil"/>
              <w:bottom w:val="nil"/>
              <w:right w:val="nil"/>
            </w:tcBorders>
            <w:shd w:val="clear" w:color="auto" w:fill="FFFFFF"/>
            <w:vAlign w:val="center"/>
          </w:tcPr>
          <w:p w14:paraId="00473D6E">
            <w:pPr>
              <w:keepNext w:val="0"/>
              <w:keepLines w:val="0"/>
              <w:widowControl/>
              <w:suppressLineNumbers w:val="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104 (34.0%)</w:t>
            </w:r>
          </w:p>
        </w:tc>
        <w:tc>
          <w:tcPr>
            <w:tcW w:w="5760" w:type="dxa"/>
            <w:tcBorders>
              <w:top w:val="nil"/>
              <w:left w:val="nil"/>
              <w:bottom w:val="nil"/>
              <w:right w:val="nil"/>
            </w:tcBorders>
            <w:shd w:val="clear" w:color="auto" w:fill="FFFFFF"/>
            <w:vAlign w:val="center"/>
          </w:tcPr>
          <w:p w14:paraId="543E5995">
            <w:pPr>
              <w:keepNext w:val="0"/>
              <w:keepLines w:val="0"/>
              <w:widowControl/>
              <w:suppressLineNumbers w:val="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3.10 [0.00, 5.40]</w:t>
            </w:r>
          </w:p>
        </w:tc>
      </w:tr>
      <w:tr w14:paraId="3C7B5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3360" w:type="dxa"/>
            <w:tcBorders>
              <w:top w:val="nil"/>
              <w:left w:val="nil"/>
              <w:bottom w:val="nil"/>
              <w:right w:val="nil"/>
            </w:tcBorders>
            <w:shd w:val="clear" w:color="auto" w:fill="FFFFFF"/>
            <w:vAlign w:val="center"/>
          </w:tcPr>
          <w:p w14:paraId="3484A8C4">
            <w:pPr>
              <w:keepNext w:val="0"/>
              <w:keepLines w:val="0"/>
              <w:widowControl/>
              <w:suppressLineNumbers w:val="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Roof</w:t>
            </w:r>
          </w:p>
        </w:tc>
        <w:tc>
          <w:tcPr>
            <w:tcW w:w="4080" w:type="dxa"/>
            <w:tcBorders>
              <w:top w:val="nil"/>
              <w:left w:val="nil"/>
              <w:bottom w:val="nil"/>
              <w:right w:val="nil"/>
            </w:tcBorders>
            <w:shd w:val="clear" w:color="auto" w:fill="FFFFFF"/>
            <w:vAlign w:val="center"/>
          </w:tcPr>
          <w:p w14:paraId="6D7FD49D">
            <w:pPr>
              <w:keepNext w:val="0"/>
              <w:keepLines w:val="0"/>
              <w:widowControl/>
              <w:suppressLineNumbers w:val="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75 (24.5%)</w:t>
            </w:r>
          </w:p>
        </w:tc>
        <w:tc>
          <w:tcPr>
            <w:tcW w:w="5760" w:type="dxa"/>
            <w:tcBorders>
              <w:top w:val="nil"/>
              <w:left w:val="nil"/>
              <w:bottom w:val="nil"/>
              <w:right w:val="nil"/>
            </w:tcBorders>
            <w:shd w:val="clear" w:color="auto" w:fill="FFFFFF"/>
            <w:vAlign w:val="center"/>
          </w:tcPr>
          <w:p w14:paraId="77A926C0">
            <w:pPr>
              <w:keepNext w:val="0"/>
              <w:keepLines w:val="0"/>
              <w:widowControl/>
              <w:suppressLineNumbers w:val="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0.00 [0.00, 2.60]</w:t>
            </w:r>
          </w:p>
        </w:tc>
      </w:tr>
      <w:tr w14:paraId="020C4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3360" w:type="dxa"/>
            <w:tcBorders>
              <w:top w:val="nil"/>
              <w:left w:val="nil"/>
              <w:bottom w:val="nil"/>
              <w:right w:val="nil"/>
            </w:tcBorders>
            <w:shd w:val="clear" w:color="auto" w:fill="FFFFFF"/>
            <w:vAlign w:val="center"/>
          </w:tcPr>
          <w:p w14:paraId="12982526">
            <w:pPr>
              <w:keepNext w:val="0"/>
              <w:keepLines w:val="0"/>
              <w:widowControl/>
              <w:suppressLineNumbers w:val="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Inferior wall</w:t>
            </w:r>
          </w:p>
        </w:tc>
        <w:tc>
          <w:tcPr>
            <w:tcW w:w="4080" w:type="dxa"/>
            <w:tcBorders>
              <w:top w:val="nil"/>
              <w:left w:val="nil"/>
              <w:bottom w:val="nil"/>
              <w:right w:val="nil"/>
            </w:tcBorders>
            <w:shd w:val="clear" w:color="auto" w:fill="FFFFFF"/>
            <w:vAlign w:val="center"/>
          </w:tcPr>
          <w:p w14:paraId="2A4529B0">
            <w:pPr>
              <w:keepNext w:val="0"/>
              <w:keepLines w:val="0"/>
              <w:widowControl/>
              <w:suppressLineNumbers w:val="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45 (14.7%)</w:t>
            </w:r>
          </w:p>
        </w:tc>
        <w:tc>
          <w:tcPr>
            <w:tcW w:w="5760" w:type="dxa"/>
            <w:tcBorders>
              <w:top w:val="nil"/>
              <w:left w:val="nil"/>
              <w:bottom w:val="nil"/>
              <w:right w:val="nil"/>
            </w:tcBorders>
            <w:shd w:val="clear" w:color="auto" w:fill="FFFFFF"/>
            <w:vAlign w:val="center"/>
          </w:tcPr>
          <w:p w14:paraId="3EE5F981">
            <w:pPr>
              <w:keepNext w:val="0"/>
              <w:keepLines w:val="0"/>
              <w:widowControl/>
              <w:suppressLineNumbers w:val="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0.00 [0.00, 0.80]</w:t>
            </w:r>
          </w:p>
        </w:tc>
      </w:tr>
      <w:tr w14:paraId="4B102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3360" w:type="dxa"/>
            <w:tcBorders>
              <w:top w:val="nil"/>
              <w:left w:val="nil"/>
              <w:bottom w:val="single" w:color="000000" w:sz="12" w:space="0"/>
              <w:right w:val="nil"/>
            </w:tcBorders>
            <w:shd w:val="clear" w:color="auto" w:fill="FFFFFF"/>
            <w:vAlign w:val="center"/>
          </w:tcPr>
          <w:p w14:paraId="6556666B">
            <w:pPr>
              <w:keepNext w:val="0"/>
              <w:keepLines w:val="0"/>
              <w:widowControl/>
              <w:suppressLineNumbers w:val="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Right pulmonary vein antrum</w:t>
            </w:r>
          </w:p>
        </w:tc>
        <w:tc>
          <w:tcPr>
            <w:tcW w:w="4080" w:type="dxa"/>
            <w:tcBorders>
              <w:top w:val="nil"/>
              <w:left w:val="nil"/>
              <w:bottom w:val="single" w:color="000000" w:sz="12" w:space="0"/>
              <w:right w:val="nil"/>
            </w:tcBorders>
            <w:shd w:val="clear" w:color="auto" w:fill="FFFFFF"/>
            <w:vAlign w:val="center"/>
          </w:tcPr>
          <w:p w14:paraId="08833566">
            <w:pPr>
              <w:keepNext w:val="0"/>
              <w:keepLines w:val="0"/>
              <w:widowControl/>
              <w:suppressLineNumbers w:val="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33 (10.8%)</w:t>
            </w:r>
          </w:p>
        </w:tc>
        <w:tc>
          <w:tcPr>
            <w:tcW w:w="5760" w:type="dxa"/>
            <w:tcBorders>
              <w:top w:val="nil"/>
              <w:left w:val="nil"/>
              <w:bottom w:val="single" w:color="000000" w:sz="12" w:space="0"/>
              <w:right w:val="nil"/>
            </w:tcBorders>
            <w:shd w:val="clear" w:color="auto" w:fill="FFFFFF"/>
            <w:vAlign w:val="center"/>
          </w:tcPr>
          <w:p w14:paraId="30DDC3D8">
            <w:pPr>
              <w:keepNext w:val="0"/>
              <w:keepLines w:val="0"/>
              <w:widowControl/>
              <w:suppressLineNumbers w:val="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0.00 [0.00, 0.00]</w:t>
            </w:r>
          </w:p>
        </w:tc>
      </w:tr>
    </w:tbl>
    <w:p w14:paraId="44EF946D">
      <w:pPr>
        <w:keepNext w:val="0"/>
        <w:keepLines w:val="0"/>
        <w:widowControl/>
        <w:suppressLineNumbers w:val="0"/>
        <w:spacing w:line="480" w:lineRule="auto"/>
        <w:jc w:val="left"/>
        <w:rPr>
          <w:rFonts w:hint="default" w:ascii="Times New Roman" w:hAnsi="Times New Roman" w:eastAsia="宋体" w:cs="Times New Roman"/>
          <w:b w:val="0"/>
          <w:bCs w:val="0"/>
          <w:kern w:val="2"/>
          <w:sz w:val="24"/>
          <w:szCs w:val="24"/>
          <w:highlight w:val="none"/>
          <w:lang w:val="en-US" w:eastAsia="zh-CN" w:bidi="ar"/>
        </w:rPr>
      </w:pPr>
      <w:r>
        <w:rPr>
          <w:rFonts w:hint="default" w:ascii="Times New Roman" w:hAnsi="Times New Roman" w:eastAsia="宋体" w:cs="Times New Roman"/>
          <w:b w:val="0"/>
          <w:bCs w:val="0"/>
          <w:kern w:val="2"/>
          <w:sz w:val="24"/>
          <w:szCs w:val="24"/>
          <w:highlight w:val="none"/>
          <w:lang w:val="en-US" w:eastAsia="zh-CN" w:bidi="ar"/>
        </w:rPr>
        <w:t>This table summarizes the regional distribution of LVAs in patients with complete sinus-rhythm maps available for supplementary quantitative analyses. The frequency of regional involvement was calculated in the overall sinus-rhythm subgroup with complete quantitative data. Regional LVA burden was summarized only among patients with measurable LVAs. Continuous variables are presented as median [interquartile range].</w:t>
      </w:r>
    </w:p>
    <w:p w14:paraId="06B52D56">
      <w:pPr>
        <w:keepNext w:val="0"/>
        <w:keepLines w:val="0"/>
        <w:widowControl/>
        <w:suppressLineNumbers w:val="0"/>
        <w:spacing w:line="480" w:lineRule="auto"/>
        <w:jc w:val="left"/>
        <w:rPr>
          <w:rFonts w:hint="default" w:ascii="Times New Roman" w:hAnsi="Times New Roman" w:eastAsia="宋体" w:cs="Times New Roman"/>
          <w:b w:val="0"/>
          <w:bCs w:val="0"/>
          <w:kern w:val="2"/>
          <w:sz w:val="24"/>
          <w:szCs w:val="24"/>
          <w:highlight w:val="none"/>
          <w:lang w:val="en-US" w:eastAsia="zh-CN" w:bidi="ar"/>
        </w:rPr>
      </w:pPr>
      <w:r>
        <w:rPr>
          <w:rFonts w:hint="default" w:ascii="Times New Roman" w:hAnsi="Times New Roman" w:eastAsia="宋体" w:cs="Times New Roman"/>
          <w:b/>
          <w:bCs w:val="0"/>
          <w:kern w:val="2"/>
          <w:sz w:val="24"/>
          <w:szCs w:val="24"/>
          <w:highlight w:val="none"/>
          <w:lang w:val="en-US" w:eastAsia="zh-CN" w:bidi="ar"/>
        </w:rPr>
        <w:t xml:space="preserve">Abbreviations: </w:t>
      </w:r>
      <w:r>
        <w:rPr>
          <w:rFonts w:hint="default" w:ascii="Times New Roman" w:hAnsi="Times New Roman" w:eastAsia="宋体" w:cs="Times New Roman"/>
          <w:b w:val="0"/>
          <w:bCs w:val="0"/>
          <w:kern w:val="2"/>
          <w:sz w:val="24"/>
          <w:szCs w:val="24"/>
          <w:highlight w:val="none"/>
          <w:lang w:val="en-US" w:eastAsia="zh-CN" w:bidi="ar"/>
        </w:rPr>
        <w:t>LVAs, left atrial low-voltage areas; IQR, interquartile range.</w:t>
      </w:r>
    </w:p>
    <w:p w14:paraId="3AE724B6">
      <w:pPr>
        <w:keepNext w:val="0"/>
        <w:keepLines w:val="0"/>
        <w:widowControl/>
        <w:suppressLineNumbers w:val="0"/>
        <w:spacing w:line="480" w:lineRule="auto"/>
        <w:jc w:val="left"/>
        <w:rPr>
          <w:rFonts w:hint="default" w:ascii="Times New Roman" w:hAnsi="Times New Roman" w:eastAsia="宋体" w:cs="Times New Roman"/>
          <w:b w:val="0"/>
          <w:bCs w:val="0"/>
          <w:kern w:val="2"/>
          <w:sz w:val="24"/>
          <w:szCs w:val="24"/>
          <w:highlight w:val="none"/>
          <w:lang w:val="en-US" w:eastAsia="zh-CN" w:bidi="ar"/>
        </w:rPr>
      </w:pPr>
    </w:p>
    <w:p w14:paraId="1550D27C">
      <w:pPr>
        <w:keepNext w:val="0"/>
        <w:keepLines w:val="0"/>
        <w:widowControl/>
        <w:suppressLineNumbers w:val="0"/>
        <w:spacing w:line="480" w:lineRule="auto"/>
        <w:jc w:val="left"/>
        <w:rPr>
          <w:rFonts w:hint="default" w:ascii="Times New Roman" w:hAnsi="Times New Roman" w:cs="Times New Roman" w:eastAsiaTheme="minorEastAsia"/>
          <w:b w:val="0"/>
          <w:bCs w:val="0"/>
          <w:kern w:val="0"/>
          <w:sz w:val="24"/>
          <w:szCs w:val="24"/>
          <w:highlight w:val="none"/>
          <w:lang w:val="en-US" w:eastAsia="zh-CN" w:bidi="ar"/>
        </w:rPr>
      </w:pPr>
      <w:r>
        <w:rPr>
          <w:rFonts w:hint="default" w:ascii="Times New Roman" w:hAnsi="Times New Roman" w:cs="Times New Roman" w:eastAsiaTheme="minorEastAsia"/>
          <w:b/>
          <w:bCs/>
          <w:kern w:val="0"/>
          <w:sz w:val="24"/>
          <w:szCs w:val="24"/>
          <w:highlight w:val="none"/>
          <w:lang w:val="en-US" w:eastAsia="zh-CN" w:bidi="ar"/>
        </w:rPr>
        <w:t>Supplementary Table S</w:t>
      </w:r>
      <w:r>
        <w:rPr>
          <w:rFonts w:hint="default" w:ascii="Times New Roman" w:hAnsi="Times New Roman" w:cs="Times New Roman"/>
          <w:b/>
          <w:bCs/>
          <w:kern w:val="0"/>
          <w:sz w:val="24"/>
          <w:szCs w:val="24"/>
          <w:highlight w:val="none"/>
          <w:lang w:val="en-US" w:eastAsia="zh-CN" w:bidi="ar"/>
        </w:rPr>
        <w:t>21</w:t>
      </w:r>
      <w:r>
        <w:rPr>
          <w:rFonts w:hint="default" w:ascii="Times New Roman" w:hAnsi="Times New Roman" w:cs="Times New Roman" w:eastAsiaTheme="minorEastAsia"/>
          <w:b/>
          <w:bCs/>
          <w:kern w:val="0"/>
          <w:sz w:val="24"/>
          <w:szCs w:val="24"/>
          <w:highlight w:val="none"/>
          <w:lang w:val="en-US" w:eastAsia="zh-CN" w:bidi="ar"/>
        </w:rPr>
        <w:t>.</w:t>
      </w:r>
      <w:r>
        <w:rPr>
          <w:rFonts w:hint="default" w:ascii="Times New Roman" w:hAnsi="Times New Roman" w:eastAsia="宋体" w:cs="Times New Roman"/>
          <w:b w:val="0"/>
          <w:bCs w:val="0"/>
          <w:kern w:val="2"/>
          <w:sz w:val="24"/>
          <w:szCs w:val="24"/>
          <w:highlight w:val="none"/>
          <w:lang w:val="en-US" w:eastAsia="zh-CN" w:bidi="ar"/>
        </w:rPr>
        <w:t xml:space="preserve"> </w:t>
      </w:r>
      <w:r>
        <w:rPr>
          <w:rFonts w:hint="default" w:ascii="Times New Roman" w:hAnsi="Times New Roman" w:cs="Times New Roman" w:eastAsiaTheme="minorEastAsia"/>
          <w:b w:val="0"/>
          <w:bCs w:val="0"/>
          <w:kern w:val="0"/>
          <w:sz w:val="24"/>
          <w:szCs w:val="24"/>
          <w:highlight w:val="none"/>
          <w:lang w:val="en-US" w:eastAsia="zh-CN" w:bidi="ar"/>
        </w:rPr>
        <w:t>Associations between LDL-C and quantitative LVA burden in the sinus-rhythm subgroup with complete quantitative data.</w:t>
      </w:r>
    </w:p>
    <w:tbl>
      <w:tblPr>
        <w:tblStyle w:val="8"/>
        <w:tblW w:w="85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663"/>
        <w:gridCol w:w="1310"/>
        <w:gridCol w:w="948"/>
        <w:gridCol w:w="1558"/>
        <w:gridCol w:w="1025"/>
      </w:tblGrid>
      <w:tr w14:paraId="3AFAD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3663" w:type="dxa"/>
            <w:tcBorders>
              <w:top w:val="single" w:color="000000" w:sz="12" w:space="0"/>
              <w:left w:val="nil"/>
              <w:bottom w:val="single" w:color="000000" w:sz="4" w:space="0"/>
              <w:right w:val="nil"/>
              <w:tl2br w:val="nil"/>
            </w:tcBorders>
            <w:shd w:val="clear" w:color="auto" w:fill="FFFFFF"/>
            <w:noWrap/>
            <w:vAlign w:val="center"/>
          </w:tcPr>
          <w:p w14:paraId="146CB866">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b/>
                <w:bCs/>
                <w:i w:val="0"/>
                <w:iCs w:val="0"/>
                <w:color w:val="000000"/>
                <w:sz w:val="24"/>
                <w:szCs w:val="24"/>
                <w:highlight w:val="none"/>
                <w:u w:val="none"/>
              </w:rPr>
            </w:pPr>
            <w:r>
              <w:rPr>
                <w:rFonts w:hint="default" w:ascii="Times New Roman" w:hAnsi="Times New Roman" w:eastAsia="Carlito" w:cs="Times New Roman"/>
                <w:b/>
                <w:bCs/>
                <w:i w:val="0"/>
                <w:iCs w:val="0"/>
                <w:color w:val="000000"/>
                <w:kern w:val="0"/>
                <w:sz w:val="24"/>
                <w:szCs w:val="24"/>
                <w:highlight w:val="none"/>
                <w:u w:val="none"/>
                <w:lang w:val="en-US" w:eastAsia="zh-CN" w:bidi="ar"/>
              </w:rPr>
              <w:t>Outcome</w:t>
            </w:r>
          </w:p>
        </w:tc>
        <w:tc>
          <w:tcPr>
            <w:tcW w:w="0" w:type="auto"/>
            <w:tcBorders>
              <w:top w:val="single" w:color="000000" w:sz="12" w:space="0"/>
              <w:left w:val="nil"/>
              <w:bottom w:val="single" w:color="000000" w:sz="4" w:space="0"/>
              <w:right w:val="nil"/>
            </w:tcBorders>
            <w:shd w:val="clear" w:color="auto" w:fill="FFFFFF"/>
            <w:noWrap/>
            <w:vAlign w:val="center"/>
          </w:tcPr>
          <w:p w14:paraId="2293F496">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b/>
                <w:bCs/>
                <w:i w:val="0"/>
                <w:iCs w:val="0"/>
                <w:color w:val="000000"/>
                <w:sz w:val="24"/>
                <w:szCs w:val="24"/>
                <w:highlight w:val="none"/>
                <w:u w:val="none"/>
              </w:rPr>
            </w:pPr>
            <w:r>
              <w:rPr>
                <w:rFonts w:hint="default" w:ascii="Times New Roman" w:hAnsi="Times New Roman" w:eastAsia="Carlito" w:cs="Times New Roman"/>
                <w:b/>
                <w:bCs/>
                <w:i w:val="0"/>
                <w:iCs w:val="0"/>
                <w:color w:val="000000"/>
                <w:kern w:val="0"/>
                <w:sz w:val="24"/>
                <w:szCs w:val="24"/>
                <w:highlight w:val="none"/>
                <w:u w:val="none"/>
                <w:lang w:val="en-US" w:eastAsia="zh-CN" w:bidi="ar"/>
              </w:rPr>
              <w:t>Model</w:t>
            </w:r>
          </w:p>
        </w:tc>
        <w:tc>
          <w:tcPr>
            <w:tcW w:w="948" w:type="dxa"/>
            <w:tcBorders>
              <w:top w:val="single" w:color="000000" w:sz="12" w:space="0"/>
              <w:left w:val="nil"/>
              <w:bottom w:val="single" w:color="000000" w:sz="4" w:space="0"/>
              <w:right w:val="nil"/>
            </w:tcBorders>
            <w:shd w:val="clear" w:color="auto" w:fill="FFFFFF"/>
            <w:noWrap/>
            <w:vAlign w:val="center"/>
          </w:tcPr>
          <w:p w14:paraId="30366414">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b/>
                <w:bCs/>
                <w:i w:val="0"/>
                <w:iCs w:val="0"/>
                <w:color w:val="000000"/>
                <w:sz w:val="24"/>
                <w:szCs w:val="24"/>
                <w:highlight w:val="none"/>
                <w:u w:val="none"/>
              </w:rPr>
            </w:pPr>
            <w:r>
              <w:rPr>
                <w:rFonts w:hint="default" w:ascii="Times New Roman" w:hAnsi="Times New Roman" w:eastAsia="Carlito" w:cs="Times New Roman"/>
                <w:b/>
                <w:bCs/>
                <w:i w:val="0"/>
                <w:iCs w:val="0"/>
                <w:color w:val="000000"/>
                <w:kern w:val="0"/>
                <w:sz w:val="24"/>
                <w:szCs w:val="24"/>
                <w:highlight w:val="none"/>
                <w:u w:val="none"/>
                <w:lang w:val="en-US" w:eastAsia="zh-CN" w:bidi="ar"/>
              </w:rPr>
              <w:t>Beta</w:t>
            </w:r>
          </w:p>
        </w:tc>
        <w:tc>
          <w:tcPr>
            <w:tcW w:w="0" w:type="auto"/>
            <w:tcBorders>
              <w:top w:val="single" w:color="000000" w:sz="12" w:space="0"/>
              <w:left w:val="nil"/>
              <w:bottom w:val="single" w:color="000000" w:sz="4" w:space="0"/>
              <w:right w:val="nil"/>
            </w:tcBorders>
            <w:shd w:val="clear" w:color="auto" w:fill="FFFFFF"/>
            <w:noWrap/>
            <w:vAlign w:val="center"/>
          </w:tcPr>
          <w:p w14:paraId="696FEA7B">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b/>
                <w:bCs/>
                <w:i w:val="0"/>
                <w:iCs w:val="0"/>
                <w:color w:val="000000"/>
                <w:sz w:val="24"/>
                <w:szCs w:val="24"/>
                <w:highlight w:val="none"/>
                <w:u w:val="none"/>
              </w:rPr>
            </w:pPr>
            <w:r>
              <w:rPr>
                <w:rFonts w:hint="default" w:ascii="Times New Roman" w:hAnsi="Times New Roman" w:eastAsia="Carlito" w:cs="Times New Roman"/>
                <w:b/>
                <w:bCs/>
                <w:i w:val="0"/>
                <w:iCs w:val="0"/>
                <w:color w:val="000000"/>
                <w:kern w:val="0"/>
                <w:sz w:val="24"/>
                <w:szCs w:val="24"/>
                <w:highlight w:val="none"/>
                <w:u w:val="none"/>
                <w:lang w:val="en-US" w:eastAsia="zh-CN" w:bidi="ar"/>
              </w:rPr>
              <w:t>95% CI</w:t>
            </w:r>
          </w:p>
        </w:tc>
        <w:tc>
          <w:tcPr>
            <w:tcW w:w="1025" w:type="dxa"/>
            <w:tcBorders>
              <w:top w:val="single" w:color="000000" w:sz="12" w:space="0"/>
              <w:left w:val="nil"/>
              <w:bottom w:val="single" w:color="000000" w:sz="4" w:space="0"/>
              <w:right w:val="nil"/>
            </w:tcBorders>
            <w:shd w:val="clear" w:color="auto" w:fill="FFFFFF"/>
            <w:noWrap/>
            <w:vAlign w:val="center"/>
          </w:tcPr>
          <w:p w14:paraId="2CE8F4A0">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b/>
                <w:bCs/>
                <w:i w:val="0"/>
                <w:iCs w:val="0"/>
                <w:color w:val="000000"/>
                <w:sz w:val="24"/>
                <w:szCs w:val="24"/>
                <w:highlight w:val="none"/>
                <w:u w:val="none"/>
              </w:rPr>
            </w:pPr>
            <w:r>
              <w:rPr>
                <w:rFonts w:hint="default" w:ascii="Times New Roman" w:hAnsi="Times New Roman" w:eastAsia="Carlito" w:cs="Times New Roman"/>
                <w:b/>
                <w:bCs/>
                <w:i/>
                <w:iCs/>
                <w:color w:val="000000"/>
                <w:kern w:val="0"/>
                <w:sz w:val="24"/>
                <w:szCs w:val="24"/>
                <w:highlight w:val="none"/>
                <w:u w:val="none"/>
                <w:lang w:val="en-US" w:eastAsia="zh-CN" w:bidi="ar"/>
              </w:rPr>
              <w:t xml:space="preserve">P </w:t>
            </w:r>
            <w:r>
              <w:rPr>
                <w:rFonts w:hint="default" w:ascii="Times New Roman" w:hAnsi="Times New Roman" w:eastAsia="Carlito" w:cs="Times New Roman"/>
                <w:b/>
                <w:bCs/>
                <w:i w:val="0"/>
                <w:iCs w:val="0"/>
                <w:color w:val="000000"/>
                <w:kern w:val="0"/>
                <w:sz w:val="24"/>
                <w:szCs w:val="24"/>
                <w:highlight w:val="none"/>
                <w:u w:val="none"/>
                <w:lang w:val="en-US" w:eastAsia="zh-CN" w:bidi="ar"/>
              </w:rPr>
              <w:t>value</w:t>
            </w:r>
          </w:p>
        </w:tc>
      </w:tr>
      <w:tr w14:paraId="682FD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663" w:type="dxa"/>
            <w:tcBorders>
              <w:top w:val="single" w:color="000000" w:sz="4" w:space="0"/>
              <w:left w:val="nil"/>
              <w:bottom w:val="nil"/>
              <w:right w:val="nil"/>
            </w:tcBorders>
            <w:shd w:val="clear" w:color="auto" w:fill="FFFFFF"/>
            <w:vAlign w:val="center"/>
          </w:tcPr>
          <w:p w14:paraId="0CE32B96">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Total LVA burden (log)</w:t>
            </w:r>
          </w:p>
        </w:tc>
        <w:tc>
          <w:tcPr>
            <w:tcW w:w="0" w:type="auto"/>
            <w:tcBorders>
              <w:top w:val="single" w:color="000000" w:sz="4" w:space="0"/>
              <w:left w:val="nil"/>
              <w:bottom w:val="nil"/>
              <w:right w:val="nil"/>
            </w:tcBorders>
            <w:shd w:val="clear" w:color="auto" w:fill="FFFFFF"/>
            <w:vAlign w:val="center"/>
          </w:tcPr>
          <w:p w14:paraId="6FF6DD22">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Unadjusted</w:t>
            </w:r>
          </w:p>
        </w:tc>
        <w:tc>
          <w:tcPr>
            <w:tcW w:w="948" w:type="dxa"/>
            <w:tcBorders>
              <w:top w:val="single" w:color="000000" w:sz="4" w:space="0"/>
              <w:left w:val="nil"/>
              <w:bottom w:val="nil"/>
              <w:right w:val="nil"/>
            </w:tcBorders>
            <w:shd w:val="clear" w:color="auto" w:fill="FFFFFF"/>
            <w:vAlign w:val="center"/>
          </w:tcPr>
          <w:p w14:paraId="61768271">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-0.856</w:t>
            </w:r>
          </w:p>
        </w:tc>
        <w:tc>
          <w:tcPr>
            <w:tcW w:w="0" w:type="auto"/>
            <w:tcBorders>
              <w:top w:val="single" w:color="000000" w:sz="4" w:space="0"/>
              <w:left w:val="nil"/>
              <w:bottom w:val="nil"/>
              <w:right w:val="nil"/>
            </w:tcBorders>
            <w:shd w:val="clear" w:color="auto" w:fill="FFFFFF"/>
            <w:vAlign w:val="center"/>
          </w:tcPr>
          <w:p w14:paraId="403BD810">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-1.345 to -0.368</w:t>
            </w:r>
          </w:p>
        </w:tc>
        <w:tc>
          <w:tcPr>
            <w:tcW w:w="1025" w:type="dxa"/>
            <w:tcBorders>
              <w:top w:val="single" w:color="000000" w:sz="4" w:space="0"/>
              <w:left w:val="nil"/>
              <w:bottom w:val="nil"/>
              <w:right w:val="nil"/>
            </w:tcBorders>
            <w:shd w:val="clear" w:color="auto" w:fill="FFFFFF"/>
            <w:vAlign w:val="center"/>
          </w:tcPr>
          <w:p w14:paraId="773B0123">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&lt;0.001</w:t>
            </w:r>
          </w:p>
        </w:tc>
      </w:tr>
      <w:tr w14:paraId="2874B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663" w:type="dxa"/>
            <w:tcBorders>
              <w:top w:val="nil"/>
              <w:left w:val="nil"/>
              <w:bottom w:val="nil"/>
              <w:right w:val="nil"/>
            </w:tcBorders>
            <w:shd w:val="clear" w:color="auto" w:fill="FFFFFF"/>
            <w:vAlign w:val="center"/>
          </w:tcPr>
          <w:p w14:paraId="1CA9CE87">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Total LVA burden (log)</w:t>
            </w:r>
          </w:p>
        </w:tc>
        <w:tc>
          <w:tcPr>
            <w:tcW w:w="0" w:type="auto"/>
            <w:tcBorders>
              <w:top w:val="nil"/>
              <w:left w:val="nil"/>
              <w:bottom w:val="nil"/>
              <w:right w:val="nil"/>
            </w:tcBorders>
            <w:shd w:val="clear" w:color="auto" w:fill="FFFFFF"/>
            <w:vAlign w:val="center"/>
          </w:tcPr>
          <w:p w14:paraId="13D3CFEE">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lang w:val="en-US"/>
              </w:rPr>
            </w:pPr>
            <w:r>
              <w:rPr>
                <w:rFonts w:hint="default" w:ascii="Times New Roman" w:hAnsi="Times New Roman" w:eastAsia="Carlito" w:cs="Times New Roman"/>
                <w:i w:val="0"/>
                <w:iCs w:val="0"/>
                <w:color w:val="000000"/>
                <w:kern w:val="0"/>
                <w:sz w:val="24"/>
                <w:szCs w:val="24"/>
                <w:highlight w:val="none"/>
                <w:u w:val="none"/>
                <w:lang w:val="en-US" w:eastAsia="zh-CN" w:bidi="ar"/>
              </w:rPr>
              <w:t>Model 1f</w:t>
            </w:r>
          </w:p>
        </w:tc>
        <w:tc>
          <w:tcPr>
            <w:tcW w:w="948" w:type="dxa"/>
            <w:tcBorders>
              <w:top w:val="nil"/>
              <w:left w:val="nil"/>
              <w:bottom w:val="nil"/>
              <w:right w:val="nil"/>
            </w:tcBorders>
            <w:shd w:val="clear" w:color="auto" w:fill="FFFFFF"/>
            <w:vAlign w:val="center"/>
          </w:tcPr>
          <w:p w14:paraId="7789E826">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-0.631</w:t>
            </w:r>
          </w:p>
        </w:tc>
        <w:tc>
          <w:tcPr>
            <w:tcW w:w="0" w:type="auto"/>
            <w:tcBorders>
              <w:top w:val="nil"/>
              <w:left w:val="nil"/>
              <w:bottom w:val="nil"/>
              <w:right w:val="nil"/>
            </w:tcBorders>
            <w:shd w:val="clear" w:color="auto" w:fill="FFFFFF"/>
            <w:vAlign w:val="center"/>
          </w:tcPr>
          <w:p w14:paraId="640555E0">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-1.097 to -0.164</w:t>
            </w:r>
          </w:p>
        </w:tc>
        <w:tc>
          <w:tcPr>
            <w:tcW w:w="1025" w:type="dxa"/>
            <w:tcBorders>
              <w:top w:val="nil"/>
              <w:left w:val="nil"/>
              <w:bottom w:val="nil"/>
              <w:right w:val="nil"/>
            </w:tcBorders>
            <w:shd w:val="clear" w:color="auto" w:fill="FFFFFF"/>
            <w:vAlign w:val="center"/>
          </w:tcPr>
          <w:p w14:paraId="6FB50C9D">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0.0082</w:t>
            </w:r>
          </w:p>
        </w:tc>
      </w:tr>
      <w:tr w14:paraId="2F4B4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663" w:type="dxa"/>
            <w:tcBorders>
              <w:top w:val="nil"/>
              <w:left w:val="nil"/>
              <w:bottom w:val="nil"/>
              <w:right w:val="nil"/>
            </w:tcBorders>
            <w:shd w:val="clear" w:color="auto" w:fill="FFFFFF"/>
            <w:vAlign w:val="center"/>
          </w:tcPr>
          <w:p w14:paraId="2C93061B">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Total LVA burden (log)</w:t>
            </w:r>
          </w:p>
        </w:tc>
        <w:tc>
          <w:tcPr>
            <w:tcW w:w="0" w:type="auto"/>
            <w:tcBorders>
              <w:top w:val="nil"/>
              <w:left w:val="nil"/>
              <w:bottom w:val="nil"/>
              <w:right w:val="nil"/>
            </w:tcBorders>
            <w:shd w:val="clear" w:color="auto" w:fill="FFFFFF"/>
            <w:vAlign w:val="center"/>
          </w:tcPr>
          <w:p w14:paraId="02B94C12">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lang w:val="en-US"/>
              </w:rPr>
            </w:pPr>
            <w:r>
              <w:rPr>
                <w:rFonts w:hint="default" w:ascii="Times New Roman" w:hAnsi="Times New Roman" w:eastAsia="Carlito" w:cs="Times New Roman"/>
                <w:i w:val="0"/>
                <w:iCs w:val="0"/>
                <w:color w:val="000000"/>
                <w:kern w:val="0"/>
                <w:sz w:val="24"/>
                <w:szCs w:val="24"/>
                <w:highlight w:val="none"/>
                <w:u w:val="none"/>
                <w:lang w:val="en-US" w:eastAsia="zh-CN" w:bidi="ar"/>
              </w:rPr>
              <w:t>Model 2f</w:t>
            </w:r>
          </w:p>
        </w:tc>
        <w:tc>
          <w:tcPr>
            <w:tcW w:w="948" w:type="dxa"/>
            <w:tcBorders>
              <w:top w:val="nil"/>
              <w:left w:val="nil"/>
              <w:bottom w:val="nil"/>
              <w:right w:val="nil"/>
            </w:tcBorders>
            <w:shd w:val="clear" w:color="auto" w:fill="FFFFFF"/>
            <w:vAlign w:val="center"/>
          </w:tcPr>
          <w:p w14:paraId="71AC38FC">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-0.668</w:t>
            </w:r>
          </w:p>
        </w:tc>
        <w:tc>
          <w:tcPr>
            <w:tcW w:w="0" w:type="auto"/>
            <w:tcBorders>
              <w:top w:val="nil"/>
              <w:left w:val="nil"/>
              <w:bottom w:val="nil"/>
              <w:right w:val="nil"/>
            </w:tcBorders>
            <w:shd w:val="clear" w:color="auto" w:fill="FFFFFF"/>
            <w:vAlign w:val="center"/>
          </w:tcPr>
          <w:p w14:paraId="4C193D1C">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-1.15 to -0.187</w:t>
            </w:r>
          </w:p>
        </w:tc>
        <w:tc>
          <w:tcPr>
            <w:tcW w:w="1025" w:type="dxa"/>
            <w:tcBorders>
              <w:top w:val="nil"/>
              <w:left w:val="nil"/>
              <w:bottom w:val="nil"/>
              <w:right w:val="nil"/>
            </w:tcBorders>
            <w:shd w:val="clear" w:color="auto" w:fill="FFFFFF"/>
            <w:vAlign w:val="center"/>
          </w:tcPr>
          <w:p w14:paraId="44D1ABD2">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0.0067</w:t>
            </w:r>
          </w:p>
        </w:tc>
      </w:tr>
      <w:tr w14:paraId="585BB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663" w:type="dxa"/>
            <w:tcBorders>
              <w:top w:val="nil"/>
              <w:left w:val="nil"/>
              <w:bottom w:val="nil"/>
              <w:right w:val="nil"/>
            </w:tcBorders>
            <w:shd w:val="clear" w:color="auto" w:fill="FFFFFF"/>
            <w:vAlign w:val="center"/>
          </w:tcPr>
          <w:p w14:paraId="135BD380">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Total LVA burden (log)</w:t>
            </w:r>
          </w:p>
        </w:tc>
        <w:tc>
          <w:tcPr>
            <w:tcW w:w="0" w:type="auto"/>
            <w:tcBorders>
              <w:top w:val="nil"/>
              <w:left w:val="nil"/>
              <w:bottom w:val="nil"/>
              <w:right w:val="nil"/>
            </w:tcBorders>
            <w:shd w:val="clear" w:color="auto" w:fill="FFFFFF"/>
            <w:vAlign w:val="center"/>
          </w:tcPr>
          <w:p w14:paraId="44969EF3">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lang w:val="en-US"/>
              </w:rPr>
            </w:pPr>
            <w:r>
              <w:rPr>
                <w:rFonts w:hint="default" w:ascii="Times New Roman" w:hAnsi="Times New Roman" w:eastAsia="Carlito" w:cs="Times New Roman"/>
                <w:i w:val="0"/>
                <w:iCs w:val="0"/>
                <w:color w:val="000000"/>
                <w:kern w:val="0"/>
                <w:sz w:val="24"/>
                <w:szCs w:val="24"/>
                <w:highlight w:val="none"/>
                <w:u w:val="none"/>
                <w:lang w:val="en-US" w:eastAsia="zh-CN" w:bidi="ar"/>
              </w:rPr>
              <w:t>Model 3f</w:t>
            </w:r>
          </w:p>
        </w:tc>
        <w:tc>
          <w:tcPr>
            <w:tcW w:w="948" w:type="dxa"/>
            <w:tcBorders>
              <w:top w:val="nil"/>
              <w:left w:val="nil"/>
              <w:bottom w:val="nil"/>
              <w:right w:val="nil"/>
            </w:tcBorders>
            <w:shd w:val="clear" w:color="auto" w:fill="FFFFFF"/>
            <w:vAlign w:val="center"/>
          </w:tcPr>
          <w:p w14:paraId="43047127">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-0.769</w:t>
            </w:r>
          </w:p>
        </w:tc>
        <w:tc>
          <w:tcPr>
            <w:tcW w:w="0" w:type="auto"/>
            <w:tcBorders>
              <w:top w:val="nil"/>
              <w:left w:val="nil"/>
              <w:bottom w:val="nil"/>
              <w:right w:val="nil"/>
            </w:tcBorders>
            <w:shd w:val="clear" w:color="auto" w:fill="FFFFFF"/>
            <w:vAlign w:val="center"/>
          </w:tcPr>
          <w:p w14:paraId="34B10CF3">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-1.289 to -0.248</w:t>
            </w:r>
          </w:p>
        </w:tc>
        <w:tc>
          <w:tcPr>
            <w:tcW w:w="1025" w:type="dxa"/>
            <w:tcBorders>
              <w:top w:val="nil"/>
              <w:left w:val="nil"/>
              <w:bottom w:val="nil"/>
              <w:right w:val="nil"/>
            </w:tcBorders>
            <w:shd w:val="clear" w:color="auto" w:fill="FFFFFF"/>
            <w:vAlign w:val="center"/>
          </w:tcPr>
          <w:p w14:paraId="3505A46D">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0.0039</w:t>
            </w:r>
          </w:p>
        </w:tc>
      </w:tr>
      <w:tr w14:paraId="694F1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663" w:type="dxa"/>
            <w:tcBorders>
              <w:top w:val="nil"/>
              <w:left w:val="nil"/>
              <w:bottom w:val="nil"/>
              <w:right w:val="nil"/>
            </w:tcBorders>
            <w:shd w:val="clear" w:color="auto" w:fill="FFFFFF"/>
            <w:vAlign w:val="center"/>
          </w:tcPr>
          <w:p w14:paraId="39ED9F27">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Total LVA burden (log)</w:t>
            </w:r>
          </w:p>
        </w:tc>
        <w:tc>
          <w:tcPr>
            <w:tcW w:w="0" w:type="auto"/>
            <w:tcBorders>
              <w:top w:val="nil"/>
              <w:left w:val="nil"/>
              <w:bottom w:val="nil"/>
              <w:right w:val="nil"/>
            </w:tcBorders>
            <w:shd w:val="clear" w:color="auto" w:fill="FFFFFF"/>
            <w:vAlign w:val="center"/>
          </w:tcPr>
          <w:p w14:paraId="4DD60670">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lang w:val="en-US"/>
              </w:rPr>
            </w:pPr>
            <w:r>
              <w:rPr>
                <w:rFonts w:hint="default" w:ascii="Times New Roman" w:hAnsi="Times New Roman" w:eastAsia="Carlito" w:cs="Times New Roman"/>
                <w:i w:val="0"/>
                <w:iCs w:val="0"/>
                <w:color w:val="000000"/>
                <w:kern w:val="0"/>
                <w:sz w:val="24"/>
                <w:szCs w:val="24"/>
                <w:highlight w:val="none"/>
                <w:u w:val="none"/>
                <w:lang w:val="en-US" w:eastAsia="zh-CN" w:bidi="ar"/>
              </w:rPr>
              <w:t>Model 4f</w:t>
            </w:r>
          </w:p>
        </w:tc>
        <w:tc>
          <w:tcPr>
            <w:tcW w:w="948" w:type="dxa"/>
            <w:tcBorders>
              <w:top w:val="nil"/>
              <w:left w:val="nil"/>
              <w:bottom w:val="nil"/>
              <w:right w:val="nil"/>
            </w:tcBorders>
            <w:shd w:val="clear" w:color="auto" w:fill="FFFFFF"/>
            <w:vAlign w:val="center"/>
          </w:tcPr>
          <w:p w14:paraId="77710E0D">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-0.602</w:t>
            </w:r>
          </w:p>
        </w:tc>
        <w:tc>
          <w:tcPr>
            <w:tcW w:w="0" w:type="auto"/>
            <w:tcBorders>
              <w:top w:val="nil"/>
              <w:left w:val="nil"/>
              <w:bottom w:val="nil"/>
              <w:right w:val="nil"/>
            </w:tcBorders>
            <w:shd w:val="clear" w:color="auto" w:fill="FFFFFF"/>
            <w:vAlign w:val="center"/>
          </w:tcPr>
          <w:p w14:paraId="14B4A96D">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-1.119 to -0.085</w:t>
            </w:r>
          </w:p>
        </w:tc>
        <w:tc>
          <w:tcPr>
            <w:tcW w:w="1025" w:type="dxa"/>
            <w:tcBorders>
              <w:top w:val="nil"/>
              <w:left w:val="nil"/>
              <w:bottom w:val="nil"/>
              <w:right w:val="nil"/>
            </w:tcBorders>
            <w:shd w:val="clear" w:color="auto" w:fill="FFFFFF"/>
            <w:vAlign w:val="center"/>
          </w:tcPr>
          <w:p w14:paraId="5DC806FA">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0.0227</w:t>
            </w:r>
          </w:p>
        </w:tc>
      </w:tr>
      <w:tr w14:paraId="2D586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663" w:type="dxa"/>
            <w:tcBorders>
              <w:top w:val="nil"/>
              <w:left w:val="nil"/>
              <w:bottom w:val="nil"/>
              <w:right w:val="nil"/>
            </w:tcBorders>
            <w:shd w:val="clear" w:color="auto" w:fill="FFFFFF"/>
            <w:vAlign w:val="center"/>
          </w:tcPr>
          <w:p w14:paraId="708DDBC2">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Anterior wall burden (log)</w:t>
            </w:r>
          </w:p>
        </w:tc>
        <w:tc>
          <w:tcPr>
            <w:tcW w:w="0" w:type="auto"/>
            <w:tcBorders>
              <w:top w:val="nil"/>
              <w:left w:val="nil"/>
              <w:bottom w:val="nil"/>
              <w:right w:val="nil"/>
            </w:tcBorders>
            <w:shd w:val="clear" w:color="auto" w:fill="FFFFFF"/>
            <w:vAlign w:val="center"/>
          </w:tcPr>
          <w:p w14:paraId="1F5749D3">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lang w:val="en-US"/>
              </w:rPr>
            </w:pPr>
            <w:r>
              <w:rPr>
                <w:rFonts w:hint="default" w:ascii="Times New Roman" w:hAnsi="Times New Roman" w:eastAsia="Carlito" w:cs="Times New Roman"/>
                <w:i w:val="0"/>
                <w:iCs w:val="0"/>
                <w:color w:val="000000"/>
                <w:kern w:val="0"/>
                <w:sz w:val="24"/>
                <w:szCs w:val="24"/>
                <w:highlight w:val="none"/>
                <w:u w:val="none"/>
                <w:lang w:val="en-US" w:eastAsia="zh-CN" w:bidi="ar"/>
              </w:rPr>
              <w:t>Model 4f</w:t>
            </w:r>
          </w:p>
        </w:tc>
        <w:tc>
          <w:tcPr>
            <w:tcW w:w="948" w:type="dxa"/>
            <w:tcBorders>
              <w:top w:val="nil"/>
              <w:left w:val="nil"/>
              <w:bottom w:val="nil"/>
              <w:right w:val="nil"/>
            </w:tcBorders>
            <w:shd w:val="clear" w:color="auto" w:fill="FFFFFF"/>
            <w:vAlign w:val="center"/>
          </w:tcPr>
          <w:p w14:paraId="68E28FFE">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-0.351</w:t>
            </w:r>
          </w:p>
        </w:tc>
        <w:tc>
          <w:tcPr>
            <w:tcW w:w="0" w:type="auto"/>
            <w:tcBorders>
              <w:top w:val="nil"/>
              <w:left w:val="nil"/>
              <w:bottom w:val="nil"/>
              <w:right w:val="nil"/>
            </w:tcBorders>
            <w:shd w:val="clear" w:color="auto" w:fill="FFFFFF"/>
            <w:vAlign w:val="center"/>
          </w:tcPr>
          <w:p w14:paraId="19C617B2">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-0.77 to 0.069</w:t>
            </w:r>
          </w:p>
        </w:tc>
        <w:tc>
          <w:tcPr>
            <w:tcW w:w="1025" w:type="dxa"/>
            <w:tcBorders>
              <w:top w:val="nil"/>
              <w:left w:val="nil"/>
              <w:bottom w:val="nil"/>
              <w:right w:val="nil"/>
            </w:tcBorders>
            <w:shd w:val="clear" w:color="auto" w:fill="FFFFFF"/>
            <w:vAlign w:val="center"/>
          </w:tcPr>
          <w:p w14:paraId="2534068D">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0.1012</w:t>
            </w:r>
          </w:p>
        </w:tc>
      </w:tr>
      <w:tr w14:paraId="74251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663" w:type="dxa"/>
            <w:tcBorders>
              <w:top w:val="nil"/>
              <w:left w:val="nil"/>
              <w:bottom w:val="nil"/>
              <w:right w:val="nil"/>
            </w:tcBorders>
            <w:shd w:val="clear" w:color="auto" w:fill="FFFFFF"/>
            <w:vAlign w:val="center"/>
          </w:tcPr>
          <w:p w14:paraId="7C7599D9">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Posterior wall burden (log)</w:t>
            </w:r>
          </w:p>
        </w:tc>
        <w:tc>
          <w:tcPr>
            <w:tcW w:w="0" w:type="auto"/>
            <w:tcBorders>
              <w:top w:val="nil"/>
              <w:left w:val="nil"/>
              <w:bottom w:val="nil"/>
              <w:right w:val="nil"/>
            </w:tcBorders>
            <w:shd w:val="clear" w:color="auto" w:fill="FFFFFF"/>
            <w:vAlign w:val="center"/>
          </w:tcPr>
          <w:p w14:paraId="27D0A9BE">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lang w:val="en-US"/>
              </w:rPr>
            </w:pPr>
            <w:r>
              <w:rPr>
                <w:rFonts w:hint="default" w:ascii="Times New Roman" w:hAnsi="Times New Roman" w:eastAsia="Carlito" w:cs="Times New Roman"/>
                <w:i w:val="0"/>
                <w:iCs w:val="0"/>
                <w:color w:val="000000"/>
                <w:kern w:val="0"/>
                <w:sz w:val="24"/>
                <w:szCs w:val="24"/>
                <w:highlight w:val="none"/>
                <w:u w:val="none"/>
                <w:lang w:val="en-US" w:eastAsia="zh-CN" w:bidi="ar"/>
              </w:rPr>
              <w:t>Model 4f</w:t>
            </w:r>
          </w:p>
        </w:tc>
        <w:tc>
          <w:tcPr>
            <w:tcW w:w="948" w:type="dxa"/>
            <w:tcBorders>
              <w:top w:val="nil"/>
              <w:left w:val="nil"/>
              <w:bottom w:val="nil"/>
              <w:right w:val="nil"/>
            </w:tcBorders>
            <w:shd w:val="clear" w:color="auto" w:fill="FFFFFF"/>
            <w:vAlign w:val="center"/>
          </w:tcPr>
          <w:p w14:paraId="7B71F6A6">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-0.158</w:t>
            </w:r>
          </w:p>
        </w:tc>
        <w:tc>
          <w:tcPr>
            <w:tcW w:w="0" w:type="auto"/>
            <w:tcBorders>
              <w:top w:val="nil"/>
              <w:left w:val="nil"/>
              <w:bottom w:val="nil"/>
              <w:right w:val="nil"/>
            </w:tcBorders>
            <w:shd w:val="clear" w:color="auto" w:fill="FFFFFF"/>
            <w:vAlign w:val="center"/>
          </w:tcPr>
          <w:p w14:paraId="59502593">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-0.623 to 0.307</w:t>
            </w:r>
          </w:p>
        </w:tc>
        <w:tc>
          <w:tcPr>
            <w:tcW w:w="1025" w:type="dxa"/>
            <w:tcBorders>
              <w:top w:val="nil"/>
              <w:left w:val="nil"/>
              <w:bottom w:val="nil"/>
              <w:right w:val="nil"/>
            </w:tcBorders>
            <w:shd w:val="clear" w:color="auto" w:fill="FFFFFF"/>
            <w:vAlign w:val="center"/>
          </w:tcPr>
          <w:p w14:paraId="04D74FE8">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0.5034</w:t>
            </w:r>
          </w:p>
        </w:tc>
      </w:tr>
      <w:tr w14:paraId="02AA1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663" w:type="dxa"/>
            <w:tcBorders>
              <w:top w:val="nil"/>
              <w:left w:val="nil"/>
              <w:bottom w:val="nil"/>
              <w:right w:val="nil"/>
            </w:tcBorders>
            <w:shd w:val="clear" w:color="auto" w:fill="FFFFFF"/>
            <w:vAlign w:val="center"/>
          </w:tcPr>
          <w:p w14:paraId="6AD25554">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Roof burden (log)</w:t>
            </w:r>
          </w:p>
        </w:tc>
        <w:tc>
          <w:tcPr>
            <w:tcW w:w="0" w:type="auto"/>
            <w:tcBorders>
              <w:top w:val="nil"/>
              <w:left w:val="nil"/>
              <w:bottom w:val="nil"/>
              <w:right w:val="nil"/>
            </w:tcBorders>
            <w:shd w:val="clear" w:color="auto" w:fill="FFFFFF"/>
            <w:vAlign w:val="center"/>
          </w:tcPr>
          <w:p w14:paraId="6E6161DB">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lang w:val="en-US"/>
              </w:rPr>
            </w:pPr>
            <w:r>
              <w:rPr>
                <w:rFonts w:hint="default" w:ascii="Times New Roman" w:hAnsi="Times New Roman" w:eastAsia="Carlito" w:cs="Times New Roman"/>
                <w:i w:val="0"/>
                <w:iCs w:val="0"/>
                <w:color w:val="000000"/>
                <w:kern w:val="0"/>
                <w:sz w:val="24"/>
                <w:szCs w:val="24"/>
                <w:highlight w:val="none"/>
                <w:u w:val="none"/>
                <w:lang w:val="en-US" w:eastAsia="zh-CN" w:bidi="ar"/>
              </w:rPr>
              <w:t>Model 4f</w:t>
            </w:r>
          </w:p>
        </w:tc>
        <w:tc>
          <w:tcPr>
            <w:tcW w:w="948" w:type="dxa"/>
            <w:tcBorders>
              <w:top w:val="nil"/>
              <w:left w:val="nil"/>
              <w:bottom w:val="nil"/>
              <w:right w:val="nil"/>
            </w:tcBorders>
            <w:shd w:val="clear" w:color="auto" w:fill="FFFFFF"/>
            <w:vAlign w:val="center"/>
          </w:tcPr>
          <w:p w14:paraId="6C193B93">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-0.204</w:t>
            </w:r>
          </w:p>
        </w:tc>
        <w:tc>
          <w:tcPr>
            <w:tcW w:w="0" w:type="auto"/>
            <w:tcBorders>
              <w:top w:val="nil"/>
              <w:left w:val="nil"/>
              <w:bottom w:val="nil"/>
              <w:right w:val="nil"/>
            </w:tcBorders>
            <w:shd w:val="clear" w:color="auto" w:fill="FFFFFF"/>
            <w:vAlign w:val="center"/>
          </w:tcPr>
          <w:p w14:paraId="13DD3539">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-0.591 to 0.183</w:t>
            </w:r>
          </w:p>
        </w:tc>
        <w:tc>
          <w:tcPr>
            <w:tcW w:w="1025" w:type="dxa"/>
            <w:tcBorders>
              <w:top w:val="nil"/>
              <w:left w:val="nil"/>
              <w:bottom w:val="nil"/>
              <w:right w:val="nil"/>
            </w:tcBorders>
            <w:shd w:val="clear" w:color="auto" w:fill="FFFFFF"/>
            <w:vAlign w:val="center"/>
          </w:tcPr>
          <w:p w14:paraId="27585616">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0.3004</w:t>
            </w:r>
          </w:p>
        </w:tc>
      </w:tr>
      <w:tr w14:paraId="199D2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663" w:type="dxa"/>
            <w:tcBorders>
              <w:top w:val="nil"/>
              <w:left w:val="nil"/>
              <w:bottom w:val="nil"/>
              <w:right w:val="nil"/>
            </w:tcBorders>
            <w:shd w:val="clear" w:color="auto" w:fill="FFFFFF"/>
            <w:vAlign w:val="center"/>
          </w:tcPr>
          <w:p w14:paraId="71D77D20">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Inferior wall burden (log)</w:t>
            </w:r>
          </w:p>
        </w:tc>
        <w:tc>
          <w:tcPr>
            <w:tcW w:w="0" w:type="auto"/>
            <w:tcBorders>
              <w:top w:val="nil"/>
              <w:left w:val="nil"/>
              <w:bottom w:val="nil"/>
              <w:right w:val="nil"/>
            </w:tcBorders>
            <w:shd w:val="clear" w:color="auto" w:fill="FFFFFF"/>
            <w:vAlign w:val="center"/>
          </w:tcPr>
          <w:p w14:paraId="4B2C0A6B">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lang w:val="en-US"/>
              </w:rPr>
            </w:pPr>
            <w:r>
              <w:rPr>
                <w:rFonts w:hint="default" w:ascii="Times New Roman" w:hAnsi="Times New Roman" w:eastAsia="Carlito" w:cs="Times New Roman"/>
                <w:i w:val="0"/>
                <w:iCs w:val="0"/>
                <w:color w:val="000000"/>
                <w:kern w:val="0"/>
                <w:sz w:val="24"/>
                <w:szCs w:val="24"/>
                <w:highlight w:val="none"/>
                <w:u w:val="none"/>
                <w:lang w:val="en-US" w:eastAsia="zh-CN" w:bidi="ar"/>
              </w:rPr>
              <w:t>Model 4f</w:t>
            </w:r>
          </w:p>
        </w:tc>
        <w:tc>
          <w:tcPr>
            <w:tcW w:w="948" w:type="dxa"/>
            <w:tcBorders>
              <w:top w:val="nil"/>
              <w:left w:val="nil"/>
              <w:bottom w:val="nil"/>
              <w:right w:val="nil"/>
            </w:tcBorders>
            <w:shd w:val="clear" w:color="auto" w:fill="FFFFFF"/>
            <w:vAlign w:val="center"/>
          </w:tcPr>
          <w:p w14:paraId="2AF269D3">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-0.395</w:t>
            </w:r>
          </w:p>
        </w:tc>
        <w:tc>
          <w:tcPr>
            <w:tcW w:w="0" w:type="auto"/>
            <w:tcBorders>
              <w:top w:val="nil"/>
              <w:left w:val="nil"/>
              <w:bottom w:val="nil"/>
              <w:right w:val="nil"/>
            </w:tcBorders>
            <w:shd w:val="clear" w:color="auto" w:fill="FFFFFF"/>
            <w:vAlign w:val="center"/>
          </w:tcPr>
          <w:p w14:paraId="5063DBBB">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-0.732 to -0.059</w:t>
            </w:r>
          </w:p>
        </w:tc>
        <w:tc>
          <w:tcPr>
            <w:tcW w:w="1025" w:type="dxa"/>
            <w:tcBorders>
              <w:top w:val="nil"/>
              <w:left w:val="nil"/>
              <w:bottom w:val="nil"/>
              <w:right w:val="nil"/>
            </w:tcBorders>
            <w:shd w:val="clear" w:color="auto" w:fill="FFFFFF"/>
            <w:vAlign w:val="center"/>
          </w:tcPr>
          <w:p w14:paraId="22036AB8">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0.0216</w:t>
            </w:r>
          </w:p>
        </w:tc>
      </w:tr>
      <w:tr w14:paraId="532B1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663" w:type="dxa"/>
            <w:tcBorders>
              <w:top w:val="nil"/>
              <w:left w:val="nil"/>
              <w:bottom w:val="single" w:color="000000" w:sz="12" w:space="0"/>
              <w:right w:val="nil"/>
            </w:tcBorders>
            <w:shd w:val="clear" w:color="auto" w:fill="FFFFFF"/>
            <w:vAlign w:val="center"/>
          </w:tcPr>
          <w:p w14:paraId="55C2F566">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Right pulmonary vein antrum burden (log)</w:t>
            </w:r>
          </w:p>
        </w:tc>
        <w:tc>
          <w:tcPr>
            <w:tcW w:w="1227" w:type="dxa"/>
            <w:tcBorders>
              <w:top w:val="nil"/>
              <w:left w:val="nil"/>
              <w:bottom w:val="single" w:color="000000" w:sz="12" w:space="0"/>
              <w:right w:val="nil"/>
            </w:tcBorders>
            <w:shd w:val="clear" w:color="auto" w:fill="FFFFFF"/>
            <w:vAlign w:val="center"/>
          </w:tcPr>
          <w:p w14:paraId="5452902B">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lang w:val="en-US"/>
              </w:rPr>
            </w:pPr>
            <w:r>
              <w:rPr>
                <w:rFonts w:hint="default" w:ascii="Times New Roman" w:hAnsi="Times New Roman" w:eastAsia="Carlito" w:cs="Times New Roman"/>
                <w:i w:val="0"/>
                <w:iCs w:val="0"/>
                <w:color w:val="000000"/>
                <w:kern w:val="0"/>
                <w:sz w:val="24"/>
                <w:szCs w:val="24"/>
                <w:highlight w:val="none"/>
                <w:u w:val="none"/>
                <w:lang w:val="en-US" w:eastAsia="zh-CN" w:bidi="ar"/>
              </w:rPr>
              <w:t>Model 4f</w:t>
            </w:r>
          </w:p>
        </w:tc>
        <w:tc>
          <w:tcPr>
            <w:tcW w:w="948" w:type="dxa"/>
            <w:tcBorders>
              <w:top w:val="nil"/>
              <w:left w:val="nil"/>
              <w:bottom w:val="single" w:color="000000" w:sz="12" w:space="0"/>
              <w:right w:val="nil"/>
            </w:tcBorders>
            <w:shd w:val="clear" w:color="auto" w:fill="FFFFFF"/>
            <w:vAlign w:val="center"/>
          </w:tcPr>
          <w:p w14:paraId="0DC20060">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-0.512</w:t>
            </w:r>
          </w:p>
        </w:tc>
        <w:tc>
          <w:tcPr>
            <w:tcW w:w="1641" w:type="dxa"/>
            <w:tcBorders>
              <w:top w:val="nil"/>
              <w:left w:val="nil"/>
              <w:bottom w:val="single" w:color="000000" w:sz="12" w:space="0"/>
              <w:right w:val="nil"/>
            </w:tcBorders>
            <w:shd w:val="clear" w:color="auto" w:fill="FFFFFF"/>
            <w:vAlign w:val="center"/>
          </w:tcPr>
          <w:p w14:paraId="1E6E18E0">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-0.784 to -0.24</w:t>
            </w:r>
          </w:p>
        </w:tc>
        <w:tc>
          <w:tcPr>
            <w:tcW w:w="1025" w:type="dxa"/>
            <w:tcBorders>
              <w:top w:val="nil"/>
              <w:left w:val="nil"/>
              <w:bottom w:val="single" w:color="000000" w:sz="12" w:space="0"/>
              <w:right w:val="nil"/>
            </w:tcBorders>
            <w:shd w:val="clear" w:color="auto" w:fill="FFFFFF"/>
            <w:vAlign w:val="center"/>
          </w:tcPr>
          <w:p w14:paraId="15B3FA46">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&lt;0.001</w:t>
            </w:r>
          </w:p>
        </w:tc>
      </w:tr>
    </w:tbl>
    <w:p w14:paraId="01A5D5B9">
      <w:pPr>
        <w:keepNext w:val="0"/>
        <w:keepLines w:val="0"/>
        <w:widowControl/>
        <w:suppressLineNumbers w:val="0"/>
        <w:spacing w:line="480" w:lineRule="auto"/>
        <w:jc w:val="left"/>
        <w:rPr>
          <w:rFonts w:hint="default" w:ascii="Times New Roman" w:hAnsi="Times New Roman" w:eastAsia="宋体" w:cs="Times New Roman"/>
          <w:b w:val="0"/>
          <w:bCs w:val="0"/>
          <w:kern w:val="2"/>
          <w:sz w:val="24"/>
          <w:szCs w:val="24"/>
          <w:highlight w:val="none"/>
          <w:lang w:val="en-US" w:eastAsia="zh-CN" w:bidi="ar"/>
        </w:rPr>
      </w:pPr>
      <w:r>
        <w:rPr>
          <w:rFonts w:hint="default" w:ascii="Times New Roman" w:hAnsi="Times New Roman" w:eastAsia="宋体" w:cs="Times New Roman"/>
          <w:b w:val="0"/>
          <w:bCs w:val="0"/>
          <w:kern w:val="2"/>
          <w:sz w:val="24"/>
          <w:szCs w:val="24"/>
          <w:highlight w:val="none"/>
          <w:lang w:val="en-US" w:eastAsia="zh-CN" w:bidi="ar"/>
        </w:rPr>
        <w:t>Beta coefficients with 95% confidence intervals are shown for LDL-C from linear regression models using log-transformed total or regional LVA burden [log(burden + 0.01)] as the dependent variable.</w:t>
      </w:r>
    </w:p>
    <w:p w14:paraId="36F23DDB">
      <w:pPr>
        <w:keepNext w:val="0"/>
        <w:keepLines w:val="0"/>
        <w:widowControl/>
        <w:suppressLineNumbers w:val="0"/>
        <w:spacing w:line="480" w:lineRule="auto"/>
        <w:jc w:val="left"/>
        <w:rPr>
          <w:rFonts w:hint="default" w:ascii="Times New Roman" w:hAnsi="Times New Roman" w:eastAsia="宋体" w:cs="Times New Roman"/>
          <w:b w:val="0"/>
          <w:bCs w:val="0"/>
          <w:kern w:val="2"/>
          <w:sz w:val="24"/>
          <w:szCs w:val="24"/>
          <w:highlight w:val="none"/>
          <w:lang w:val="en-US" w:eastAsia="zh-CN" w:bidi="ar"/>
        </w:rPr>
      </w:pPr>
      <w:r>
        <w:rPr>
          <w:rFonts w:hint="default" w:ascii="Times New Roman" w:hAnsi="Times New Roman" w:eastAsia="宋体" w:cs="Times New Roman"/>
          <w:b w:val="0"/>
          <w:bCs w:val="0"/>
          <w:kern w:val="2"/>
          <w:sz w:val="24"/>
          <w:szCs w:val="24"/>
          <w:highlight w:val="none"/>
          <w:lang w:val="en-US" w:eastAsia="zh-CN" w:bidi="ar"/>
        </w:rPr>
        <w:t>Unadjusted model: adjusted for none.</w:t>
      </w:r>
    </w:p>
    <w:p w14:paraId="2D28E9EA">
      <w:pPr>
        <w:keepNext w:val="0"/>
        <w:keepLines w:val="0"/>
        <w:widowControl/>
        <w:suppressLineNumbers w:val="0"/>
        <w:spacing w:line="480" w:lineRule="auto"/>
        <w:jc w:val="left"/>
        <w:rPr>
          <w:rFonts w:hint="default" w:ascii="Times New Roman" w:hAnsi="Times New Roman" w:eastAsia="宋体" w:cs="Times New Roman"/>
          <w:b w:val="0"/>
          <w:bCs w:val="0"/>
          <w:kern w:val="2"/>
          <w:sz w:val="24"/>
          <w:szCs w:val="24"/>
          <w:highlight w:val="none"/>
          <w:lang w:val="en-US" w:eastAsia="zh-CN" w:bidi="ar"/>
        </w:rPr>
      </w:pPr>
      <w:r>
        <w:rPr>
          <w:rFonts w:hint="default" w:ascii="Times New Roman" w:hAnsi="Times New Roman" w:eastAsia="宋体" w:cs="Times New Roman"/>
          <w:b w:val="0"/>
          <w:bCs w:val="0"/>
          <w:kern w:val="2"/>
          <w:sz w:val="24"/>
          <w:szCs w:val="24"/>
          <w:highlight w:val="none"/>
          <w:lang w:val="en-US" w:eastAsia="zh-CN" w:bidi="ar"/>
        </w:rPr>
        <w:t>Model 1f: adjusted for age and sex.</w:t>
      </w:r>
    </w:p>
    <w:p w14:paraId="6660C714">
      <w:pPr>
        <w:keepNext w:val="0"/>
        <w:keepLines w:val="0"/>
        <w:widowControl/>
        <w:suppressLineNumbers w:val="0"/>
        <w:spacing w:line="480" w:lineRule="auto"/>
        <w:jc w:val="left"/>
        <w:rPr>
          <w:rFonts w:hint="default" w:ascii="Times New Roman" w:hAnsi="Times New Roman" w:eastAsia="宋体" w:cs="Times New Roman"/>
          <w:b w:val="0"/>
          <w:bCs w:val="0"/>
          <w:kern w:val="2"/>
          <w:sz w:val="24"/>
          <w:szCs w:val="24"/>
          <w:highlight w:val="none"/>
          <w:lang w:val="en-US" w:eastAsia="zh-CN" w:bidi="ar"/>
        </w:rPr>
      </w:pPr>
      <w:r>
        <w:rPr>
          <w:rFonts w:hint="default" w:ascii="Times New Roman" w:hAnsi="Times New Roman" w:eastAsia="宋体" w:cs="Times New Roman"/>
          <w:b w:val="0"/>
          <w:bCs w:val="0"/>
          <w:kern w:val="2"/>
          <w:sz w:val="24"/>
          <w:szCs w:val="24"/>
          <w:highlight w:val="none"/>
          <w:lang w:val="en-US" w:eastAsia="zh-CN" w:bidi="ar"/>
        </w:rPr>
        <w:t>Model 2f: adjusted for age, sex, BMI, T3, hypertension, coronary artery disease, heart failure, diabetes, stroke, and COPD.</w:t>
      </w:r>
    </w:p>
    <w:p w14:paraId="5320E409">
      <w:pPr>
        <w:keepNext w:val="0"/>
        <w:keepLines w:val="0"/>
        <w:widowControl/>
        <w:suppressLineNumbers w:val="0"/>
        <w:spacing w:line="480" w:lineRule="auto"/>
        <w:jc w:val="left"/>
        <w:rPr>
          <w:rFonts w:hint="default" w:ascii="Times New Roman" w:hAnsi="Times New Roman" w:eastAsia="宋体" w:cs="Times New Roman"/>
          <w:b w:val="0"/>
          <w:bCs w:val="0"/>
          <w:kern w:val="2"/>
          <w:sz w:val="24"/>
          <w:szCs w:val="24"/>
          <w:highlight w:val="none"/>
          <w:lang w:val="en-US" w:eastAsia="zh-CN" w:bidi="ar"/>
        </w:rPr>
      </w:pPr>
      <w:r>
        <w:rPr>
          <w:rFonts w:hint="default" w:ascii="Times New Roman" w:hAnsi="Times New Roman" w:eastAsia="宋体" w:cs="Times New Roman"/>
          <w:b w:val="0"/>
          <w:bCs w:val="0"/>
          <w:kern w:val="2"/>
          <w:sz w:val="24"/>
          <w:szCs w:val="24"/>
          <w:highlight w:val="none"/>
          <w:lang w:val="en-US" w:eastAsia="zh-CN" w:bidi="ar"/>
        </w:rPr>
        <w:t>Model 3f: adjusted for age, sex, BMI, T3, hypertension, coronary artery disease, heart failure, diabetes, stroke, COPD, hyperlipidemia, triglycerides, HDL-C, and statin use.</w:t>
      </w:r>
    </w:p>
    <w:p w14:paraId="762A789F">
      <w:pPr>
        <w:keepNext w:val="0"/>
        <w:keepLines w:val="0"/>
        <w:widowControl/>
        <w:suppressLineNumbers w:val="0"/>
        <w:spacing w:line="480" w:lineRule="auto"/>
        <w:jc w:val="left"/>
        <w:rPr>
          <w:rFonts w:hint="default" w:ascii="Times New Roman" w:hAnsi="Times New Roman" w:eastAsia="宋体" w:cs="Times New Roman"/>
          <w:b w:val="0"/>
          <w:bCs w:val="0"/>
          <w:kern w:val="2"/>
          <w:sz w:val="24"/>
          <w:szCs w:val="24"/>
          <w:highlight w:val="none"/>
          <w:lang w:val="en-US" w:eastAsia="zh-CN" w:bidi="ar"/>
        </w:rPr>
      </w:pPr>
      <w:r>
        <w:rPr>
          <w:rFonts w:hint="default" w:ascii="Times New Roman" w:hAnsi="Times New Roman" w:eastAsia="宋体" w:cs="Times New Roman"/>
          <w:b w:val="0"/>
          <w:bCs w:val="0"/>
          <w:kern w:val="2"/>
          <w:sz w:val="24"/>
          <w:szCs w:val="24"/>
          <w:highlight w:val="none"/>
          <w:lang w:val="en-US" w:eastAsia="zh-CN" w:bidi="ar"/>
        </w:rPr>
        <w:t xml:space="preserve">Model 4f: adjusted for age, sex, BMI, T3, hypertension, coronary artery disease, heart failure, diabetes, stroke, COPD, hyperlipidemia, triglycerides, HDL-C, statin use, and LAD. </w:t>
      </w:r>
    </w:p>
    <w:p w14:paraId="3ADD3384">
      <w:pPr>
        <w:keepNext w:val="0"/>
        <w:keepLines w:val="0"/>
        <w:widowControl/>
        <w:suppressLineNumbers w:val="0"/>
        <w:spacing w:line="480" w:lineRule="auto"/>
        <w:jc w:val="left"/>
        <w:rPr>
          <w:rFonts w:hint="default" w:ascii="Times New Roman" w:hAnsi="Times New Roman" w:eastAsia="宋体" w:cs="Times New Roman"/>
          <w:b w:val="0"/>
          <w:bCs w:val="0"/>
          <w:kern w:val="2"/>
          <w:sz w:val="24"/>
          <w:szCs w:val="24"/>
          <w:highlight w:val="none"/>
          <w:lang w:val="en-US" w:eastAsia="zh-CN" w:bidi="ar"/>
        </w:rPr>
      </w:pPr>
      <w:r>
        <w:rPr>
          <w:rFonts w:hint="default" w:ascii="Times New Roman" w:hAnsi="Times New Roman" w:eastAsia="宋体" w:cs="Times New Roman"/>
          <w:b w:val="0"/>
          <w:bCs w:val="0"/>
          <w:kern w:val="2"/>
          <w:sz w:val="24"/>
          <w:szCs w:val="24"/>
          <w:highlight w:val="none"/>
          <w:lang w:val="en-US" w:eastAsia="zh-CN" w:bidi="ar"/>
        </w:rPr>
        <w:t>Regional burden analyses were performed using the covariate structure of Model 4f.</w:t>
      </w:r>
    </w:p>
    <w:p w14:paraId="2698BDFA">
      <w:pPr>
        <w:keepNext w:val="0"/>
        <w:keepLines w:val="0"/>
        <w:widowControl/>
        <w:suppressLineNumbers w:val="0"/>
        <w:spacing w:line="480" w:lineRule="auto"/>
        <w:jc w:val="left"/>
        <w:rPr>
          <w:rFonts w:hint="default" w:ascii="Times New Roman" w:hAnsi="Times New Roman" w:eastAsia="宋体" w:cs="Times New Roman"/>
          <w:b w:val="0"/>
          <w:bCs w:val="0"/>
          <w:kern w:val="2"/>
          <w:sz w:val="24"/>
          <w:szCs w:val="24"/>
          <w:highlight w:val="none"/>
          <w:lang w:val="en-US" w:eastAsia="zh-CN" w:bidi="ar"/>
        </w:rPr>
      </w:pPr>
      <w:r>
        <w:rPr>
          <w:rFonts w:hint="default" w:ascii="Times New Roman" w:hAnsi="Times New Roman" w:eastAsia="宋体" w:cs="Times New Roman"/>
          <w:b/>
          <w:bCs/>
          <w:kern w:val="2"/>
          <w:sz w:val="24"/>
          <w:szCs w:val="24"/>
          <w:highlight w:val="none"/>
          <w:lang w:val="en-US" w:eastAsia="zh-CN" w:bidi="ar"/>
        </w:rPr>
        <w:t>Abbreviations:</w:t>
      </w:r>
      <w:r>
        <w:rPr>
          <w:rFonts w:hint="default" w:ascii="Times New Roman" w:hAnsi="Times New Roman" w:eastAsia="宋体" w:cs="Times New Roman"/>
          <w:b w:val="0"/>
          <w:bCs w:val="0"/>
          <w:kern w:val="2"/>
          <w:sz w:val="24"/>
          <w:szCs w:val="24"/>
          <w:highlight w:val="none"/>
          <w:lang w:val="en-US" w:eastAsia="zh-CN" w:bidi="ar"/>
        </w:rPr>
        <w:t xml:space="preserve"> BMI, body mass index; CI, confidence interval; COPD, chronic obstructive pulmonary disease; HDL-C, high-density lipoprotein cholesterol; LAD, left atrial diameter; LDL-C, low-density lipoprotein cholesterol; LVA, left atrial low-voltage area; T3, triiodothyronine.</w:t>
      </w:r>
    </w:p>
    <w:p w14:paraId="04B2D4A4">
      <w:pPr>
        <w:keepNext w:val="0"/>
        <w:keepLines w:val="0"/>
        <w:widowControl/>
        <w:suppressLineNumbers w:val="0"/>
        <w:spacing w:line="480" w:lineRule="auto"/>
        <w:jc w:val="left"/>
        <w:rPr>
          <w:rFonts w:hint="default" w:ascii="Times New Roman" w:hAnsi="Times New Roman" w:eastAsia="宋体" w:cs="Times New Roman"/>
          <w:b w:val="0"/>
          <w:bCs w:val="0"/>
          <w:kern w:val="2"/>
          <w:sz w:val="24"/>
          <w:szCs w:val="24"/>
          <w:highlight w:val="none"/>
          <w:lang w:val="en-US" w:eastAsia="zh-CN" w:bidi="ar"/>
        </w:rPr>
      </w:pPr>
    </w:p>
    <w:p w14:paraId="6A0434DB">
      <w:pPr>
        <w:keepNext w:val="0"/>
        <w:keepLines w:val="0"/>
        <w:widowControl/>
        <w:suppressLineNumbers w:val="0"/>
        <w:spacing w:line="480" w:lineRule="auto"/>
        <w:jc w:val="left"/>
        <w:rPr>
          <w:rFonts w:hint="default" w:ascii="Times New Roman" w:hAnsi="Times New Roman" w:cs="Times New Roman" w:eastAsiaTheme="minorEastAsia"/>
          <w:kern w:val="0"/>
          <w:sz w:val="24"/>
          <w:szCs w:val="24"/>
          <w:highlight w:val="none"/>
          <w:lang w:bidi="ar"/>
        </w:rPr>
      </w:pPr>
      <w:r>
        <w:rPr>
          <w:rFonts w:hint="default" w:ascii="Times New Roman" w:hAnsi="Times New Roman" w:cs="Times New Roman" w:eastAsiaTheme="minorEastAsia"/>
          <w:b/>
          <w:bCs w:val="0"/>
          <w:kern w:val="0"/>
          <w:sz w:val="24"/>
          <w:szCs w:val="24"/>
          <w:highlight w:val="none"/>
          <w:lang w:bidi="ar"/>
        </w:rPr>
        <w:t>Supplementary Table S2</w:t>
      </w:r>
      <w:r>
        <w:rPr>
          <w:rFonts w:hint="default" w:ascii="Times New Roman" w:hAnsi="Times New Roman" w:cs="Times New Roman"/>
          <w:b/>
          <w:bCs w:val="0"/>
          <w:kern w:val="0"/>
          <w:sz w:val="24"/>
          <w:szCs w:val="24"/>
          <w:highlight w:val="none"/>
          <w:lang w:val="en-US" w:eastAsia="zh-CN" w:bidi="ar"/>
        </w:rPr>
        <w:t>2</w:t>
      </w:r>
      <w:r>
        <w:rPr>
          <w:rFonts w:hint="default" w:ascii="Times New Roman" w:hAnsi="Times New Roman" w:cs="Times New Roman" w:eastAsiaTheme="minorEastAsia"/>
          <w:b/>
          <w:bCs w:val="0"/>
          <w:kern w:val="0"/>
          <w:sz w:val="24"/>
          <w:szCs w:val="24"/>
          <w:highlight w:val="none"/>
          <w:lang w:bidi="ar"/>
        </w:rPr>
        <w:t>.</w:t>
      </w:r>
      <w:r>
        <w:rPr>
          <w:rFonts w:hint="default" w:ascii="Times New Roman" w:hAnsi="Times New Roman" w:eastAsia="宋体" w:cs="Times New Roman"/>
          <w:sz w:val="24"/>
          <w:szCs w:val="24"/>
          <w:highlight w:val="none"/>
        </w:rPr>
        <w:t xml:space="preserve"> </w:t>
      </w:r>
      <w:r>
        <w:rPr>
          <w:rFonts w:hint="default" w:ascii="Times New Roman" w:hAnsi="Times New Roman" w:cs="Times New Roman" w:eastAsiaTheme="minorEastAsia"/>
          <w:kern w:val="0"/>
          <w:sz w:val="24"/>
          <w:szCs w:val="24"/>
          <w:highlight w:val="none"/>
          <w:lang w:bidi="ar"/>
        </w:rPr>
        <w:t>Comparison of LDL-C and selected clinical characteristics across total LVA burden categories in the sinus-rhythm subgroup with complete quantitative data.</w:t>
      </w:r>
    </w:p>
    <w:tbl>
      <w:tblPr>
        <w:tblStyle w:val="8"/>
        <w:tblW w:w="863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83"/>
        <w:gridCol w:w="1190"/>
        <w:gridCol w:w="1192"/>
        <w:gridCol w:w="1192"/>
        <w:gridCol w:w="1194"/>
        <w:gridCol w:w="1192"/>
        <w:gridCol w:w="989"/>
      </w:tblGrid>
      <w:tr w14:paraId="4CBB3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tcBorders>
              <w:top w:val="single" w:color="000000" w:sz="12" w:space="0"/>
              <w:left w:val="nil"/>
              <w:bottom w:val="single" w:color="000000" w:sz="4" w:space="0"/>
              <w:right w:val="nil"/>
              <w:tl2br w:val="nil"/>
            </w:tcBorders>
            <w:shd w:val="clear" w:color="auto" w:fill="FFFFFF"/>
            <w:vAlign w:val="center"/>
          </w:tcPr>
          <w:p w14:paraId="6D7D2352">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b/>
                <w:bCs/>
                <w:i w:val="0"/>
                <w:iCs w:val="0"/>
                <w:color w:val="000000"/>
                <w:sz w:val="24"/>
                <w:szCs w:val="24"/>
                <w:highlight w:val="none"/>
                <w:u w:val="none"/>
              </w:rPr>
            </w:pPr>
            <w:r>
              <w:rPr>
                <w:rFonts w:hint="default" w:ascii="Times New Roman" w:hAnsi="Times New Roman" w:eastAsia="Carlito" w:cs="Times New Roman"/>
                <w:b/>
                <w:bCs/>
                <w:i w:val="0"/>
                <w:iCs w:val="0"/>
                <w:color w:val="000000"/>
                <w:kern w:val="0"/>
                <w:sz w:val="24"/>
                <w:szCs w:val="24"/>
                <w:highlight w:val="none"/>
                <w:u w:val="none"/>
                <w:lang w:val="en-US" w:eastAsia="zh-CN" w:bidi="ar"/>
              </w:rPr>
              <w:t>Characteristic</w:t>
            </w:r>
          </w:p>
        </w:tc>
        <w:tc>
          <w:tcPr>
            <w:tcW w:w="0" w:type="auto"/>
            <w:tcBorders>
              <w:top w:val="single" w:color="000000" w:sz="12" w:space="0"/>
              <w:left w:val="nil"/>
              <w:bottom w:val="single" w:color="000000" w:sz="4" w:space="0"/>
              <w:right w:val="nil"/>
            </w:tcBorders>
            <w:shd w:val="clear" w:color="auto" w:fill="FFFFFF"/>
            <w:vAlign w:val="center"/>
          </w:tcPr>
          <w:p w14:paraId="58A24CAA">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b/>
                <w:bCs/>
                <w:i w:val="0"/>
                <w:iCs w:val="0"/>
                <w:color w:val="000000"/>
                <w:sz w:val="24"/>
                <w:szCs w:val="24"/>
                <w:highlight w:val="none"/>
                <w:u w:val="none"/>
              </w:rPr>
            </w:pPr>
            <w:r>
              <w:rPr>
                <w:rFonts w:hint="default" w:ascii="Times New Roman" w:hAnsi="Times New Roman" w:eastAsia="Carlito" w:cs="Times New Roman"/>
                <w:b/>
                <w:bCs/>
                <w:i w:val="0"/>
                <w:iCs w:val="0"/>
                <w:color w:val="000000"/>
                <w:kern w:val="0"/>
                <w:sz w:val="24"/>
                <w:szCs w:val="24"/>
                <w:highlight w:val="none"/>
                <w:u w:val="none"/>
                <w:lang w:val="en-US" w:eastAsia="zh-CN" w:bidi="ar"/>
              </w:rPr>
              <w:t>0%</w:t>
            </w:r>
          </w:p>
        </w:tc>
        <w:tc>
          <w:tcPr>
            <w:tcW w:w="0" w:type="auto"/>
            <w:tcBorders>
              <w:top w:val="single" w:color="000000" w:sz="12" w:space="0"/>
              <w:left w:val="nil"/>
              <w:bottom w:val="single" w:color="000000" w:sz="4" w:space="0"/>
              <w:right w:val="nil"/>
            </w:tcBorders>
            <w:shd w:val="clear" w:color="auto" w:fill="FFFFFF"/>
            <w:vAlign w:val="center"/>
          </w:tcPr>
          <w:p w14:paraId="41215D48">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b/>
                <w:bCs/>
                <w:i w:val="0"/>
                <w:iCs w:val="0"/>
                <w:color w:val="000000"/>
                <w:sz w:val="24"/>
                <w:szCs w:val="24"/>
                <w:highlight w:val="none"/>
                <w:u w:val="none"/>
              </w:rPr>
            </w:pPr>
            <w:r>
              <w:rPr>
                <w:rFonts w:hint="default" w:ascii="Times New Roman" w:hAnsi="Times New Roman" w:eastAsia="Carlito" w:cs="Times New Roman"/>
                <w:b/>
                <w:bCs/>
                <w:i w:val="0"/>
                <w:iCs w:val="0"/>
                <w:color w:val="000000"/>
                <w:kern w:val="0"/>
                <w:sz w:val="24"/>
                <w:szCs w:val="24"/>
                <w:highlight w:val="none"/>
                <w:u w:val="none"/>
                <w:lang w:val="en-US" w:eastAsia="zh-CN" w:bidi="ar"/>
              </w:rPr>
              <w:t>&gt;0-5%</w:t>
            </w:r>
          </w:p>
        </w:tc>
        <w:tc>
          <w:tcPr>
            <w:tcW w:w="0" w:type="auto"/>
            <w:tcBorders>
              <w:top w:val="single" w:color="000000" w:sz="12" w:space="0"/>
              <w:left w:val="nil"/>
              <w:bottom w:val="single" w:color="000000" w:sz="4" w:space="0"/>
              <w:right w:val="nil"/>
            </w:tcBorders>
            <w:shd w:val="clear" w:color="auto" w:fill="FFFFFF"/>
            <w:vAlign w:val="center"/>
          </w:tcPr>
          <w:p w14:paraId="65B9D7CA">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b/>
                <w:bCs/>
                <w:i w:val="0"/>
                <w:iCs w:val="0"/>
                <w:color w:val="000000"/>
                <w:sz w:val="24"/>
                <w:szCs w:val="24"/>
                <w:highlight w:val="none"/>
                <w:u w:val="none"/>
              </w:rPr>
            </w:pPr>
            <w:r>
              <w:rPr>
                <w:rFonts w:hint="default" w:ascii="Times New Roman" w:hAnsi="Times New Roman" w:eastAsia="Carlito" w:cs="Times New Roman"/>
                <w:b/>
                <w:bCs/>
                <w:i w:val="0"/>
                <w:iCs w:val="0"/>
                <w:color w:val="000000"/>
                <w:kern w:val="0"/>
                <w:sz w:val="24"/>
                <w:szCs w:val="24"/>
                <w:highlight w:val="none"/>
                <w:u w:val="none"/>
                <w:lang w:val="en-US" w:eastAsia="zh-CN" w:bidi="ar"/>
              </w:rPr>
              <w:t>&gt;5-10%</w:t>
            </w:r>
          </w:p>
        </w:tc>
        <w:tc>
          <w:tcPr>
            <w:tcW w:w="0" w:type="auto"/>
            <w:tcBorders>
              <w:top w:val="single" w:color="000000" w:sz="12" w:space="0"/>
              <w:left w:val="nil"/>
              <w:bottom w:val="single" w:color="000000" w:sz="4" w:space="0"/>
              <w:right w:val="nil"/>
            </w:tcBorders>
            <w:shd w:val="clear" w:color="auto" w:fill="FFFFFF"/>
            <w:vAlign w:val="center"/>
          </w:tcPr>
          <w:p w14:paraId="1445C916">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b/>
                <w:bCs/>
                <w:i w:val="0"/>
                <w:iCs w:val="0"/>
                <w:color w:val="000000"/>
                <w:sz w:val="24"/>
                <w:szCs w:val="24"/>
                <w:highlight w:val="none"/>
                <w:u w:val="none"/>
              </w:rPr>
            </w:pPr>
            <w:r>
              <w:rPr>
                <w:rFonts w:hint="default" w:ascii="Times New Roman" w:hAnsi="Times New Roman" w:eastAsia="Carlito" w:cs="Times New Roman"/>
                <w:b/>
                <w:bCs/>
                <w:i w:val="0"/>
                <w:iCs w:val="0"/>
                <w:color w:val="000000"/>
                <w:kern w:val="0"/>
                <w:sz w:val="24"/>
                <w:szCs w:val="24"/>
                <w:highlight w:val="none"/>
                <w:u w:val="none"/>
                <w:lang w:val="en-US" w:eastAsia="zh-CN" w:bidi="ar"/>
              </w:rPr>
              <w:t>&gt;10-15%</w:t>
            </w:r>
          </w:p>
        </w:tc>
        <w:tc>
          <w:tcPr>
            <w:tcW w:w="0" w:type="auto"/>
            <w:tcBorders>
              <w:top w:val="single" w:color="000000" w:sz="12" w:space="0"/>
              <w:left w:val="nil"/>
              <w:bottom w:val="single" w:color="000000" w:sz="4" w:space="0"/>
              <w:right w:val="nil"/>
            </w:tcBorders>
            <w:shd w:val="clear" w:color="auto" w:fill="FFFFFF"/>
            <w:vAlign w:val="center"/>
          </w:tcPr>
          <w:p w14:paraId="00174C45">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b/>
                <w:bCs/>
                <w:i w:val="0"/>
                <w:iCs w:val="0"/>
                <w:color w:val="000000"/>
                <w:sz w:val="24"/>
                <w:szCs w:val="24"/>
                <w:highlight w:val="none"/>
                <w:u w:val="none"/>
              </w:rPr>
            </w:pPr>
            <w:r>
              <w:rPr>
                <w:rFonts w:hint="default" w:ascii="Times New Roman" w:hAnsi="Times New Roman" w:eastAsia="Carlito" w:cs="Times New Roman"/>
                <w:b/>
                <w:bCs/>
                <w:i w:val="0"/>
                <w:iCs w:val="0"/>
                <w:color w:val="000000"/>
                <w:kern w:val="0"/>
                <w:sz w:val="24"/>
                <w:szCs w:val="24"/>
                <w:highlight w:val="none"/>
                <w:u w:val="none"/>
                <w:lang w:val="en-US" w:eastAsia="zh-CN" w:bidi="ar"/>
              </w:rPr>
              <w:t>&gt;15%</w:t>
            </w:r>
          </w:p>
        </w:tc>
        <w:tc>
          <w:tcPr>
            <w:tcW w:w="1001" w:type="dxa"/>
            <w:tcBorders>
              <w:top w:val="single" w:color="000000" w:sz="12" w:space="0"/>
              <w:left w:val="nil"/>
              <w:bottom w:val="single" w:color="000000" w:sz="4" w:space="0"/>
              <w:right w:val="nil"/>
            </w:tcBorders>
            <w:shd w:val="clear" w:color="auto" w:fill="FFFFFF"/>
            <w:vAlign w:val="center"/>
          </w:tcPr>
          <w:p w14:paraId="76CD1938">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b/>
                <w:bCs/>
                <w:i w:val="0"/>
                <w:iCs w:val="0"/>
                <w:color w:val="000000"/>
                <w:sz w:val="24"/>
                <w:szCs w:val="24"/>
                <w:highlight w:val="none"/>
                <w:u w:val="none"/>
              </w:rPr>
            </w:pPr>
            <w:r>
              <w:rPr>
                <w:rFonts w:hint="default" w:ascii="Times New Roman" w:hAnsi="Times New Roman" w:eastAsia="Carlito" w:cs="Times New Roman"/>
                <w:b/>
                <w:bCs/>
                <w:i/>
                <w:iCs/>
                <w:color w:val="000000"/>
                <w:kern w:val="0"/>
                <w:sz w:val="24"/>
                <w:szCs w:val="24"/>
                <w:highlight w:val="none"/>
                <w:u w:val="none"/>
                <w:lang w:val="en-US" w:eastAsia="zh-CN" w:bidi="ar"/>
              </w:rPr>
              <w:t>P</w:t>
            </w:r>
            <w:r>
              <w:rPr>
                <w:rFonts w:hint="default" w:ascii="Times New Roman" w:hAnsi="Times New Roman" w:eastAsia="Carlito" w:cs="Times New Roman"/>
                <w:b/>
                <w:bCs/>
                <w:i w:val="0"/>
                <w:iCs w:val="0"/>
                <w:color w:val="000000"/>
                <w:kern w:val="0"/>
                <w:sz w:val="24"/>
                <w:szCs w:val="24"/>
                <w:highlight w:val="none"/>
                <w:u w:val="none"/>
                <w:lang w:val="en-US" w:eastAsia="zh-CN" w:bidi="ar"/>
              </w:rPr>
              <w:t xml:space="preserve"> value</w:t>
            </w:r>
          </w:p>
        </w:tc>
      </w:tr>
      <w:tr w14:paraId="7430B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nil"/>
              <w:bottom w:val="nil"/>
              <w:right w:val="nil"/>
            </w:tcBorders>
            <w:shd w:val="clear" w:color="auto" w:fill="FFFFFF"/>
            <w:vAlign w:val="center"/>
          </w:tcPr>
          <w:p w14:paraId="7CA0503E">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LDL-C, mmol/L</w:t>
            </w:r>
          </w:p>
        </w:tc>
        <w:tc>
          <w:tcPr>
            <w:tcW w:w="0" w:type="auto"/>
            <w:tcBorders>
              <w:top w:val="single" w:color="000000" w:sz="4" w:space="0"/>
              <w:left w:val="nil"/>
              <w:bottom w:val="nil"/>
              <w:right w:val="nil"/>
            </w:tcBorders>
            <w:shd w:val="clear" w:color="auto" w:fill="FFFFFF"/>
            <w:vAlign w:val="center"/>
          </w:tcPr>
          <w:p w14:paraId="7DCD4BCC">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2.49 [2.01, 3.11]</w:t>
            </w:r>
          </w:p>
        </w:tc>
        <w:tc>
          <w:tcPr>
            <w:tcW w:w="0" w:type="auto"/>
            <w:tcBorders>
              <w:top w:val="single" w:color="000000" w:sz="4" w:space="0"/>
              <w:left w:val="nil"/>
              <w:bottom w:val="nil"/>
              <w:right w:val="nil"/>
            </w:tcBorders>
            <w:shd w:val="clear" w:color="auto" w:fill="FFFFFF"/>
            <w:vAlign w:val="center"/>
          </w:tcPr>
          <w:p w14:paraId="70E69B41">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2.45 [1.89, 3.07]</w:t>
            </w:r>
          </w:p>
        </w:tc>
        <w:tc>
          <w:tcPr>
            <w:tcW w:w="0" w:type="auto"/>
            <w:tcBorders>
              <w:top w:val="single" w:color="000000" w:sz="4" w:space="0"/>
              <w:left w:val="nil"/>
              <w:bottom w:val="nil"/>
              <w:right w:val="nil"/>
            </w:tcBorders>
            <w:shd w:val="clear" w:color="auto" w:fill="FFFFFF"/>
            <w:vAlign w:val="center"/>
          </w:tcPr>
          <w:p w14:paraId="1D004B5E">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2.17 [1.90, 2.81]</w:t>
            </w:r>
          </w:p>
        </w:tc>
        <w:tc>
          <w:tcPr>
            <w:tcW w:w="0" w:type="auto"/>
            <w:tcBorders>
              <w:top w:val="single" w:color="000000" w:sz="4" w:space="0"/>
              <w:left w:val="nil"/>
              <w:bottom w:val="nil"/>
              <w:right w:val="nil"/>
            </w:tcBorders>
            <w:shd w:val="clear" w:color="auto" w:fill="FFFFFF"/>
            <w:vAlign w:val="center"/>
          </w:tcPr>
          <w:p w14:paraId="62992090">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2.33 [1.68, 2.67]</w:t>
            </w:r>
          </w:p>
        </w:tc>
        <w:tc>
          <w:tcPr>
            <w:tcW w:w="0" w:type="auto"/>
            <w:tcBorders>
              <w:top w:val="single" w:color="000000" w:sz="4" w:space="0"/>
              <w:left w:val="nil"/>
              <w:bottom w:val="nil"/>
              <w:right w:val="nil"/>
            </w:tcBorders>
            <w:shd w:val="clear" w:color="auto" w:fill="FFFFFF"/>
            <w:vAlign w:val="center"/>
          </w:tcPr>
          <w:p w14:paraId="76CB4222">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1.92 [1.46, 2.38]</w:t>
            </w:r>
          </w:p>
        </w:tc>
        <w:tc>
          <w:tcPr>
            <w:tcW w:w="1001" w:type="dxa"/>
            <w:tcBorders>
              <w:top w:val="single" w:color="000000" w:sz="4" w:space="0"/>
              <w:left w:val="nil"/>
              <w:bottom w:val="nil"/>
              <w:right w:val="nil"/>
            </w:tcBorders>
            <w:shd w:val="clear" w:color="auto" w:fill="FFFFFF"/>
            <w:vAlign w:val="center"/>
          </w:tcPr>
          <w:p w14:paraId="782697B6">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0.006</w:t>
            </w:r>
          </w:p>
        </w:tc>
      </w:tr>
      <w:tr w14:paraId="1C3F9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0BCC1398">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Age, years</w:t>
            </w:r>
          </w:p>
        </w:tc>
        <w:tc>
          <w:tcPr>
            <w:tcW w:w="0" w:type="auto"/>
            <w:tcBorders>
              <w:top w:val="nil"/>
              <w:left w:val="nil"/>
              <w:bottom w:val="nil"/>
              <w:right w:val="nil"/>
            </w:tcBorders>
            <w:shd w:val="clear" w:color="auto" w:fill="FFFFFF"/>
            <w:vAlign w:val="center"/>
          </w:tcPr>
          <w:p w14:paraId="661CE513">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65.00 [57.00, 71.00]</w:t>
            </w:r>
          </w:p>
        </w:tc>
        <w:tc>
          <w:tcPr>
            <w:tcW w:w="0" w:type="auto"/>
            <w:tcBorders>
              <w:top w:val="nil"/>
              <w:left w:val="nil"/>
              <w:bottom w:val="nil"/>
              <w:right w:val="nil"/>
            </w:tcBorders>
            <w:shd w:val="clear" w:color="auto" w:fill="FFFFFF"/>
            <w:vAlign w:val="center"/>
          </w:tcPr>
          <w:p w14:paraId="29112675">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67.00 [65.00, 70.00]</w:t>
            </w:r>
          </w:p>
        </w:tc>
        <w:tc>
          <w:tcPr>
            <w:tcW w:w="0" w:type="auto"/>
            <w:tcBorders>
              <w:top w:val="nil"/>
              <w:left w:val="nil"/>
              <w:bottom w:val="nil"/>
              <w:right w:val="nil"/>
            </w:tcBorders>
            <w:shd w:val="clear" w:color="auto" w:fill="FFFFFF"/>
            <w:vAlign w:val="center"/>
          </w:tcPr>
          <w:p w14:paraId="131B53E4">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67.00 [62.00, 73.00]</w:t>
            </w:r>
          </w:p>
        </w:tc>
        <w:tc>
          <w:tcPr>
            <w:tcW w:w="0" w:type="auto"/>
            <w:tcBorders>
              <w:top w:val="nil"/>
              <w:left w:val="nil"/>
              <w:bottom w:val="nil"/>
              <w:right w:val="nil"/>
            </w:tcBorders>
            <w:shd w:val="clear" w:color="auto" w:fill="FFFFFF"/>
            <w:vAlign w:val="center"/>
          </w:tcPr>
          <w:p w14:paraId="55A81F52">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72.00 [64.00, 76.00]</w:t>
            </w:r>
          </w:p>
        </w:tc>
        <w:tc>
          <w:tcPr>
            <w:tcW w:w="0" w:type="auto"/>
            <w:tcBorders>
              <w:top w:val="nil"/>
              <w:left w:val="nil"/>
              <w:bottom w:val="nil"/>
              <w:right w:val="nil"/>
            </w:tcBorders>
            <w:shd w:val="clear" w:color="auto" w:fill="FFFFFF"/>
            <w:vAlign w:val="center"/>
          </w:tcPr>
          <w:p w14:paraId="1D4BF28C">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74.00 [69.00, 77.00]</w:t>
            </w:r>
          </w:p>
        </w:tc>
        <w:tc>
          <w:tcPr>
            <w:tcW w:w="1001" w:type="dxa"/>
            <w:tcBorders>
              <w:top w:val="nil"/>
              <w:left w:val="nil"/>
              <w:bottom w:val="nil"/>
              <w:right w:val="nil"/>
            </w:tcBorders>
            <w:shd w:val="clear" w:color="auto" w:fill="FFFFFF"/>
            <w:vAlign w:val="center"/>
          </w:tcPr>
          <w:p w14:paraId="5972C405">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&lt;0.001</w:t>
            </w:r>
          </w:p>
        </w:tc>
      </w:tr>
      <w:tr w14:paraId="4FABE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0957B4B3">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Sex</w:t>
            </w:r>
          </w:p>
        </w:tc>
        <w:tc>
          <w:tcPr>
            <w:tcW w:w="0" w:type="auto"/>
            <w:tcBorders>
              <w:top w:val="nil"/>
              <w:left w:val="nil"/>
              <w:bottom w:val="nil"/>
              <w:right w:val="nil"/>
            </w:tcBorders>
            <w:shd w:val="clear" w:color="auto" w:fill="FFFFFF"/>
            <w:vAlign w:val="center"/>
          </w:tcPr>
          <w:p w14:paraId="07C56287">
            <w:pPr>
              <w:snapToGrid w:val="0"/>
              <w:ind w:left="0" w:leftChars="0" w:right="0" w:rightChars="0" w:firstLine="0" w:firstLineChars="0"/>
              <w:jc w:val="center"/>
              <w:rPr>
                <w:rFonts w:hint="default" w:ascii="Times New Roman" w:hAnsi="Times New Roman" w:eastAsia="Carlito" w:cs="Times New Roman"/>
                <w:i w:val="0"/>
                <w:iCs w:val="0"/>
                <w:color w:val="000000"/>
                <w:sz w:val="24"/>
                <w:szCs w:val="24"/>
                <w:highlight w:val="none"/>
                <w:u w:val="none"/>
              </w:rPr>
            </w:pPr>
          </w:p>
        </w:tc>
        <w:tc>
          <w:tcPr>
            <w:tcW w:w="0" w:type="auto"/>
            <w:tcBorders>
              <w:top w:val="nil"/>
              <w:left w:val="nil"/>
              <w:bottom w:val="nil"/>
              <w:right w:val="nil"/>
            </w:tcBorders>
            <w:shd w:val="clear" w:color="auto" w:fill="FFFFFF"/>
            <w:vAlign w:val="center"/>
          </w:tcPr>
          <w:p w14:paraId="755B94F7">
            <w:pPr>
              <w:snapToGrid w:val="0"/>
              <w:ind w:left="0" w:leftChars="0" w:right="0" w:rightChars="0" w:firstLine="0" w:firstLineChars="0"/>
              <w:jc w:val="center"/>
              <w:rPr>
                <w:rFonts w:hint="default" w:ascii="Times New Roman" w:hAnsi="Times New Roman" w:eastAsia="Carlito" w:cs="Times New Roman"/>
                <w:i w:val="0"/>
                <w:iCs w:val="0"/>
                <w:color w:val="000000"/>
                <w:sz w:val="24"/>
                <w:szCs w:val="24"/>
                <w:highlight w:val="none"/>
                <w:u w:val="none"/>
              </w:rPr>
            </w:pPr>
          </w:p>
        </w:tc>
        <w:tc>
          <w:tcPr>
            <w:tcW w:w="0" w:type="auto"/>
            <w:tcBorders>
              <w:top w:val="nil"/>
              <w:left w:val="nil"/>
              <w:bottom w:val="nil"/>
              <w:right w:val="nil"/>
            </w:tcBorders>
            <w:shd w:val="clear" w:color="auto" w:fill="FFFFFF"/>
            <w:vAlign w:val="center"/>
          </w:tcPr>
          <w:p w14:paraId="7970BEE8">
            <w:pPr>
              <w:snapToGrid w:val="0"/>
              <w:ind w:left="0" w:leftChars="0" w:right="0" w:rightChars="0" w:firstLine="0" w:firstLineChars="0"/>
              <w:jc w:val="center"/>
              <w:rPr>
                <w:rFonts w:hint="default" w:ascii="Times New Roman" w:hAnsi="Times New Roman" w:eastAsia="Carlito" w:cs="Times New Roman"/>
                <w:i w:val="0"/>
                <w:iCs w:val="0"/>
                <w:color w:val="000000"/>
                <w:sz w:val="24"/>
                <w:szCs w:val="24"/>
                <w:highlight w:val="none"/>
                <w:u w:val="none"/>
              </w:rPr>
            </w:pPr>
          </w:p>
        </w:tc>
        <w:tc>
          <w:tcPr>
            <w:tcW w:w="0" w:type="auto"/>
            <w:tcBorders>
              <w:top w:val="nil"/>
              <w:left w:val="nil"/>
              <w:bottom w:val="nil"/>
              <w:right w:val="nil"/>
            </w:tcBorders>
            <w:shd w:val="clear" w:color="auto" w:fill="FFFFFF"/>
            <w:vAlign w:val="center"/>
          </w:tcPr>
          <w:p w14:paraId="268B3892">
            <w:pPr>
              <w:snapToGrid w:val="0"/>
              <w:ind w:left="0" w:leftChars="0" w:right="0" w:rightChars="0" w:firstLine="0" w:firstLineChars="0"/>
              <w:jc w:val="center"/>
              <w:rPr>
                <w:rFonts w:hint="default" w:ascii="Times New Roman" w:hAnsi="Times New Roman" w:eastAsia="Carlito" w:cs="Times New Roman"/>
                <w:i w:val="0"/>
                <w:iCs w:val="0"/>
                <w:color w:val="000000"/>
                <w:sz w:val="24"/>
                <w:szCs w:val="24"/>
                <w:highlight w:val="none"/>
                <w:u w:val="none"/>
              </w:rPr>
            </w:pPr>
          </w:p>
        </w:tc>
        <w:tc>
          <w:tcPr>
            <w:tcW w:w="0" w:type="auto"/>
            <w:tcBorders>
              <w:top w:val="nil"/>
              <w:left w:val="nil"/>
              <w:bottom w:val="nil"/>
              <w:right w:val="nil"/>
            </w:tcBorders>
            <w:shd w:val="clear" w:color="auto" w:fill="FFFFFF"/>
            <w:vAlign w:val="center"/>
          </w:tcPr>
          <w:p w14:paraId="4DC6B9D9">
            <w:pPr>
              <w:snapToGrid w:val="0"/>
              <w:ind w:left="0" w:leftChars="0" w:right="0" w:rightChars="0" w:firstLine="0" w:firstLineChars="0"/>
              <w:jc w:val="center"/>
              <w:rPr>
                <w:rFonts w:hint="default" w:ascii="Times New Roman" w:hAnsi="Times New Roman" w:eastAsia="Carlito" w:cs="Times New Roman"/>
                <w:i w:val="0"/>
                <w:iCs w:val="0"/>
                <w:color w:val="000000"/>
                <w:sz w:val="24"/>
                <w:szCs w:val="24"/>
                <w:highlight w:val="none"/>
                <w:u w:val="none"/>
              </w:rPr>
            </w:pPr>
          </w:p>
        </w:tc>
        <w:tc>
          <w:tcPr>
            <w:tcW w:w="1001" w:type="dxa"/>
            <w:tcBorders>
              <w:top w:val="nil"/>
              <w:left w:val="nil"/>
              <w:bottom w:val="nil"/>
              <w:right w:val="nil"/>
            </w:tcBorders>
            <w:shd w:val="clear" w:color="auto" w:fill="FFFFFF"/>
            <w:vAlign w:val="center"/>
          </w:tcPr>
          <w:p w14:paraId="34745B8B">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&lt;0.001</w:t>
            </w:r>
          </w:p>
        </w:tc>
      </w:tr>
      <w:tr w14:paraId="499B4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080FCC4F">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Male</w:t>
            </w:r>
          </w:p>
        </w:tc>
        <w:tc>
          <w:tcPr>
            <w:tcW w:w="0" w:type="auto"/>
            <w:tcBorders>
              <w:top w:val="nil"/>
              <w:left w:val="nil"/>
              <w:bottom w:val="nil"/>
              <w:right w:val="nil"/>
            </w:tcBorders>
            <w:shd w:val="clear" w:color="auto" w:fill="FFFFFF"/>
            <w:vAlign w:val="center"/>
          </w:tcPr>
          <w:p w14:paraId="2E6BDC9E">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112 (75%)</w:t>
            </w:r>
          </w:p>
        </w:tc>
        <w:tc>
          <w:tcPr>
            <w:tcW w:w="0" w:type="auto"/>
            <w:tcBorders>
              <w:top w:val="nil"/>
              <w:left w:val="nil"/>
              <w:bottom w:val="nil"/>
              <w:right w:val="nil"/>
            </w:tcBorders>
            <w:shd w:val="clear" w:color="auto" w:fill="FFFFFF"/>
            <w:vAlign w:val="center"/>
          </w:tcPr>
          <w:p w14:paraId="56A0F90A">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36 (78%)</w:t>
            </w:r>
          </w:p>
        </w:tc>
        <w:tc>
          <w:tcPr>
            <w:tcW w:w="0" w:type="auto"/>
            <w:tcBorders>
              <w:top w:val="nil"/>
              <w:left w:val="nil"/>
              <w:bottom w:val="nil"/>
              <w:right w:val="nil"/>
            </w:tcBorders>
            <w:shd w:val="clear" w:color="auto" w:fill="FFFFFF"/>
            <w:vAlign w:val="center"/>
          </w:tcPr>
          <w:p w14:paraId="32B286D8">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23 (53%)</w:t>
            </w:r>
          </w:p>
        </w:tc>
        <w:tc>
          <w:tcPr>
            <w:tcW w:w="0" w:type="auto"/>
            <w:tcBorders>
              <w:top w:val="nil"/>
              <w:left w:val="nil"/>
              <w:bottom w:val="nil"/>
              <w:right w:val="nil"/>
            </w:tcBorders>
            <w:shd w:val="clear" w:color="auto" w:fill="FFFFFF"/>
            <w:vAlign w:val="center"/>
          </w:tcPr>
          <w:p w14:paraId="03E9AAFC">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14 (40%)</w:t>
            </w:r>
          </w:p>
        </w:tc>
        <w:tc>
          <w:tcPr>
            <w:tcW w:w="0" w:type="auto"/>
            <w:tcBorders>
              <w:top w:val="nil"/>
              <w:left w:val="nil"/>
              <w:bottom w:val="nil"/>
              <w:right w:val="nil"/>
            </w:tcBorders>
            <w:shd w:val="clear" w:color="auto" w:fill="FFFFFF"/>
            <w:vAlign w:val="center"/>
          </w:tcPr>
          <w:p w14:paraId="321680AB">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9 (27%)</w:t>
            </w:r>
          </w:p>
        </w:tc>
        <w:tc>
          <w:tcPr>
            <w:tcW w:w="1001" w:type="dxa"/>
            <w:tcBorders>
              <w:top w:val="nil"/>
              <w:left w:val="nil"/>
              <w:bottom w:val="nil"/>
              <w:right w:val="nil"/>
            </w:tcBorders>
            <w:shd w:val="clear" w:color="auto" w:fill="FFFFFF"/>
            <w:vAlign w:val="center"/>
          </w:tcPr>
          <w:p w14:paraId="1BEDB041">
            <w:pPr>
              <w:snapToGrid w:val="0"/>
              <w:ind w:left="0" w:leftChars="0" w:right="0" w:rightChars="0" w:firstLine="0" w:firstLineChars="0"/>
              <w:jc w:val="center"/>
              <w:rPr>
                <w:rFonts w:hint="default" w:ascii="Times New Roman" w:hAnsi="Times New Roman" w:eastAsia="Carlito" w:cs="Times New Roman"/>
                <w:i w:val="0"/>
                <w:iCs w:val="0"/>
                <w:color w:val="000000"/>
                <w:sz w:val="24"/>
                <w:szCs w:val="24"/>
                <w:highlight w:val="none"/>
                <w:u w:val="none"/>
              </w:rPr>
            </w:pPr>
          </w:p>
        </w:tc>
      </w:tr>
      <w:tr w14:paraId="29160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423BE911">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Female</w:t>
            </w:r>
          </w:p>
        </w:tc>
        <w:tc>
          <w:tcPr>
            <w:tcW w:w="0" w:type="auto"/>
            <w:tcBorders>
              <w:top w:val="nil"/>
              <w:left w:val="nil"/>
              <w:bottom w:val="nil"/>
              <w:right w:val="nil"/>
            </w:tcBorders>
            <w:shd w:val="clear" w:color="auto" w:fill="FFFFFF"/>
            <w:vAlign w:val="center"/>
          </w:tcPr>
          <w:p w14:paraId="7568D1A5">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37 (25%)</w:t>
            </w:r>
          </w:p>
        </w:tc>
        <w:tc>
          <w:tcPr>
            <w:tcW w:w="0" w:type="auto"/>
            <w:tcBorders>
              <w:top w:val="nil"/>
              <w:left w:val="nil"/>
              <w:bottom w:val="nil"/>
              <w:right w:val="nil"/>
            </w:tcBorders>
            <w:shd w:val="clear" w:color="auto" w:fill="FFFFFF"/>
            <w:vAlign w:val="center"/>
          </w:tcPr>
          <w:p w14:paraId="2FCF6308">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10 (22%)</w:t>
            </w:r>
          </w:p>
        </w:tc>
        <w:tc>
          <w:tcPr>
            <w:tcW w:w="0" w:type="auto"/>
            <w:tcBorders>
              <w:top w:val="nil"/>
              <w:left w:val="nil"/>
              <w:bottom w:val="nil"/>
              <w:right w:val="nil"/>
            </w:tcBorders>
            <w:shd w:val="clear" w:color="auto" w:fill="FFFFFF"/>
            <w:vAlign w:val="center"/>
          </w:tcPr>
          <w:p w14:paraId="5239A964">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20 (47%)</w:t>
            </w:r>
          </w:p>
        </w:tc>
        <w:tc>
          <w:tcPr>
            <w:tcW w:w="0" w:type="auto"/>
            <w:tcBorders>
              <w:top w:val="nil"/>
              <w:left w:val="nil"/>
              <w:bottom w:val="nil"/>
              <w:right w:val="nil"/>
            </w:tcBorders>
            <w:shd w:val="clear" w:color="auto" w:fill="FFFFFF"/>
            <w:vAlign w:val="center"/>
          </w:tcPr>
          <w:p w14:paraId="234D41D6">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21 (60%)</w:t>
            </w:r>
          </w:p>
        </w:tc>
        <w:tc>
          <w:tcPr>
            <w:tcW w:w="0" w:type="auto"/>
            <w:tcBorders>
              <w:top w:val="nil"/>
              <w:left w:val="nil"/>
              <w:bottom w:val="nil"/>
              <w:right w:val="nil"/>
            </w:tcBorders>
            <w:shd w:val="clear" w:color="auto" w:fill="FFFFFF"/>
            <w:vAlign w:val="center"/>
          </w:tcPr>
          <w:p w14:paraId="08176ADD">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24 (73%)</w:t>
            </w:r>
          </w:p>
        </w:tc>
        <w:tc>
          <w:tcPr>
            <w:tcW w:w="1001" w:type="dxa"/>
            <w:tcBorders>
              <w:top w:val="nil"/>
              <w:left w:val="nil"/>
              <w:bottom w:val="nil"/>
              <w:right w:val="nil"/>
            </w:tcBorders>
            <w:shd w:val="clear" w:color="auto" w:fill="FFFFFF"/>
            <w:vAlign w:val="center"/>
          </w:tcPr>
          <w:p w14:paraId="53C7955A">
            <w:pPr>
              <w:snapToGrid w:val="0"/>
              <w:ind w:left="0" w:leftChars="0" w:right="0" w:rightChars="0" w:firstLine="0" w:firstLineChars="0"/>
              <w:jc w:val="center"/>
              <w:rPr>
                <w:rFonts w:hint="default" w:ascii="Times New Roman" w:hAnsi="Times New Roman" w:eastAsia="Carlito" w:cs="Times New Roman"/>
                <w:i w:val="0"/>
                <w:iCs w:val="0"/>
                <w:color w:val="000000"/>
                <w:sz w:val="24"/>
                <w:szCs w:val="24"/>
                <w:highlight w:val="none"/>
                <w:u w:val="none"/>
              </w:rPr>
            </w:pPr>
          </w:p>
        </w:tc>
      </w:tr>
      <w:tr w14:paraId="29467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1F982674">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LAD, mm</w:t>
            </w:r>
          </w:p>
        </w:tc>
        <w:tc>
          <w:tcPr>
            <w:tcW w:w="0" w:type="auto"/>
            <w:tcBorders>
              <w:top w:val="nil"/>
              <w:left w:val="nil"/>
              <w:bottom w:val="nil"/>
              <w:right w:val="nil"/>
            </w:tcBorders>
            <w:shd w:val="clear" w:color="auto" w:fill="FFFFFF"/>
            <w:vAlign w:val="center"/>
          </w:tcPr>
          <w:p w14:paraId="6D1D44FA">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45.00 [42.00, 48.00]</w:t>
            </w:r>
          </w:p>
        </w:tc>
        <w:tc>
          <w:tcPr>
            <w:tcW w:w="0" w:type="auto"/>
            <w:tcBorders>
              <w:top w:val="nil"/>
              <w:left w:val="nil"/>
              <w:bottom w:val="nil"/>
              <w:right w:val="nil"/>
            </w:tcBorders>
            <w:shd w:val="clear" w:color="auto" w:fill="FFFFFF"/>
            <w:vAlign w:val="center"/>
          </w:tcPr>
          <w:p w14:paraId="7D9DEE49">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45.00 [41.00, 48.00]</w:t>
            </w:r>
          </w:p>
        </w:tc>
        <w:tc>
          <w:tcPr>
            <w:tcW w:w="0" w:type="auto"/>
            <w:tcBorders>
              <w:top w:val="nil"/>
              <w:left w:val="nil"/>
              <w:bottom w:val="nil"/>
              <w:right w:val="nil"/>
            </w:tcBorders>
            <w:shd w:val="clear" w:color="auto" w:fill="FFFFFF"/>
            <w:vAlign w:val="center"/>
          </w:tcPr>
          <w:p w14:paraId="4D297684">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46.00 [41.00, 51.00]</w:t>
            </w:r>
          </w:p>
        </w:tc>
        <w:tc>
          <w:tcPr>
            <w:tcW w:w="0" w:type="auto"/>
            <w:tcBorders>
              <w:top w:val="nil"/>
              <w:left w:val="nil"/>
              <w:bottom w:val="nil"/>
              <w:right w:val="nil"/>
            </w:tcBorders>
            <w:shd w:val="clear" w:color="auto" w:fill="FFFFFF"/>
            <w:vAlign w:val="center"/>
          </w:tcPr>
          <w:p w14:paraId="6FFAE2C0">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48.00 [45.00, 52.00]</w:t>
            </w:r>
          </w:p>
        </w:tc>
        <w:tc>
          <w:tcPr>
            <w:tcW w:w="0" w:type="auto"/>
            <w:tcBorders>
              <w:top w:val="nil"/>
              <w:left w:val="nil"/>
              <w:bottom w:val="nil"/>
              <w:right w:val="nil"/>
            </w:tcBorders>
            <w:shd w:val="clear" w:color="auto" w:fill="FFFFFF"/>
            <w:vAlign w:val="center"/>
          </w:tcPr>
          <w:p w14:paraId="69A998E8">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47.00 [45.00, 49.00]</w:t>
            </w:r>
          </w:p>
        </w:tc>
        <w:tc>
          <w:tcPr>
            <w:tcW w:w="1001" w:type="dxa"/>
            <w:tcBorders>
              <w:top w:val="nil"/>
              <w:left w:val="nil"/>
              <w:bottom w:val="nil"/>
              <w:right w:val="nil"/>
            </w:tcBorders>
            <w:shd w:val="clear" w:color="auto" w:fill="FFFFFF"/>
            <w:vAlign w:val="center"/>
          </w:tcPr>
          <w:p w14:paraId="1356A264">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0.002</w:t>
            </w:r>
          </w:p>
        </w:tc>
      </w:tr>
      <w:tr w14:paraId="06ACF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2BD8C450">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Accepted mapping points per patient</w:t>
            </w:r>
          </w:p>
        </w:tc>
        <w:tc>
          <w:tcPr>
            <w:tcW w:w="0" w:type="auto"/>
            <w:tcBorders>
              <w:top w:val="nil"/>
              <w:left w:val="nil"/>
              <w:bottom w:val="nil"/>
              <w:right w:val="nil"/>
            </w:tcBorders>
            <w:shd w:val="clear" w:color="auto" w:fill="FFFFFF"/>
            <w:vAlign w:val="center"/>
          </w:tcPr>
          <w:p w14:paraId="093968D5">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879.00 [649.00, 1,270.00]</w:t>
            </w:r>
          </w:p>
        </w:tc>
        <w:tc>
          <w:tcPr>
            <w:tcW w:w="0" w:type="auto"/>
            <w:tcBorders>
              <w:top w:val="nil"/>
              <w:left w:val="nil"/>
              <w:bottom w:val="nil"/>
              <w:right w:val="nil"/>
            </w:tcBorders>
            <w:shd w:val="clear" w:color="auto" w:fill="FFFFFF"/>
            <w:vAlign w:val="center"/>
          </w:tcPr>
          <w:p w14:paraId="627C0E10">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751.50 [634.00, 1,129.00]</w:t>
            </w:r>
          </w:p>
        </w:tc>
        <w:tc>
          <w:tcPr>
            <w:tcW w:w="0" w:type="auto"/>
            <w:tcBorders>
              <w:top w:val="nil"/>
              <w:left w:val="nil"/>
              <w:bottom w:val="nil"/>
              <w:right w:val="nil"/>
            </w:tcBorders>
            <w:shd w:val="clear" w:color="auto" w:fill="FFFFFF"/>
            <w:vAlign w:val="center"/>
          </w:tcPr>
          <w:p w14:paraId="17C51F4F">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914.00 [640.00, 1,612.00]</w:t>
            </w:r>
          </w:p>
        </w:tc>
        <w:tc>
          <w:tcPr>
            <w:tcW w:w="0" w:type="auto"/>
            <w:tcBorders>
              <w:top w:val="nil"/>
              <w:left w:val="nil"/>
              <w:bottom w:val="nil"/>
              <w:right w:val="nil"/>
            </w:tcBorders>
            <w:shd w:val="clear" w:color="auto" w:fill="FFFFFF"/>
            <w:vAlign w:val="center"/>
          </w:tcPr>
          <w:p w14:paraId="6A8A93AB">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854.00 [590.00, 1,386.00]</w:t>
            </w:r>
          </w:p>
        </w:tc>
        <w:tc>
          <w:tcPr>
            <w:tcW w:w="0" w:type="auto"/>
            <w:tcBorders>
              <w:top w:val="nil"/>
              <w:left w:val="nil"/>
              <w:bottom w:val="nil"/>
              <w:right w:val="nil"/>
            </w:tcBorders>
            <w:shd w:val="clear" w:color="auto" w:fill="FFFFFF"/>
            <w:vAlign w:val="center"/>
          </w:tcPr>
          <w:p w14:paraId="75198762">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800.00 [602.00, 1,444.00]</w:t>
            </w:r>
          </w:p>
        </w:tc>
        <w:tc>
          <w:tcPr>
            <w:tcW w:w="1001" w:type="dxa"/>
            <w:tcBorders>
              <w:top w:val="nil"/>
              <w:left w:val="nil"/>
              <w:bottom w:val="nil"/>
              <w:right w:val="nil"/>
            </w:tcBorders>
            <w:shd w:val="clear" w:color="auto" w:fill="FFFFFF"/>
            <w:vAlign w:val="center"/>
          </w:tcPr>
          <w:p w14:paraId="6059595A">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0.6</w:t>
            </w:r>
          </w:p>
        </w:tc>
      </w:tr>
      <w:tr w14:paraId="2E7A1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2FE5D74B">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Statin use</w:t>
            </w:r>
          </w:p>
        </w:tc>
        <w:tc>
          <w:tcPr>
            <w:tcW w:w="0" w:type="auto"/>
            <w:tcBorders>
              <w:top w:val="nil"/>
              <w:left w:val="nil"/>
              <w:bottom w:val="nil"/>
              <w:right w:val="nil"/>
            </w:tcBorders>
            <w:shd w:val="clear" w:color="auto" w:fill="FFFFFF"/>
            <w:vAlign w:val="center"/>
          </w:tcPr>
          <w:p w14:paraId="244D54D4">
            <w:pPr>
              <w:snapToGrid w:val="0"/>
              <w:ind w:left="0" w:leftChars="0" w:right="0" w:rightChars="0" w:firstLine="0" w:firstLineChars="0"/>
              <w:jc w:val="center"/>
              <w:rPr>
                <w:rFonts w:hint="default" w:ascii="Times New Roman" w:hAnsi="Times New Roman" w:eastAsia="Carlito" w:cs="Times New Roman"/>
                <w:i w:val="0"/>
                <w:iCs w:val="0"/>
                <w:color w:val="000000"/>
                <w:sz w:val="24"/>
                <w:szCs w:val="24"/>
                <w:highlight w:val="none"/>
                <w:u w:val="none"/>
              </w:rPr>
            </w:pPr>
          </w:p>
        </w:tc>
        <w:tc>
          <w:tcPr>
            <w:tcW w:w="0" w:type="auto"/>
            <w:tcBorders>
              <w:top w:val="nil"/>
              <w:left w:val="nil"/>
              <w:bottom w:val="nil"/>
              <w:right w:val="nil"/>
            </w:tcBorders>
            <w:shd w:val="clear" w:color="auto" w:fill="FFFFFF"/>
            <w:vAlign w:val="center"/>
          </w:tcPr>
          <w:p w14:paraId="42572B3F">
            <w:pPr>
              <w:snapToGrid w:val="0"/>
              <w:ind w:left="0" w:leftChars="0" w:right="0" w:rightChars="0" w:firstLine="0" w:firstLineChars="0"/>
              <w:jc w:val="center"/>
              <w:rPr>
                <w:rFonts w:hint="default" w:ascii="Times New Roman" w:hAnsi="Times New Roman" w:eastAsia="Carlito" w:cs="Times New Roman"/>
                <w:i w:val="0"/>
                <w:iCs w:val="0"/>
                <w:color w:val="000000"/>
                <w:sz w:val="24"/>
                <w:szCs w:val="24"/>
                <w:highlight w:val="none"/>
                <w:u w:val="none"/>
              </w:rPr>
            </w:pPr>
          </w:p>
        </w:tc>
        <w:tc>
          <w:tcPr>
            <w:tcW w:w="0" w:type="auto"/>
            <w:tcBorders>
              <w:top w:val="nil"/>
              <w:left w:val="nil"/>
              <w:bottom w:val="nil"/>
              <w:right w:val="nil"/>
            </w:tcBorders>
            <w:shd w:val="clear" w:color="auto" w:fill="FFFFFF"/>
            <w:vAlign w:val="center"/>
          </w:tcPr>
          <w:p w14:paraId="1C93B65F">
            <w:pPr>
              <w:snapToGrid w:val="0"/>
              <w:ind w:left="0" w:leftChars="0" w:right="0" w:rightChars="0" w:firstLine="0" w:firstLineChars="0"/>
              <w:jc w:val="center"/>
              <w:rPr>
                <w:rFonts w:hint="default" w:ascii="Times New Roman" w:hAnsi="Times New Roman" w:eastAsia="Carlito" w:cs="Times New Roman"/>
                <w:i w:val="0"/>
                <w:iCs w:val="0"/>
                <w:color w:val="000000"/>
                <w:sz w:val="24"/>
                <w:szCs w:val="24"/>
                <w:highlight w:val="none"/>
                <w:u w:val="none"/>
              </w:rPr>
            </w:pPr>
          </w:p>
        </w:tc>
        <w:tc>
          <w:tcPr>
            <w:tcW w:w="0" w:type="auto"/>
            <w:tcBorders>
              <w:top w:val="nil"/>
              <w:left w:val="nil"/>
              <w:bottom w:val="nil"/>
              <w:right w:val="nil"/>
            </w:tcBorders>
            <w:shd w:val="clear" w:color="auto" w:fill="FFFFFF"/>
            <w:vAlign w:val="center"/>
          </w:tcPr>
          <w:p w14:paraId="4E169251">
            <w:pPr>
              <w:snapToGrid w:val="0"/>
              <w:ind w:left="0" w:leftChars="0" w:right="0" w:rightChars="0" w:firstLine="0" w:firstLineChars="0"/>
              <w:jc w:val="center"/>
              <w:rPr>
                <w:rFonts w:hint="default" w:ascii="Times New Roman" w:hAnsi="Times New Roman" w:eastAsia="Carlito" w:cs="Times New Roman"/>
                <w:i w:val="0"/>
                <w:iCs w:val="0"/>
                <w:color w:val="000000"/>
                <w:sz w:val="24"/>
                <w:szCs w:val="24"/>
                <w:highlight w:val="none"/>
                <w:u w:val="none"/>
              </w:rPr>
            </w:pPr>
          </w:p>
        </w:tc>
        <w:tc>
          <w:tcPr>
            <w:tcW w:w="0" w:type="auto"/>
            <w:tcBorders>
              <w:top w:val="nil"/>
              <w:left w:val="nil"/>
              <w:bottom w:val="nil"/>
              <w:right w:val="nil"/>
            </w:tcBorders>
            <w:shd w:val="clear" w:color="auto" w:fill="FFFFFF"/>
            <w:vAlign w:val="center"/>
          </w:tcPr>
          <w:p w14:paraId="00303DB1">
            <w:pPr>
              <w:snapToGrid w:val="0"/>
              <w:ind w:left="0" w:leftChars="0" w:right="0" w:rightChars="0" w:firstLine="0" w:firstLineChars="0"/>
              <w:jc w:val="center"/>
              <w:rPr>
                <w:rFonts w:hint="default" w:ascii="Times New Roman" w:hAnsi="Times New Roman" w:eastAsia="Carlito" w:cs="Times New Roman"/>
                <w:i w:val="0"/>
                <w:iCs w:val="0"/>
                <w:color w:val="000000"/>
                <w:sz w:val="24"/>
                <w:szCs w:val="24"/>
                <w:highlight w:val="none"/>
                <w:u w:val="none"/>
              </w:rPr>
            </w:pPr>
          </w:p>
        </w:tc>
        <w:tc>
          <w:tcPr>
            <w:tcW w:w="1001" w:type="dxa"/>
            <w:tcBorders>
              <w:top w:val="nil"/>
              <w:left w:val="nil"/>
              <w:bottom w:val="nil"/>
              <w:right w:val="nil"/>
            </w:tcBorders>
            <w:shd w:val="clear" w:color="auto" w:fill="FFFFFF"/>
            <w:vAlign w:val="center"/>
          </w:tcPr>
          <w:p w14:paraId="63B13D95">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0.6</w:t>
            </w:r>
          </w:p>
        </w:tc>
      </w:tr>
      <w:tr w14:paraId="4F548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FFFFFF"/>
            <w:vAlign w:val="center"/>
          </w:tcPr>
          <w:p w14:paraId="13C0FE16">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No</w:t>
            </w:r>
          </w:p>
        </w:tc>
        <w:tc>
          <w:tcPr>
            <w:tcW w:w="0" w:type="auto"/>
            <w:tcBorders>
              <w:top w:val="nil"/>
              <w:left w:val="nil"/>
              <w:bottom w:val="nil"/>
              <w:right w:val="nil"/>
            </w:tcBorders>
            <w:shd w:val="clear" w:color="auto" w:fill="FFFFFF"/>
            <w:vAlign w:val="center"/>
          </w:tcPr>
          <w:p w14:paraId="7ECA9581">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98 (66%)</w:t>
            </w:r>
          </w:p>
        </w:tc>
        <w:tc>
          <w:tcPr>
            <w:tcW w:w="0" w:type="auto"/>
            <w:tcBorders>
              <w:top w:val="nil"/>
              <w:left w:val="nil"/>
              <w:bottom w:val="nil"/>
              <w:right w:val="nil"/>
            </w:tcBorders>
            <w:shd w:val="clear" w:color="auto" w:fill="FFFFFF"/>
            <w:vAlign w:val="center"/>
          </w:tcPr>
          <w:p w14:paraId="1C5518C3">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28 (61%)</w:t>
            </w:r>
          </w:p>
        </w:tc>
        <w:tc>
          <w:tcPr>
            <w:tcW w:w="0" w:type="auto"/>
            <w:tcBorders>
              <w:top w:val="nil"/>
              <w:left w:val="nil"/>
              <w:bottom w:val="nil"/>
              <w:right w:val="nil"/>
            </w:tcBorders>
            <w:shd w:val="clear" w:color="auto" w:fill="FFFFFF"/>
            <w:vAlign w:val="center"/>
          </w:tcPr>
          <w:p w14:paraId="4EF4E4B8">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27 (63%)</w:t>
            </w:r>
          </w:p>
        </w:tc>
        <w:tc>
          <w:tcPr>
            <w:tcW w:w="0" w:type="auto"/>
            <w:tcBorders>
              <w:top w:val="nil"/>
              <w:left w:val="nil"/>
              <w:bottom w:val="nil"/>
              <w:right w:val="nil"/>
            </w:tcBorders>
            <w:shd w:val="clear" w:color="auto" w:fill="FFFFFF"/>
            <w:vAlign w:val="center"/>
          </w:tcPr>
          <w:p w14:paraId="11A636E3">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23 (66%)</w:t>
            </w:r>
          </w:p>
        </w:tc>
        <w:tc>
          <w:tcPr>
            <w:tcW w:w="0" w:type="auto"/>
            <w:tcBorders>
              <w:top w:val="nil"/>
              <w:left w:val="nil"/>
              <w:bottom w:val="nil"/>
              <w:right w:val="nil"/>
            </w:tcBorders>
            <w:shd w:val="clear" w:color="auto" w:fill="FFFFFF"/>
            <w:vAlign w:val="center"/>
          </w:tcPr>
          <w:p w14:paraId="3D68B328">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17 (52%)</w:t>
            </w:r>
          </w:p>
        </w:tc>
        <w:tc>
          <w:tcPr>
            <w:tcW w:w="1001" w:type="dxa"/>
            <w:tcBorders>
              <w:top w:val="nil"/>
              <w:left w:val="nil"/>
              <w:bottom w:val="nil"/>
              <w:right w:val="nil"/>
            </w:tcBorders>
            <w:shd w:val="clear" w:color="auto" w:fill="FFFFFF"/>
            <w:vAlign w:val="center"/>
          </w:tcPr>
          <w:p w14:paraId="166F91E0">
            <w:pPr>
              <w:snapToGrid w:val="0"/>
              <w:ind w:left="0" w:leftChars="0" w:right="0" w:rightChars="0" w:firstLine="0" w:firstLineChars="0"/>
              <w:jc w:val="center"/>
              <w:rPr>
                <w:rFonts w:hint="default" w:ascii="Times New Roman" w:hAnsi="Times New Roman" w:eastAsia="Carlito" w:cs="Times New Roman"/>
                <w:i w:val="0"/>
                <w:iCs w:val="0"/>
                <w:color w:val="000000"/>
                <w:sz w:val="24"/>
                <w:szCs w:val="24"/>
                <w:highlight w:val="none"/>
                <w:u w:val="none"/>
              </w:rPr>
            </w:pPr>
          </w:p>
        </w:tc>
      </w:tr>
      <w:tr w14:paraId="772F0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633" w:type="dxa"/>
            <w:tcBorders>
              <w:top w:val="nil"/>
              <w:left w:val="nil"/>
              <w:bottom w:val="single" w:color="000000" w:sz="12" w:space="0"/>
              <w:right w:val="nil"/>
            </w:tcBorders>
            <w:shd w:val="clear" w:color="auto" w:fill="FFFFFF"/>
            <w:vAlign w:val="center"/>
          </w:tcPr>
          <w:p w14:paraId="0EAE39F6">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Yes</w:t>
            </w:r>
          </w:p>
        </w:tc>
        <w:tc>
          <w:tcPr>
            <w:tcW w:w="1198" w:type="dxa"/>
            <w:tcBorders>
              <w:top w:val="nil"/>
              <w:left w:val="nil"/>
              <w:bottom w:val="single" w:color="000000" w:sz="12" w:space="0"/>
              <w:right w:val="nil"/>
            </w:tcBorders>
            <w:shd w:val="clear" w:color="auto" w:fill="FFFFFF"/>
            <w:vAlign w:val="center"/>
          </w:tcPr>
          <w:p w14:paraId="4DC2A831">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51 (34%)</w:t>
            </w:r>
          </w:p>
        </w:tc>
        <w:tc>
          <w:tcPr>
            <w:tcW w:w="1200" w:type="dxa"/>
            <w:tcBorders>
              <w:top w:val="nil"/>
              <w:left w:val="nil"/>
              <w:bottom w:val="single" w:color="000000" w:sz="12" w:space="0"/>
              <w:right w:val="nil"/>
            </w:tcBorders>
            <w:shd w:val="clear" w:color="auto" w:fill="FFFFFF"/>
            <w:vAlign w:val="center"/>
          </w:tcPr>
          <w:p w14:paraId="736EAC8A">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18 (39%)</w:t>
            </w:r>
          </w:p>
        </w:tc>
        <w:tc>
          <w:tcPr>
            <w:tcW w:w="1200" w:type="dxa"/>
            <w:tcBorders>
              <w:top w:val="nil"/>
              <w:left w:val="nil"/>
              <w:bottom w:val="single" w:color="000000" w:sz="12" w:space="0"/>
              <w:right w:val="nil"/>
            </w:tcBorders>
            <w:shd w:val="clear" w:color="auto" w:fill="FFFFFF"/>
            <w:vAlign w:val="center"/>
          </w:tcPr>
          <w:p w14:paraId="33A87826">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16 (37%)</w:t>
            </w:r>
          </w:p>
        </w:tc>
        <w:tc>
          <w:tcPr>
            <w:tcW w:w="1200" w:type="dxa"/>
            <w:tcBorders>
              <w:top w:val="nil"/>
              <w:left w:val="nil"/>
              <w:bottom w:val="single" w:color="000000" w:sz="12" w:space="0"/>
              <w:right w:val="nil"/>
            </w:tcBorders>
            <w:shd w:val="clear" w:color="auto" w:fill="FFFFFF"/>
            <w:vAlign w:val="center"/>
          </w:tcPr>
          <w:p w14:paraId="73F57514">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12 (34%)</w:t>
            </w:r>
          </w:p>
        </w:tc>
        <w:tc>
          <w:tcPr>
            <w:tcW w:w="1200" w:type="dxa"/>
            <w:tcBorders>
              <w:top w:val="nil"/>
              <w:left w:val="nil"/>
              <w:bottom w:val="single" w:color="000000" w:sz="12" w:space="0"/>
              <w:right w:val="nil"/>
            </w:tcBorders>
            <w:shd w:val="clear" w:color="auto" w:fill="FFFFFF"/>
            <w:vAlign w:val="center"/>
          </w:tcPr>
          <w:p w14:paraId="38D9C6D2">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16 (48%)</w:t>
            </w:r>
          </w:p>
        </w:tc>
        <w:tc>
          <w:tcPr>
            <w:tcW w:w="1001" w:type="dxa"/>
            <w:tcBorders>
              <w:top w:val="nil"/>
              <w:left w:val="nil"/>
              <w:bottom w:val="single" w:color="000000" w:sz="12" w:space="0"/>
              <w:right w:val="nil"/>
            </w:tcBorders>
            <w:shd w:val="clear" w:color="auto" w:fill="FFFFFF"/>
            <w:vAlign w:val="center"/>
          </w:tcPr>
          <w:p w14:paraId="3B2ED640">
            <w:pPr>
              <w:snapToGrid w:val="0"/>
              <w:ind w:left="0" w:leftChars="0" w:right="0" w:rightChars="0" w:firstLine="0" w:firstLineChars="0"/>
              <w:jc w:val="center"/>
              <w:rPr>
                <w:rFonts w:hint="default" w:ascii="Times New Roman" w:hAnsi="Times New Roman" w:eastAsia="Carlito" w:cs="Times New Roman"/>
                <w:i w:val="0"/>
                <w:iCs w:val="0"/>
                <w:color w:val="000000"/>
                <w:sz w:val="24"/>
                <w:szCs w:val="24"/>
                <w:highlight w:val="none"/>
                <w:u w:val="none"/>
              </w:rPr>
            </w:pPr>
          </w:p>
        </w:tc>
      </w:tr>
    </w:tbl>
    <w:p w14:paraId="35B35EDC">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 xml:space="preserve">Continuous variables are presented as median [interquartile range], and categorical variables are presented as n (%). Comparisons across total LVA burden groups were performed using the Kruskal-Wallis rank-sum test for continuous variables and Pearson's chi-square test for categorical variables, as appropriate. </w:t>
      </w:r>
    </w:p>
    <w:p w14:paraId="34A54401">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b/>
          <w:bCs/>
          <w:kern w:val="2"/>
          <w:sz w:val="24"/>
          <w:szCs w:val="24"/>
          <w:highlight w:val="none"/>
          <w:lang w:val="en-US" w:eastAsia="zh-CN" w:bidi="ar"/>
        </w:rPr>
        <w:t>Abbreviations:</w:t>
      </w:r>
      <w:r>
        <w:rPr>
          <w:rFonts w:hint="default" w:ascii="Times New Roman" w:hAnsi="Times New Roman" w:eastAsia="宋体" w:cs="Times New Roman"/>
          <w:kern w:val="2"/>
          <w:sz w:val="24"/>
          <w:szCs w:val="24"/>
          <w:highlight w:val="none"/>
          <w:lang w:val="en-US" w:eastAsia="zh-CN" w:bidi="ar"/>
        </w:rPr>
        <w:t xml:space="preserve"> LAD, left atrial diameter; LDL-C, low-density lipoprotein cholesterol; LVA, left atrial low-voltage area.</w:t>
      </w:r>
    </w:p>
    <w:p w14:paraId="204700E4">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p>
    <w:p w14:paraId="091AA4EE">
      <w:pPr>
        <w:keepNext w:val="0"/>
        <w:keepLines w:val="0"/>
        <w:widowControl/>
        <w:suppressLineNumbers w:val="0"/>
        <w:spacing w:line="480" w:lineRule="auto"/>
        <w:jc w:val="left"/>
        <w:rPr>
          <w:rFonts w:hint="default" w:ascii="Times New Roman" w:hAnsi="Times New Roman" w:cs="Times New Roman" w:eastAsiaTheme="minorEastAsia"/>
          <w:kern w:val="0"/>
          <w:sz w:val="24"/>
          <w:szCs w:val="24"/>
          <w:highlight w:val="none"/>
          <w:lang w:val="en-US" w:eastAsia="zh-CN" w:bidi="ar"/>
        </w:rPr>
      </w:pPr>
      <w:r>
        <w:rPr>
          <w:rFonts w:hint="default" w:ascii="Times New Roman" w:hAnsi="Times New Roman" w:cs="Times New Roman" w:eastAsiaTheme="minorEastAsia"/>
          <w:b/>
          <w:kern w:val="0"/>
          <w:sz w:val="24"/>
          <w:szCs w:val="24"/>
          <w:highlight w:val="none"/>
          <w:lang w:val="en-US" w:eastAsia="zh-CN" w:bidi="ar"/>
        </w:rPr>
        <w:t>Supplementary Table S2</w:t>
      </w:r>
      <w:r>
        <w:rPr>
          <w:rFonts w:hint="default" w:ascii="Times New Roman" w:hAnsi="Times New Roman" w:cs="Times New Roman"/>
          <w:b/>
          <w:kern w:val="0"/>
          <w:sz w:val="24"/>
          <w:szCs w:val="24"/>
          <w:highlight w:val="none"/>
          <w:lang w:val="en-US" w:eastAsia="zh-CN" w:bidi="ar"/>
        </w:rPr>
        <w:t>3</w:t>
      </w:r>
      <w:r>
        <w:rPr>
          <w:rFonts w:hint="default" w:ascii="Times New Roman" w:hAnsi="Times New Roman" w:cs="Times New Roman" w:eastAsiaTheme="minorEastAsia"/>
          <w:b/>
          <w:kern w:val="0"/>
          <w:sz w:val="24"/>
          <w:szCs w:val="24"/>
          <w:highlight w:val="none"/>
          <w:lang w:val="en-US" w:eastAsia="zh-CN" w:bidi="ar"/>
        </w:rPr>
        <w:t>.</w:t>
      </w:r>
      <w:r>
        <w:rPr>
          <w:rFonts w:hint="default" w:ascii="Times New Roman" w:hAnsi="Times New Roman" w:eastAsia="宋体" w:cs="Times New Roman"/>
          <w:kern w:val="2"/>
          <w:sz w:val="24"/>
          <w:szCs w:val="24"/>
          <w:highlight w:val="none"/>
          <w:lang w:val="en-US" w:eastAsia="zh-CN" w:bidi="ar"/>
        </w:rPr>
        <w:t xml:space="preserve"> </w:t>
      </w:r>
      <w:r>
        <w:rPr>
          <w:rFonts w:hint="default" w:ascii="Times New Roman" w:hAnsi="Times New Roman" w:cs="Times New Roman" w:eastAsiaTheme="minorEastAsia"/>
          <w:kern w:val="0"/>
          <w:sz w:val="24"/>
          <w:szCs w:val="24"/>
          <w:highlight w:val="none"/>
          <w:lang w:val="en-US" w:eastAsia="zh-CN" w:bidi="ar"/>
        </w:rPr>
        <w:t>Pairwise comparisons of LDL-C across total LVA burden categories in the sinus-rhythm subgroup with complete quantitative data.</w:t>
      </w:r>
    </w:p>
    <w:tbl>
      <w:tblPr>
        <w:tblStyle w:val="8"/>
        <w:tblW w:w="85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106"/>
        <w:gridCol w:w="673"/>
        <w:gridCol w:w="577"/>
        <w:gridCol w:w="1942"/>
        <w:gridCol w:w="1549"/>
        <w:gridCol w:w="1657"/>
      </w:tblGrid>
      <w:tr w14:paraId="4E0B9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2106" w:type="dxa"/>
            <w:tcBorders>
              <w:top w:val="single" w:color="000000" w:sz="12" w:space="0"/>
              <w:left w:val="nil"/>
              <w:bottom w:val="single" w:color="000000" w:sz="4" w:space="0"/>
              <w:right w:val="nil"/>
              <w:tl2br w:val="nil"/>
            </w:tcBorders>
            <w:shd w:val="clear" w:color="auto" w:fill="FFFFFF"/>
            <w:vAlign w:val="center"/>
          </w:tcPr>
          <w:p w14:paraId="19413B02">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b/>
                <w:bCs/>
                <w:i w:val="0"/>
                <w:iCs w:val="0"/>
                <w:color w:val="000000"/>
                <w:sz w:val="24"/>
                <w:szCs w:val="24"/>
                <w:highlight w:val="none"/>
                <w:u w:val="none"/>
              </w:rPr>
            </w:pPr>
            <w:r>
              <w:rPr>
                <w:rFonts w:hint="default" w:ascii="Times New Roman" w:hAnsi="Times New Roman" w:eastAsia="Carlito" w:cs="Times New Roman"/>
                <w:b/>
                <w:bCs/>
                <w:i w:val="0"/>
                <w:iCs w:val="0"/>
                <w:color w:val="000000"/>
                <w:kern w:val="0"/>
                <w:sz w:val="24"/>
                <w:szCs w:val="24"/>
                <w:highlight w:val="none"/>
                <w:u w:val="none"/>
                <w:lang w:val="en-US" w:eastAsia="zh-CN" w:bidi="ar"/>
              </w:rPr>
              <w:t>Comparison</w:t>
            </w:r>
          </w:p>
        </w:tc>
        <w:tc>
          <w:tcPr>
            <w:tcW w:w="673" w:type="dxa"/>
            <w:tcBorders>
              <w:top w:val="single" w:color="000000" w:sz="12" w:space="0"/>
              <w:left w:val="nil"/>
              <w:bottom w:val="single" w:color="000000" w:sz="4" w:space="0"/>
              <w:right w:val="nil"/>
            </w:tcBorders>
            <w:shd w:val="clear" w:color="auto" w:fill="FFFFFF"/>
            <w:vAlign w:val="center"/>
          </w:tcPr>
          <w:p w14:paraId="19AB2F02">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b/>
                <w:bCs/>
                <w:i w:val="0"/>
                <w:iCs w:val="0"/>
                <w:color w:val="000000"/>
                <w:sz w:val="24"/>
                <w:szCs w:val="24"/>
                <w:highlight w:val="none"/>
                <w:u w:val="none"/>
              </w:rPr>
            </w:pPr>
            <w:r>
              <w:rPr>
                <w:rFonts w:hint="default" w:ascii="Times New Roman" w:hAnsi="Times New Roman" w:eastAsia="Carlito" w:cs="Times New Roman"/>
                <w:b/>
                <w:bCs/>
                <w:i w:val="0"/>
                <w:iCs w:val="0"/>
                <w:color w:val="000000"/>
                <w:kern w:val="0"/>
                <w:sz w:val="24"/>
                <w:szCs w:val="24"/>
                <w:highlight w:val="none"/>
                <w:u w:val="none"/>
                <w:lang w:val="en-US" w:eastAsia="zh-CN" w:bidi="ar"/>
              </w:rPr>
              <w:t>n1</w:t>
            </w:r>
          </w:p>
        </w:tc>
        <w:tc>
          <w:tcPr>
            <w:tcW w:w="577" w:type="dxa"/>
            <w:tcBorders>
              <w:top w:val="single" w:color="000000" w:sz="12" w:space="0"/>
              <w:left w:val="nil"/>
              <w:bottom w:val="single" w:color="000000" w:sz="4" w:space="0"/>
              <w:right w:val="nil"/>
            </w:tcBorders>
            <w:shd w:val="clear" w:color="auto" w:fill="FFFFFF"/>
            <w:vAlign w:val="center"/>
          </w:tcPr>
          <w:p w14:paraId="1B78357E">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b/>
                <w:bCs/>
                <w:i w:val="0"/>
                <w:iCs w:val="0"/>
                <w:color w:val="000000"/>
                <w:sz w:val="24"/>
                <w:szCs w:val="24"/>
                <w:highlight w:val="none"/>
                <w:u w:val="none"/>
              </w:rPr>
            </w:pPr>
            <w:r>
              <w:rPr>
                <w:rFonts w:hint="default" w:ascii="Times New Roman" w:hAnsi="Times New Roman" w:eastAsia="Carlito" w:cs="Times New Roman"/>
                <w:b/>
                <w:bCs/>
                <w:i w:val="0"/>
                <w:iCs w:val="0"/>
                <w:color w:val="000000"/>
                <w:kern w:val="0"/>
                <w:sz w:val="24"/>
                <w:szCs w:val="24"/>
                <w:highlight w:val="none"/>
                <w:u w:val="none"/>
                <w:lang w:val="en-US" w:eastAsia="zh-CN" w:bidi="ar"/>
              </w:rPr>
              <w:t>n2</w:t>
            </w:r>
          </w:p>
        </w:tc>
        <w:tc>
          <w:tcPr>
            <w:tcW w:w="1942" w:type="dxa"/>
            <w:tcBorders>
              <w:top w:val="single" w:color="000000" w:sz="12" w:space="0"/>
              <w:left w:val="nil"/>
              <w:bottom w:val="single" w:color="000000" w:sz="4" w:space="0"/>
              <w:right w:val="nil"/>
            </w:tcBorders>
            <w:shd w:val="clear" w:color="auto" w:fill="FFFFFF"/>
            <w:vAlign w:val="center"/>
          </w:tcPr>
          <w:p w14:paraId="76FCAAA2">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b/>
                <w:bCs/>
                <w:i w:val="0"/>
                <w:iCs w:val="0"/>
                <w:color w:val="000000"/>
                <w:sz w:val="24"/>
                <w:szCs w:val="24"/>
                <w:highlight w:val="none"/>
                <w:u w:val="none"/>
              </w:rPr>
            </w:pPr>
            <w:r>
              <w:rPr>
                <w:rFonts w:hint="default" w:ascii="Times New Roman" w:hAnsi="Times New Roman" w:eastAsia="Carlito" w:cs="Times New Roman"/>
                <w:b/>
                <w:bCs/>
                <w:i w:val="0"/>
                <w:iCs w:val="0"/>
                <w:color w:val="000000"/>
                <w:kern w:val="0"/>
                <w:sz w:val="24"/>
                <w:szCs w:val="24"/>
                <w:highlight w:val="none"/>
                <w:u w:val="none"/>
                <w:lang w:val="en-US" w:eastAsia="zh-CN" w:bidi="ar"/>
              </w:rPr>
              <w:t>Wilcoxon statistic</w:t>
            </w:r>
          </w:p>
        </w:tc>
        <w:tc>
          <w:tcPr>
            <w:tcW w:w="1549" w:type="dxa"/>
            <w:tcBorders>
              <w:top w:val="single" w:color="000000" w:sz="12" w:space="0"/>
              <w:left w:val="nil"/>
              <w:bottom w:val="single" w:color="000000" w:sz="4" w:space="0"/>
              <w:right w:val="nil"/>
            </w:tcBorders>
            <w:shd w:val="clear" w:color="auto" w:fill="FFFFFF"/>
            <w:vAlign w:val="center"/>
          </w:tcPr>
          <w:p w14:paraId="4E8BA944">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b/>
                <w:bCs/>
                <w:i w:val="0"/>
                <w:iCs w:val="0"/>
                <w:color w:val="000000"/>
                <w:sz w:val="24"/>
                <w:szCs w:val="24"/>
                <w:highlight w:val="none"/>
                <w:u w:val="none"/>
                <w:lang w:val="en-US"/>
              </w:rPr>
            </w:pPr>
            <w:r>
              <w:rPr>
                <w:rFonts w:hint="default" w:ascii="Times New Roman" w:hAnsi="Times New Roman" w:eastAsia="Carlito" w:cs="Times New Roman"/>
                <w:b/>
                <w:bCs/>
                <w:i w:val="0"/>
                <w:iCs w:val="0"/>
                <w:color w:val="000000"/>
                <w:kern w:val="0"/>
                <w:sz w:val="24"/>
                <w:szCs w:val="24"/>
                <w:highlight w:val="none"/>
                <w:u w:val="none"/>
                <w:lang w:val="en-US" w:eastAsia="zh-CN" w:bidi="ar"/>
              </w:rPr>
              <w:t xml:space="preserve">Unadjusted </w:t>
            </w:r>
            <w:r>
              <w:rPr>
                <w:rFonts w:hint="default" w:ascii="Times New Roman" w:hAnsi="Times New Roman" w:eastAsia="Carlito" w:cs="Times New Roman"/>
                <w:b/>
                <w:bCs/>
                <w:i/>
                <w:iCs/>
                <w:color w:val="000000"/>
                <w:kern w:val="0"/>
                <w:sz w:val="24"/>
                <w:szCs w:val="24"/>
                <w:highlight w:val="none"/>
                <w:u w:val="none"/>
                <w:lang w:val="en-US" w:eastAsia="zh-CN" w:bidi="ar"/>
              </w:rPr>
              <w:t>P</w:t>
            </w:r>
          </w:p>
        </w:tc>
        <w:tc>
          <w:tcPr>
            <w:tcW w:w="1657" w:type="dxa"/>
            <w:tcBorders>
              <w:top w:val="single" w:color="000000" w:sz="12" w:space="0"/>
              <w:left w:val="nil"/>
              <w:bottom w:val="single" w:color="000000" w:sz="4" w:space="0"/>
              <w:right w:val="nil"/>
            </w:tcBorders>
            <w:shd w:val="clear" w:color="auto" w:fill="FFFFFF"/>
            <w:vAlign w:val="center"/>
          </w:tcPr>
          <w:p w14:paraId="657696E0">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b/>
                <w:bCs/>
                <w:i w:val="0"/>
                <w:iCs w:val="0"/>
                <w:color w:val="000000"/>
                <w:sz w:val="24"/>
                <w:szCs w:val="24"/>
                <w:highlight w:val="none"/>
                <w:u w:val="none"/>
                <w:lang w:val="en-US"/>
              </w:rPr>
            </w:pPr>
            <w:r>
              <w:rPr>
                <w:rFonts w:hint="default" w:ascii="Times New Roman" w:hAnsi="Times New Roman" w:eastAsia="Carlito" w:cs="Times New Roman"/>
                <w:b/>
                <w:bCs/>
                <w:i w:val="0"/>
                <w:iCs w:val="0"/>
                <w:color w:val="000000"/>
                <w:kern w:val="0"/>
                <w:sz w:val="24"/>
                <w:szCs w:val="24"/>
                <w:highlight w:val="none"/>
                <w:u w:val="none"/>
                <w:lang w:val="en-US" w:eastAsia="zh-CN" w:bidi="ar"/>
              </w:rPr>
              <w:t xml:space="preserve">BH-adjusted </w:t>
            </w:r>
            <w:r>
              <w:rPr>
                <w:rFonts w:hint="default" w:ascii="Times New Roman" w:hAnsi="Times New Roman" w:eastAsia="Carlito" w:cs="Times New Roman"/>
                <w:b/>
                <w:bCs/>
                <w:i/>
                <w:iCs/>
                <w:color w:val="000000"/>
                <w:kern w:val="0"/>
                <w:sz w:val="24"/>
                <w:szCs w:val="24"/>
                <w:highlight w:val="none"/>
                <w:u w:val="none"/>
                <w:lang w:val="en-US" w:eastAsia="zh-CN" w:bidi="ar"/>
              </w:rPr>
              <w:t>P</w:t>
            </w:r>
          </w:p>
        </w:tc>
      </w:tr>
      <w:tr w14:paraId="71067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106" w:type="dxa"/>
            <w:tcBorders>
              <w:top w:val="single" w:color="000000" w:sz="4" w:space="0"/>
              <w:left w:val="nil"/>
              <w:bottom w:val="nil"/>
              <w:right w:val="nil"/>
            </w:tcBorders>
            <w:shd w:val="clear" w:color="auto" w:fill="FFFFFF"/>
            <w:vAlign w:val="center"/>
          </w:tcPr>
          <w:p w14:paraId="453B835E">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 vs &gt;0-5%</w:t>
            </w:r>
          </w:p>
        </w:tc>
        <w:tc>
          <w:tcPr>
            <w:tcW w:w="673" w:type="dxa"/>
            <w:tcBorders>
              <w:top w:val="single" w:color="000000" w:sz="4" w:space="0"/>
              <w:left w:val="nil"/>
              <w:bottom w:val="nil"/>
              <w:right w:val="nil"/>
            </w:tcBorders>
            <w:shd w:val="clear" w:color="auto" w:fill="FFFFFF"/>
            <w:vAlign w:val="center"/>
          </w:tcPr>
          <w:p w14:paraId="47C8B37B">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149</w:t>
            </w:r>
          </w:p>
        </w:tc>
        <w:tc>
          <w:tcPr>
            <w:tcW w:w="577" w:type="dxa"/>
            <w:tcBorders>
              <w:top w:val="single" w:color="000000" w:sz="4" w:space="0"/>
              <w:left w:val="nil"/>
              <w:bottom w:val="nil"/>
              <w:right w:val="nil"/>
            </w:tcBorders>
            <w:shd w:val="clear" w:color="auto" w:fill="FFFFFF"/>
            <w:vAlign w:val="center"/>
          </w:tcPr>
          <w:p w14:paraId="3CF52A40">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46</w:t>
            </w:r>
          </w:p>
        </w:tc>
        <w:tc>
          <w:tcPr>
            <w:tcW w:w="1942" w:type="dxa"/>
            <w:tcBorders>
              <w:top w:val="single" w:color="000000" w:sz="4" w:space="0"/>
              <w:left w:val="nil"/>
              <w:bottom w:val="nil"/>
              <w:right w:val="nil"/>
            </w:tcBorders>
            <w:shd w:val="clear" w:color="auto" w:fill="FFFFFF"/>
            <w:vAlign w:val="center"/>
          </w:tcPr>
          <w:p w14:paraId="580F8268">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3567</w:t>
            </w:r>
          </w:p>
        </w:tc>
        <w:tc>
          <w:tcPr>
            <w:tcW w:w="1549" w:type="dxa"/>
            <w:tcBorders>
              <w:top w:val="single" w:color="000000" w:sz="4" w:space="0"/>
              <w:left w:val="nil"/>
              <w:bottom w:val="nil"/>
              <w:right w:val="nil"/>
            </w:tcBorders>
            <w:shd w:val="clear" w:color="auto" w:fill="FFFFFF"/>
            <w:vAlign w:val="center"/>
          </w:tcPr>
          <w:p w14:paraId="3E1B0BF1">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0.677</w:t>
            </w:r>
          </w:p>
        </w:tc>
        <w:tc>
          <w:tcPr>
            <w:tcW w:w="1657" w:type="dxa"/>
            <w:tcBorders>
              <w:top w:val="single" w:color="000000" w:sz="4" w:space="0"/>
              <w:left w:val="nil"/>
              <w:bottom w:val="nil"/>
              <w:right w:val="nil"/>
            </w:tcBorders>
            <w:shd w:val="clear" w:color="auto" w:fill="FFFFFF"/>
            <w:vAlign w:val="center"/>
          </w:tcPr>
          <w:p w14:paraId="509961C8">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0.752</w:t>
            </w:r>
          </w:p>
        </w:tc>
      </w:tr>
      <w:tr w14:paraId="4C5D4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106" w:type="dxa"/>
            <w:tcBorders>
              <w:top w:val="nil"/>
              <w:left w:val="nil"/>
              <w:bottom w:val="nil"/>
              <w:right w:val="nil"/>
            </w:tcBorders>
            <w:shd w:val="clear" w:color="auto" w:fill="FFFFFF"/>
            <w:vAlign w:val="center"/>
          </w:tcPr>
          <w:p w14:paraId="41EFD856">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 vs &gt;5-10%</w:t>
            </w:r>
          </w:p>
        </w:tc>
        <w:tc>
          <w:tcPr>
            <w:tcW w:w="673" w:type="dxa"/>
            <w:tcBorders>
              <w:top w:val="nil"/>
              <w:left w:val="nil"/>
              <w:bottom w:val="nil"/>
              <w:right w:val="nil"/>
            </w:tcBorders>
            <w:shd w:val="clear" w:color="auto" w:fill="FFFFFF"/>
            <w:vAlign w:val="center"/>
          </w:tcPr>
          <w:p w14:paraId="50585FA2">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149</w:t>
            </w:r>
          </w:p>
        </w:tc>
        <w:tc>
          <w:tcPr>
            <w:tcW w:w="577" w:type="dxa"/>
            <w:tcBorders>
              <w:top w:val="nil"/>
              <w:left w:val="nil"/>
              <w:bottom w:val="nil"/>
              <w:right w:val="nil"/>
            </w:tcBorders>
            <w:shd w:val="clear" w:color="auto" w:fill="FFFFFF"/>
            <w:vAlign w:val="center"/>
          </w:tcPr>
          <w:p w14:paraId="2E09F1DD">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43</w:t>
            </w:r>
          </w:p>
        </w:tc>
        <w:tc>
          <w:tcPr>
            <w:tcW w:w="1942" w:type="dxa"/>
            <w:tcBorders>
              <w:top w:val="nil"/>
              <w:left w:val="nil"/>
              <w:bottom w:val="nil"/>
              <w:right w:val="nil"/>
            </w:tcBorders>
            <w:shd w:val="clear" w:color="auto" w:fill="FFFFFF"/>
            <w:vAlign w:val="center"/>
          </w:tcPr>
          <w:p w14:paraId="661B7848">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3807.5</w:t>
            </w:r>
          </w:p>
        </w:tc>
        <w:tc>
          <w:tcPr>
            <w:tcW w:w="1549" w:type="dxa"/>
            <w:tcBorders>
              <w:top w:val="nil"/>
              <w:left w:val="nil"/>
              <w:bottom w:val="nil"/>
              <w:right w:val="nil"/>
            </w:tcBorders>
            <w:shd w:val="clear" w:color="auto" w:fill="FFFFFF"/>
            <w:vAlign w:val="center"/>
          </w:tcPr>
          <w:p w14:paraId="47729969">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0.06</w:t>
            </w:r>
          </w:p>
        </w:tc>
        <w:tc>
          <w:tcPr>
            <w:tcW w:w="1657" w:type="dxa"/>
            <w:tcBorders>
              <w:top w:val="nil"/>
              <w:left w:val="nil"/>
              <w:bottom w:val="nil"/>
              <w:right w:val="nil"/>
            </w:tcBorders>
            <w:shd w:val="clear" w:color="auto" w:fill="FFFFFF"/>
            <w:vAlign w:val="center"/>
          </w:tcPr>
          <w:p w14:paraId="7CA2A4C6">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0.15</w:t>
            </w:r>
          </w:p>
        </w:tc>
      </w:tr>
      <w:tr w14:paraId="4364D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106" w:type="dxa"/>
            <w:tcBorders>
              <w:top w:val="nil"/>
              <w:left w:val="nil"/>
              <w:bottom w:val="nil"/>
              <w:right w:val="nil"/>
            </w:tcBorders>
            <w:shd w:val="clear" w:color="auto" w:fill="FFFFFF"/>
            <w:vAlign w:val="center"/>
          </w:tcPr>
          <w:p w14:paraId="438BF27F">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 vs &gt;10-15%</w:t>
            </w:r>
          </w:p>
        </w:tc>
        <w:tc>
          <w:tcPr>
            <w:tcW w:w="673" w:type="dxa"/>
            <w:tcBorders>
              <w:top w:val="nil"/>
              <w:left w:val="nil"/>
              <w:bottom w:val="nil"/>
              <w:right w:val="nil"/>
            </w:tcBorders>
            <w:shd w:val="clear" w:color="auto" w:fill="FFFFFF"/>
            <w:vAlign w:val="center"/>
          </w:tcPr>
          <w:p w14:paraId="31518F8A">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149</w:t>
            </w:r>
          </w:p>
        </w:tc>
        <w:tc>
          <w:tcPr>
            <w:tcW w:w="577" w:type="dxa"/>
            <w:tcBorders>
              <w:top w:val="nil"/>
              <w:left w:val="nil"/>
              <w:bottom w:val="nil"/>
              <w:right w:val="nil"/>
            </w:tcBorders>
            <w:shd w:val="clear" w:color="auto" w:fill="FFFFFF"/>
            <w:vAlign w:val="center"/>
          </w:tcPr>
          <w:p w14:paraId="43FE9A71">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35</w:t>
            </w:r>
          </w:p>
        </w:tc>
        <w:tc>
          <w:tcPr>
            <w:tcW w:w="1942" w:type="dxa"/>
            <w:tcBorders>
              <w:top w:val="nil"/>
              <w:left w:val="nil"/>
              <w:bottom w:val="nil"/>
              <w:right w:val="nil"/>
            </w:tcBorders>
            <w:shd w:val="clear" w:color="auto" w:fill="FFFFFF"/>
            <w:vAlign w:val="center"/>
          </w:tcPr>
          <w:p w14:paraId="73BE9C6D">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3161</w:t>
            </w:r>
          </w:p>
        </w:tc>
        <w:tc>
          <w:tcPr>
            <w:tcW w:w="1549" w:type="dxa"/>
            <w:tcBorders>
              <w:top w:val="nil"/>
              <w:left w:val="nil"/>
              <w:bottom w:val="nil"/>
              <w:right w:val="nil"/>
            </w:tcBorders>
            <w:shd w:val="clear" w:color="auto" w:fill="FFFFFF"/>
            <w:vAlign w:val="center"/>
          </w:tcPr>
          <w:p w14:paraId="713C8CA7">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0.051</w:t>
            </w:r>
          </w:p>
        </w:tc>
        <w:tc>
          <w:tcPr>
            <w:tcW w:w="1657" w:type="dxa"/>
            <w:tcBorders>
              <w:top w:val="nil"/>
              <w:left w:val="nil"/>
              <w:bottom w:val="nil"/>
              <w:right w:val="nil"/>
            </w:tcBorders>
            <w:shd w:val="clear" w:color="auto" w:fill="FFFFFF"/>
            <w:vAlign w:val="center"/>
          </w:tcPr>
          <w:p w14:paraId="072B62C5">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0.15</w:t>
            </w:r>
          </w:p>
        </w:tc>
      </w:tr>
      <w:tr w14:paraId="28A5F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106" w:type="dxa"/>
            <w:tcBorders>
              <w:top w:val="nil"/>
              <w:left w:val="nil"/>
              <w:bottom w:val="nil"/>
              <w:right w:val="nil"/>
            </w:tcBorders>
            <w:shd w:val="clear" w:color="auto" w:fill="FFFFFF"/>
            <w:vAlign w:val="center"/>
          </w:tcPr>
          <w:p w14:paraId="421C8AB1">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 vs &gt;15%</w:t>
            </w:r>
          </w:p>
        </w:tc>
        <w:tc>
          <w:tcPr>
            <w:tcW w:w="673" w:type="dxa"/>
            <w:tcBorders>
              <w:top w:val="nil"/>
              <w:left w:val="nil"/>
              <w:bottom w:val="nil"/>
              <w:right w:val="nil"/>
            </w:tcBorders>
            <w:shd w:val="clear" w:color="auto" w:fill="FFFFFF"/>
            <w:vAlign w:val="center"/>
          </w:tcPr>
          <w:p w14:paraId="39D3AD6E">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149</w:t>
            </w:r>
          </w:p>
        </w:tc>
        <w:tc>
          <w:tcPr>
            <w:tcW w:w="577" w:type="dxa"/>
            <w:tcBorders>
              <w:top w:val="nil"/>
              <w:left w:val="nil"/>
              <w:bottom w:val="nil"/>
              <w:right w:val="nil"/>
            </w:tcBorders>
            <w:shd w:val="clear" w:color="auto" w:fill="FFFFFF"/>
            <w:vAlign w:val="center"/>
          </w:tcPr>
          <w:p w14:paraId="216A4B6B">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33</w:t>
            </w:r>
          </w:p>
        </w:tc>
        <w:tc>
          <w:tcPr>
            <w:tcW w:w="1942" w:type="dxa"/>
            <w:tcBorders>
              <w:top w:val="nil"/>
              <w:left w:val="nil"/>
              <w:bottom w:val="nil"/>
              <w:right w:val="nil"/>
            </w:tcBorders>
            <w:shd w:val="clear" w:color="auto" w:fill="FFFFFF"/>
            <w:vAlign w:val="center"/>
          </w:tcPr>
          <w:p w14:paraId="31CE77C6">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3346</w:t>
            </w:r>
          </w:p>
        </w:tc>
        <w:tc>
          <w:tcPr>
            <w:tcW w:w="1549" w:type="dxa"/>
            <w:tcBorders>
              <w:top w:val="nil"/>
              <w:left w:val="nil"/>
              <w:bottom w:val="nil"/>
              <w:right w:val="nil"/>
            </w:tcBorders>
            <w:shd w:val="clear" w:color="auto" w:fill="FFFFFF"/>
            <w:vAlign w:val="center"/>
          </w:tcPr>
          <w:p w14:paraId="378621CC">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0.001</w:t>
            </w:r>
          </w:p>
        </w:tc>
        <w:tc>
          <w:tcPr>
            <w:tcW w:w="1657" w:type="dxa"/>
            <w:tcBorders>
              <w:top w:val="nil"/>
              <w:left w:val="nil"/>
              <w:bottom w:val="nil"/>
              <w:right w:val="nil"/>
            </w:tcBorders>
            <w:shd w:val="clear" w:color="auto" w:fill="FFFFFF"/>
            <w:vAlign w:val="center"/>
          </w:tcPr>
          <w:p w14:paraId="709B8712">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0.012</w:t>
            </w:r>
          </w:p>
        </w:tc>
      </w:tr>
      <w:tr w14:paraId="7D598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106" w:type="dxa"/>
            <w:tcBorders>
              <w:top w:val="nil"/>
              <w:left w:val="nil"/>
              <w:bottom w:val="nil"/>
              <w:right w:val="nil"/>
            </w:tcBorders>
            <w:shd w:val="clear" w:color="auto" w:fill="FFFFFF"/>
            <w:vAlign w:val="center"/>
          </w:tcPr>
          <w:p w14:paraId="59846795">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&gt;0-5% vs &gt;5-10%</w:t>
            </w:r>
          </w:p>
        </w:tc>
        <w:tc>
          <w:tcPr>
            <w:tcW w:w="673" w:type="dxa"/>
            <w:tcBorders>
              <w:top w:val="nil"/>
              <w:left w:val="nil"/>
              <w:bottom w:val="nil"/>
              <w:right w:val="nil"/>
            </w:tcBorders>
            <w:shd w:val="clear" w:color="auto" w:fill="FFFFFF"/>
            <w:vAlign w:val="center"/>
          </w:tcPr>
          <w:p w14:paraId="5492559F">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46</w:t>
            </w:r>
          </w:p>
        </w:tc>
        <w:tc>
          <w:tcPr>
            <w:tcW w:w="577" w:type="dxa"/>
            <w:tcBorders>
              <w:top w:val="nil"/>
              <w:left w:val="nil"/>
              <w:bottom w:val="nil"/>
              <w:right w:val="nil"/>
            </w:tcBorders>
            <w:shd w:val="clear" w:color="auto" w:fill="FFFFFF"/>
            <w:vAlign w:val="center"/>
          </w:tcPr>
          <w:p w14:paraId="30D936C5">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43</w:t>
            </w:r>
          </w:p>
        </w:tc>
        <w:tc>
          <w:tcPr>
            <w:tcW w:w="1942" w:type="dxa"/>
            <w:tcBorders>
              <w:top w:val="nil"/>
              <w:left w:val="nil"/>
              <w:bottom w:val="nil"/>
              <w:right w:val="nil"/>
            </w:tcBorders>
            <w:shd w:val="clear" w:color="auto" w:fill="FFFFFF"/>
            <w:vAlign w:val="center"/>
          </w:tcPr>
          <w:p w14:paraId="4803DFE0">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1126</w:t>
            </w:r>
          </w:p>
        </w:tc>
        <w:tc>
          <w:tcPr>
            <w:tcW w:w="1549" w:type="dxa"/>
            <w:tcBorders>
              <w:top w:val="nil"/>
              <w:left w:val="nil"/>
              <w:bottom w:val="nil"/>
              <w:right w:val="nil"/>
            </w:tcBorders>
            <w:shd w:val="clear" w:color="auto" w:fill="FFFFFF"/>
            <w:vAlign w:val="center"/>
          </w:tcPr>
          <w:p w14:paraId="21E41E66">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0.262</w:t>
            </w:r>
          </w:p>
        </w:tc>
        <w:tc>
          <w:tcPr>
            <w:tcW w:w="1657" w:type="dxa"/>
            <w:tcBorders>
              <w:top w:val="nil"/>
              <w:left w:val="nil"/>
              <w:bottom w:val="nil"/>
              <w:right w:val="nil"/>
            </w:tcBorders>
            <w:shd w:val="clear" w:color="auto" w:fill="FFFFFF"/>
            <w:vAlign w:val="center"/>
          </w:tcPr>
          <w:p w14:paraId="44ACF2B6">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0.328</w:t>
            </w:r>
          </w:p>
        </w:tc>
      </w:tr>
      <w:tr w14:paraId="31869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106" w:type="dxa"/>
            <w:tcBorders>
              <w:top w:val="nil"/>
              <w:left w:val="nil"/>
              <w:bottom w:val="nil"/>
              <w:right w:val="nil"/>
            </w:tcBorders>
            <w:shd w:val="clear" w:color="auto" w:fill="FFFFFF"/>
            <w:vAlign w:val="center"/>
          </w:tcPr>
          <w:p w14:paraId="495F6C21">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&gt;0-5% vs &gt;10-15%</w:t>
            </w:r>
          </w:p>
        </w:tc>
        <w:tc>
          <w:tcPr>
            <w:tcW w:w="673" w:type="dxa"/>
            <w:tcBorders>
              <w:top w:val="nil"/>
              <w:left w:val="nil"/>
              <w:bottom w:val="nil"/>
              <w:right w:val="nil"/>
            </w:tcBorders>
            <w:shd w:val="clear" w:color="auto" w:fill="FFFFFF"/>
            <w:vAlign w:val="center"/>
          </w:tcPr>
          <w:p w14:paraId="4349973E">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46</w:t>
            </w:r>
          </w:p>
        </w:tc>
        <w:tc>
          <w:tcPr>
            <w:tcW w:w="577" w:type="dxa"/>
            <w:tcBorders>
              <w:top w:val="nil"/>
              <w:left w:val="nil"/>
              <w:bottom w:val="nil"/>
              <w:right w:val="nil"/>
            </w:tcBorders>
            <w:shd w:val="clear" w:color="auto" w:fill="FFFFFF"/>
            <w:vAlign w:val="center"/>
          </w:tcPr>
          <w:p w14:paraId="589F4E7B">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35</w:t>
            </w:r>
          </w:p>
        </w:tc>
        <w:tc>
          <w:tcPr>
            <w:tcW w:w="1942" w:type="dxa"/>
            <w:tcBorders>
              <w:top w:val="nil"/>
              <w:left w:val="nil"/>
              <w:bottom w:val="nil"/>
              <w:right w:val="nil"/>
            </w:tcBorders>
            <w:shd w:val="clear" w:color="auto" w:fill="FFFFFF"/>
            <w:vAlign w:val="center"/>
          </w:tcPr>
          <w:p w14:paraId="2188BDE0">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949</w:t>
            </w:r>
          </w:p>
        </w:tc>
        <w:tc>
          <w:tcPr>
            <w:tcW w:w="1549" w:type="dxa"/>
            <w:tcBorders>
              <w:top w:val="nil"/>
              <w:left w:val="nil"/>
              <w:bottom w:val="nil"/>
              <w:right w:val="nil"/>
            </w:tcBorders>
            <w:shd w:val="clear" w:color="auto" w:fill="FFFFFF"/>
            <w:vAlign w:val="center"/>
          </w:tcPr>
          <w:p w14:paraId="307360EA">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0.171</w:t>
            </w:r>
          </w:p>
        </w:tc>
        <w:tc>
          <w:tcPr>
            <w:tcW w:w="1657" w:type="dxa"/>
            <w:tcBorders>
              <w:top w:val="nil"/>
              <w:left w:val="nil"/>
              <w:bottom w:val="nil"/>
              <w:right w:val="nil"/>
            </w:tcBorders>
            <w:shd w:val="clear" w:color="auto" w:fill="FFFFFF"/>
            <w:vAlign w:val="center"/>
          </w:tcPr>
          <w:p w14:paraId="345308C6">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0.285</w:t>
            </w:r>
          </w:p>
        </w:tc>
      </w:tr>
      <w:tr w14:paraId="3754E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106" w:type="dxa"/>
            <w:tcBorders>
              <w:top w:val="nil"/>
              <w:left w:val="nil"/>
              <w:bottom w:val="nil"/>
              <w:right w:val="nil"/>
            </w:tcBorders>
            <w:shd w:val="clear" w:color="auto" w:fill="FFFFFF"/>
            <w:vAlign w:val="center"/>
          </w:tcPr>
          <w:p w14:paraId="3DB1D928">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&gt;0-5% vs &gt;15%</w:t>
            </w:r>
          </w:p>
        </w:tc>
        <w:tc>
          <w:tcPr>
            <w:tcW w:w="673" w:type="dxa"/>
            <w:tcBorders>
              <w:top w:val="nil"/>
              <w:left w:val="nil"/>
              <w:bottom w:val="nil"/>
              <w:right w:val="nil"/>
            </w:tcBorders>
            <w:shd w:val="clear" w:color="auto" w:fill="FFFFFF"/>
            <w:vAlign w:val="center"/>
          </w:tcPr>
          <w:p w14:paraId="277AF2C5">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46</w:t>
            </w:r>
          </w:p>
        </w:tc>
        <w:tc>
          <w:tcPr>
            <w:tcW w:w="577" w:type="dxa"/>
            <w:tcBorders>
              <w:top w:val="nil"/>
              <w:left w:val="nil"/>
              <w:bottom w:val="nil"/>
              <w:right w:val="nil"/>
            </w:tcBorders>
            <w:shd w:val="clear" w:color="auto" w:fill="FFFFFF"/>
            <w:vAlign w:val="center"/>
          </w:tcPr>
          <w:p w14:paraId="1765F48F">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33</w:t>
            </w:r>
          </w:p>
        </w:tc>
        <w:tc>
          <w:tcPr>
            <w:tcW w:w="1942" w:type="dxa"/>
            <w:tcBorders>
              <w:top w:val="nil"/>
              <w:left w:val="nil"/>
              <w:bottom w:val="nil"/>
              <w:right w:val="nil"/>
            </w:tcBorders>
            <w:shd w:val="clear" w:color="auto" w:fill="FFFFFF"/>
            <w:vAlign w:val="center"/>
          </w:tcPr>
          <w:p w14:paraId="3821B921">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1016</w:t>
            </w:r>
          </w:p>
        </w:tc>
        <w:tc>
          <w:tcPr>
            <w:tcW w:w="1549" w:type="dxa"/>
            <w:tcBorders>
              <w:top w:val="nil"/>
              <w:left w:val="nil"/>
              <w:bottom w:val="nil"/>
              <w:right w:val="nil"/>
            </w:tcBorders>
            <w:shd w:val="clear" w:color="auto" w:fill="FFFFFF"/>
            <w:vAlign w:val="center"/>
          </w:tcPr>
          <w:p w14:paraId="76B532CC">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0.011</w:t>
            </w:r>
          </w:p>
        </w:tc>
        <w:tc>
          <w:tcPr>
            <w:tcW w:w="1657" w:type="dxa"/>
            <w:tcBorders>
              <w:top w:val="nil"/>
              <w:left w:val="nil"/>
              <w:bottom w:val="nil"/>
              <w:right w:val="nil"/>
            </w:tcBorders>
            <w:shd w:val="clear" w:color="auto" w:fill="FFFFFF"/>
            <w:vAlign w:val="center"/>
          </w:tcPr>
          <w:p w14:paraId="6A16B9AC">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0.054</w:t>
            </w:r>
          </w:p>
        </w:tc>
      </w:tr>
      <w:tr w14:paraId="5A5CD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106" w:type="dxa"/>
            <w:tcBorders>
              <w:top w:val="nil"/>
              <w:left w:val="nil"/>
              <w:bottom w:val="nil"/>
              <w:right w:val="nil"/>
            </w:tcBorders>
            <w:shd w:val="clear" w:color="auto" w:fill="FFFFFF"/>
            <w:vAlign w:val="center"/>
          </w:tcPr>
          <w:p w14:paraId="0AF6E6E9">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&gt;5-10% vs &gt;10-15%</w:t>
            </w:r>
          </w:p>
        </w:tc>
        <w:tc>
          <w:tcPr>
            <w:tcW w:w="673" w:type="dxa"/>
            <w:tcBorders>
              <w:top w:val="nil"/>
              <w:left w:val="nil"/>
              <w:bottom w:val="nil"/>
              <w:right w:val="nil"/>
            </w:tcBorders>
            <w:shd w:val="clear" w:color="auto" w:fill="FFFFFF"/>
            <w:vAlign w:val="center"/>
          </w:tcPr>
          <w:p w14:paraId="30B24ACC">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43</w:t>
            </w:r>
          </w:p>
        </w:tc>
        <w:tc>
          <w:tcPr>
            <w:tcW w:w="577" w:type="dxa"/>
            <w:tcBorders>
              <w:top w:val="nil"/>
              <w:left w:val="nil"/>
              <w:bottom w:val="nil"/>
              <w:right w:val="nil"/>
            </w:tcBorders>
            <w:shd w:val="clear" w:color="auto" w:fill="FFFFFF"/>
            <w:vAlign w:val="center"/>
          </w:tcPr>
          <w:p w14:paraId="0E2B0E49">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35</w:t>
            </w:r>
          </w:p>
        </w:tc>
        <w:tc>
          <w:tcPr>
            <w:tcW w:w="1942" w:type="dxa"/>
            <w:tcBorders>
              <w:top w:val="nil"/>
              <w:left w:val="nil"/>
              <w:bottom w:val="nil"/>
              <w:right w:val="nil"/>
            </w:tcBorders>
            <w:shd w:val="clear" w:color="auto" w:fill="FFFFFF"/>
            <w:vAlign w:val="center"/>
          </w:tcPr>
          <w:p w14:paraId="5B83D64F">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772</w:t>
            </w:r>
          </w:p>
        </w:tc>
        <w:tc>
          <w:tcPr>
            <w:tcW w:w="1549" w:type="dxa"/>
            <w:tcBorders>
              <w:top w:val="nil"/>
              <w:left w:val="nil"/>
              <w:bottom w:val="nil"/>
              <w:right w:val="nil"/>
            </w:tcBorders>
            <w:shd w:val="clear" w:color="auto" w:fill="FFFFFF"/>
            <w:vAlign w:val="center"/>
          </w:tcPr>
          <w:p w14:paraId="369700EB">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0.849</w:t>
            </w:r>
          </w:p>
        </w:tc>
        <w:tc>
          <w:tcPr>
            <w:tcW w:w="1657" w:type="dxa"/>
            <w:tcBorders>
              <w:top w:val="nil"/>
              <w:left w:val="nil"/>
              <w:bottom w:val="nil"/>
              <w:right w:val="nil"/>
            </w:tcBorders>
            <w:shd w:val="clear" w:color="auto" w:fill="FFFFFF"/>
            <w:vAlign w:val="center"/>
          </w:tcPr>
          <w:p w14:paraId="1D19B470">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0.849</w:t>
            </w:r>
          </w:p>
        </w:tc>
      </w:tr>
      <w:tr w14:paraId="24251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106" w:type="dxa"/>
            <w:tcBorders>
              <w:top w:val="nil"/>
              <w:left w:val="nil"/>
              <w:bottom w:val="nil"/>
              <w:right w:val="nil"/>
            </w:tcBorders>
            <w:shd w:val="clear" w:color="auto" w:fill="FFFFFF"/>
            <w:vAlign w:val="center"/>
          </w:tcPr>
          <w:p w14:paraId="001DC676">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&gt;5-10% vs &gt;15%</w:t>
            </w:r>
          </w:p>
        </w:tc>
        <w:tc>
          <w:tcPr>
            <w:tcW w:w="673" w:type="dxa"/>
            <w:tcBorders>
              <w:top w:val="nil"/>
              <w:left w:val="nil"/>
              <w:bottom w:val="nil"/>
              <w:right w:val="nil"/>
            </w:tcBorders>
            <w:shd w:val="clear" w:color="auto" w:fill="FFFFFF"/>
            <w:vAlign w:val="center"/>
          </w:tcPr>
          <w:p w14:paraId="7404760E">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43</w:t>
            </w:r>
          </w:p>
        </w:tc>
        <w:tc>
          <w:tcPr>
            <w:tcW w:w="577" w:type="dxa"/>
            <w:tcBorders>
              <w:top w:val="nil"/>
              <w:left w:val="nil"/>
              <w:bottom w:val="nil"/>
              <w:right w:val="nil"/>
            </w:tcBorders>
            <w:shd w:val="clear" w:color="auto" w:fill="FFFFFF"/>
            <w:vAlign w:val="center"/>
          </w:tcPr>
          <w:p w14:paraId="5170BE09">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33</w:t>
            </w:r>
          </w:p>
        </w:tc>
        <w:tc>
          <w:tcPr>
            <w:tcW w:w="1942" w:type="dxa"/>
            <w:tcBorders>
              <w:top w:val="nil"/>
              <w:left w:val="nil"/>
              <w:bottom w:val="nil"/>
              <w:right w:val="nil"/>
            </w:tcBorders>
            <w:shd w:val="clear" w:color="auto" w:fill="FFFFFF"/>
            <w:vAlign w:val="center"/>
          </w:tcPr>
          <w:p w14:paraId="42DA73F0">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871</w:t>
            </w:r>
          </w:p>
        </w:tc>
        <w:tc>
          <w:tcPr>
            <w:tcW w:w="1549" w:type="dxa"/>
            <w:tcBorders>
              <w:top w:val="nil"/>
              <w:left w:val="nil"/>
              <w:bottom w:val="nil"/>
              <w:right w:val="nil"/>
            </w:tcBorders>
            <w:shd w:val="clear" w:color="auto" w:fill="FFFFFF"/>
            <w:vAlign w:val="center"/>
          </w:tcPr>
          <w:p w14:paraId="251897E4">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0.092</w:t>
            </w:r>
          </w:p>
        </w:tc>
        <w:tc>
          <w:tcPr>
            <w:tcW w:w="1657" w:type="dxa"/>
            <w:tcBorders>
              <w:top w:val="nil"/>
              <w:left w:val="nil"/>
              <w:bottom w:val="nil"/>
              <w:right w:val="nil"/>
            </w:tcBorders>
            <w:shd w:val="clear" w:color="auto" w:fill="FFFFFF"/>
            <w:vAlign w:val="center"/>
          </w:tcPr>
          <w:p w14:paraId="6230F16F">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0.183</w:t>
            </w:r>
          </w:p>
        </w:tc>
      </w:tr>
      <w:tr w14:paraId="54488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106" w:type="dxa"/>
            <w:tcBorders>
              <w:top w:val="nil"/>
              <w:left w:val="nil"/>
              <w:bottom w:val="single" w:color="000000" w:sz="12" w:space="0"/>
              <w:right w:val="nil"/>
            </w:tcBorders>
            <w:shd w:val="clear" w:color="auto" w:fill="FFFFFF"/>
            <w:vAlign w:val="center"/>
          </w:tcPr>
          <w:p w14:paraId="1250A826">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&gt;10-15% vs &gt;15%</w:t>
            </w:r>
          </w:p>
        </w:tc>
        <w:tc>
          <w:tcPr>
            <w:tcW w:w="673" w:type="dxa"/>
            <w:tcBorders>
              <w:top w:val="nil"/>
              <w:left w:val="nil"/>
              <w:bottom w:val="single" w:color="000000" w:sz="12" w:space="0"/>
              <w:right w:val="nil"/>
            </w:tcBorders>
            <w:shd w:val="clear" w:color="auto" w:fill="FFFFFF"/>
            <w:vAlign w:val="center"/>
          </w:tcPr>
          <w:p w14:paraId="22A58C54">
            <w:pPr>
              <w:keepNext w:val="0"/>
              <w:keepLines w:val="0"/>
              <w:widowControl/>
              <w:suppressLineNumbers w:val="0"/>
              <w:snapToGrid w:val="0"/>
              <w:ind w:left="0" w:leftChars="0" w:right="0" w:rightChars="0" w:firstLine="0" w:firstLineChars="0"/>
              <w:jc w:val="lef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35</w:t>
            </w:r>
          </w:p>
        </w:tc>
        <w:tc>
          <w:tcPr>
            <w:tcW w:w="577" w:type="dxa"/>
            <w:tcBorders>
              <w:top w:val="nil"/>
              <w:left w:val="nil"/>
              <w:bottom w:val="single" w:color="000000" w:sz="12" w:space="0"/>
              <w:right w:val="nil"/>
            </w:tcBorders>
            <w:shd w:val="clear" w:color="auto" w:fill="FFFFFF"/>
            <w:vAlign w:val="center"/>
          </w:tcPr>
          <w:p w14:paraId="47CC44CD">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33</w:t>
            </w:r>
          </w:p>
        </w:tc>
        <w:tc>
          <w:tcPr>
            <w:tcW w:w="1942" w:type="dxa"/>
            <w:tcBorders>
              <w:top w:val="nil"/>
              <w:left w:val="nil"/>
              <w:bottom w:val="single" w:color="000000" w:sz="12" w:space="0"/>
              <w:right w:val="nil"/>
            </w:tcBorders>
            <w:shd w:val="clear" w:color="auto" w:fill="FFFFFF"/>
            <w:vAlign w:val="center"/>
          </w:tcPr>
          <w:p w14:paraId="541A0444">
            <w:pPr>
              <w:keepNext w:val="0"/>
              <w:keepLines w:val="0"/>
              <w:widowControl/>
              <w:suppressLineNumbers w:val="0"/>
              <w:snapToGrid w:val="0"/>
              <w:ind w:left="0" w:leftChars="0" w:right="0" w:rightChars="0" w:firstLine="0" w:firstLineChars="0"/>
              <w:jc w:val="center"/>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679.5</w:t>
            </w:r>
          </w:p>
        </w:tc>
        <w:tc>
          <w:tcPr>
            <w:tcW w:w="1549" w:type="dxa"/>
            <w:tcBorders>
              <w:top w:val="nil"/>
              <w:left w:val="nil"/>
              <w:bottom w:val="single" w:color="000000" w:sz="12" w:space="0"/>
              <w:right w:val="nil"/>
            </w:tcBorders>
            <w:shd w:val="clear" w:color="auto" w:fill="FFFFFF"/>
            <w:vAlign w:val="center"/>
          </w:tcPr>
          <w:p w14:paraId="350308D0">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0.213</w:t>
            </w:r>
          </w:p>
        </w:tc>
        <w:tc>
          <w:tcPr>
            <w:tcW w:w="1657" w:type="dxa"/>
            <w:tcBorders>
              <w:top w:val="nil"/>
              <w:left w:val="nil"/>
              <w:bottom w:val="single" w:color="000000" w:sz="12" w:space="0"/>
              <w:right w:val="nil"/>
            </w:tcBorders>
            <w:shd w:val="clear" w:color="auto" w:fill="FFFFFF"/>
            <w:vAlign w:val="center"/>
          </w:tcPr>
          <w:p w14:paraId="021D73B1">
            <w:pPr>
              <w:keepNext w:val="0"/>
              <w:keepLines w:val="0"/>
              <w:widowControl/>
              <w:suppressLineNumbers w:val="0"/>
              <w:snapToGrid w:val="0"/>
              <w:ind w:left="0" w:leftChars="0" w:right="0" w:rightChars="0" w:firstLine="0" w:firstLineChars="0"/>
              <w:jc w:val="right"/>
              <w:textAlignment w:val="center"/>
              <w:rPr>
                <w:rFonts w:hint="default" w:ascii="Times New Roman" w:hAnsi="Times New Roman" w:eastAsia="Carlito" w:cs="Times New Roman"/>
                <w:i w:val="0"/>
                <w:iCs w:val="0"/>
                <w:color w:val="000000"/>
                <w:sz w:val="24"/>
                <w:szCs w:val="24"/>
                <w:highlight w:val="none"/>
                <w:u w:val="none"/>
              </w:rPr>
            </w:pPr>
            <w:r>
              <w:rPr>
                <w:rFonts w:hint="default" w:ascii="Times New Roman" w:hAnsi="Times New Roman" w:eastAsia="Carlito" w:cs="Times New Roman"/>
                <w:i w:val="0"/>
                <w:iCs w:val="0"/>
                <w:color w:val="000000"/>
                <w:kern w:val="0"/>
                <w:sz w:val="24"/>
                <w:szCs w:val="24"/>
                <w:highlight w:val="none"/>
                <w:u w:val="none"/>
                <w:lang w:val="en-US" w:eastAsia="zh-CN" w:bidi="ar"/>
              </w:rPr>
              <w:t>0.304</w:t>
            </w:r>
          </w:p>
        </w:tc>
      </w:tr>
    </w:tbl>
    <w:p w14:paraId="020FDD90">
      <w:pPr>
        <w:keepNext w:val="0"/>
        <w:keepLines w:val="0"/>
        <w:widowControl/>
        <w:suppressLineNumbers w:val="0"/>
        <w:spacing w:line="480" w:lineRule="auto"/>
        <w:jc w:val="left"/>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Pairwise comparisons were performed using Wilcoxon rank-sum tests with Benjamini-Hochberg adjustment for multiple testing. These analyses were conducted as post hoc comparisons following the overall Kruskal-Wallis test across the five total LVA burden groups.</w:t>
      </w:r>
    </w:p>
    <w:p w14:paraId="4156505C">
      <w:pPr>
        <w:keepNext w:val="0"/>
        <w:keepLines w:val="0"/>
        <w:widowControl/>
        <w:suppressLineNumbers w:val="0"/>
        <w:spacing w:line="480" w:lineRule="auto"/>
        <w:jc w:val="left"/>
        <w:rPr>
          <w:rFonts w:hint="default" w:ascii="Times New Roman" w:hAnsi="Times New Roman" w:eastAsia="宋体" w:cs="Times New Roman"/>
          <w:sz w:val="24"/>
          <w:szCs w:val="24"/>
          <w:highlight w:val="none"/>
          <w:lang w:val="en-US" w:eastAsia="zh-CN" w:bidi="ar"/>
        </w:rPr>
      </w:pPr>
      <w:r>
        <w:rPr>
          <w:rFonts w:hint="default" w:ascii="Times New Roman" w:hAnsi="Times New Roman" w:eastAsia="宋体" w:cs="Times New Roman"/>
          <w:b/>
          <w:bCs w:val="0"/>
          <w:sz w:val="24"/>
          <w:szCs w:val="24"/>
          <w:highlight w:val="none"/>
          <w:lang w:bidi="ar"/>
        </w:rPr>
        <w:t>Abbreviations:</w:t>
      </w:r>
      <w:r>
        <w:rPr>
          <w:rFonts w:hint="default" w:ascii="Times New Roman" w:hAnsi="Times New Roman" w:eastAsia="宋体" w:cs="Times New Roman"/>
          <w:sz w:val="24"/>
          <w:szCs w:val="24"/>
          <w:highlight w:val="none"/>
        </w:rPr>
        <w:t xml:space="preserve"> </w:t>
      </w:r>
      <w:r>
        <w:rPr>
          <w:rFonts w:hint="default" w:ascii="Times New Roman" w:hAnsi="Times New Roman" w:eastAsia="宋体" w:cs="Times New Roman"/>
          <w:sz w:val="24"/>
          <w:szCs w:val="24"/>
          <w:highlight w:val="none"/>
          <w:lang w:bidi="ar"/>
        </w:rPr>
        <w:t>LDL-C, low-density lipoprotein cholesterol; LVA, left atrial low-voltage area.</w:t>
      </w:r>
    </w:p>
    <w:p w14:paraId="2C9C1311">
      <w:pPr>
        <w:keepNext w:val="0"/>
        <w:keepLines w:val="0"/>
        <w:widowControl/>
        <w:suppressLineNumbers w:val="0"/>
        <w:spacing w:line="480" w:lineRule="auto"/>
        <w:jc w:val="left"/>
        <w:rPr>
          <w:rFonts w:hint="default" w:ascii="Times New Roman" w:hAnsi="Times New Roman" w:eastAsia="宋体" w:cs="Times New Roman"/>
          <w:b w:val="0"/>
          <w:bCs w:val="0"/>
          <w:kern w:val="2"/>
          <w:sz w:val="24"/>
          <w:szCs w:val="24"/>
          <w:highlight w:val="none"/>
          <w:lang w:val="en-US" w:eastAsia="zh-CN" w:bidi="ar"/>
        </w:rPr>
      </w:pPr>
    </w:p>
    <w:p w14:paraId="1B05A30A">
      <w:pPr>
        <w:keepNext w:val="0"/>
        <w:keepLines w:val="0"/>
        <w:widowControl/>
        <w:suppressLineNumbers w:val="0"/>
        <w:spacing w:line="480" w:lineRule="auto"/>
        <w:jc w:val="left"/>
        <w:rPr>
          <w:rFonts w:hint="default" w:ascii="Times New Roman" w:hAnsi="Times New Roman" w:eastAsia="宋体" w:cs="Times New Roman"/>
          <w:b/>
          <w:bCs/>
          <w:kern w:val="0"/>
          <w:sz w:val="24"/>
          <w:szCs w:val="24"/>
          <w:highlight w:val="none"/>
          <w:lang w:val="en-US" w:eastAsia="zh-CN" w:bidi="ar"/>
        </w:rPr>
      </w:pPr>
    </w:p>
    <w:p w14:paraId="5A828E13">
      <w:pPr>
        <w:keepNext w:val="0"/>
        <w:keepLines w:val="0"/>
        <w:widowControl/>
        <w:suppressLineNumbers w:val="0"/>
        <w:spacing w:line="480" w:lineRule="auto"/>
        <w:jc w:val="left"/>
        <w:rPr>
          <w:rFonts w:hint="default" w:ascii="Times New Roman" w:hAnsi="Times New Roman" w:eastAsia="宋体" w:cs="Times New Roman"/>
          <w:b/>
          <w:bCs/>
          <w:kern w:val="0"/>
          <w:sz w:val="24"/>
          <w:szCs w:val="24"/>
          <w:highlight w:val="none"/>
          <w:lang w:val="en-US" w:eastAsia="zh-CN" w:bidi="ar"/>
        </w:rPr>
      </w:pPr>
    </w:p>
    <w:p w14:paraId="265A23BA">
      <w:pPr>
        <w:keepNext w:val="0"/>
        <w:keepLines w:val="0"/>
        <w:widowControl/>
        <w:suppressLineNumbers w:val="0"/>
        <w:spacing w:line="480" w:lineRule="auto"/>
        <w:jc w:val="left"/>
        <w:rPr>
          <w:rFonts w:hint="default" w:ascii="Times New Roman" w:hAnsi="Times New Roman" w:eastAsia="宋体" w:cs="Times New Roman"/>
          <w:b/>
          <w:bCs/>
          <w:kern w:val="0"/>
          <w:sz w:val="24"/>
          <w:szCs w:val="24"/>
          <w:highlight w:val="none"/>
          <w:lang w:val="en-US" w:eastAsia="zh-CN" w:bidi="ar"/>
        </w:rPr>
      </w:pPr>
    </w:p>
    <w:p w14:paraId="68FA5584">
      <w:pPr>
        <w:keepNext w:val="0"/>
        <w:keepLines w:val="0"/>
        <w:widowControl/>
        <w:suppressLineNumbers w:val="0"/>
        <w:spacing w:line="480" w:lineRule="auto"/>
        <w:jc w:val="left"/>
        <w:rPr>
          <w:rFonts w:hint="default" w:ascii="Times New Roman" w:hAnsi="Times New Roman" w:eastAsia="宋体" w:cs="Times New Roman"/>
          <w:b/>
          <w:bCs/>
          <w:kern w:val="0"/>
          <w:sz w:val="24"/>
          <w:szCs w:val="24"/>
          <w:highlight w:val="none"/>
          <w:lang w:val="en-US" w:eastAsia="zh-CN" w:bidi="ar"/>
        </w:rPr>
      </w:pPr>
    </w:p>
    <w:p w14:paraId="29408F00">
      <w:pPr>
        <w:keepNext w:val="0"/>
        <w:keepLines w:val="0"/>
        <w:widowControl/>
        <w:suppressLineNumbers w:val="0"/>
        <w:spacing w:line="480" w:lineRule="auto"/>
        <w:jc w:val="left"/>
        <w:rPr>
          <w:rFonts w:hint="default" w:ascii="Times New Roman" w:hAnsi="Times New Roman" w:eastAsia="宋体" w:cs="Times New Roman"/>
          <w:b/>
          <w:bCs/>
          <w:kern w:val="0"/>
          <w:sz w:val="24"/>
          <w:szCs w:val="24"/>
          <w:highlight w:val="none"/>
          <w:lang w:val="en-US" w:eastAsia="zh-CN" w:bidi="ar"/>
        </w:rPr>
      </w:pPr>
    </w:p>
    <w:p w14:paraId="168CBCC4">
      <w:pPr>
        <w:keepNext w:val="0"/>
        <w:keepLines w:val="0"/>
        <w:widowControl/>
        <w:suppressLineNumbers w:val="0"/>
        <w:spacing w:line="480" w:lineRule="auto"/>
        <w:jc w:val="left"/>
        <w:rPr>
          <w:rFonts w:hint="default" w:ascii="Times New Roman" w:hAnsi="Times New Roman" w:eastAsia="宋体" w:cs="Times New Roman"/>
          <w:b/>
          <w:bCs/>
          <w:kern w:val="0"/>
          <w:sz w:val="24"/>
          <w:szCs w:val="24"/>
          <w:highlight w:val="none"/>
          <w:lang w:val="en-US" w:eastAsia="zh-CN" w:bidi="ar"/>
        </w:rPr>
      </w:pPr>
    </w:p>
    <w:p w14:paraId="4CECE7DF">
      <w:pPr>
        <w:keepNext w:val="0"/>
        <w:keepLines w:val="0"/>
        <w:widowControl/>
        <w:suppressLineNumbers w:val="0"/>
        <w:spacing w:line="480" w:lineRule="auto"/>
        <w:jc w:val="left"/>
        <w:rPr>
          <w:rFonts w:hint="default" w:ascii="Times New Roman" w:hAnsi="Times New Roman" w:eastAsia="宋体" w:cs="Times New Roman"/>
          <w:b/>
          <w:bCs/>
          <w:kern w:val="0"/>
          <w:sz w:val="24"/>
          <w:szCs w:val="24"/>
          <w:highlight w:val="none"/>
          <w:lang w:val="en-US" w:eastAsia="zh-CN" w:bidi="ar"/>
        </w:rPr>
      </w:pPr>
    </w:p>
    <w:p w14:paraId="1A7108DB">
      <w:pPr>
        <w:keepNext w:val="0"/>
        <w:keepLines w:val="0"/>
        <w:widowControl/>
        <w:suppressLineNumbers w:val="0"/>
        <w:spacing w:line="480" w:lineRule="auto"/>
        <w:jc w:val="left"/>
        <w:rPr>
          <w:rFonts w:hint="default" w:ascii="Times New Roman" w:hAnsi="Times New Roman" w:eastAsia="宋体" w:cs="Times New Roman"/>
          <w:b/>
          <w:bCs/>
          <w:kern w:val="0"/>
          <w:sz w:val="24"/>
          <w:szCs w:val="24"/>
          <w:highlight w:val="none"/>
          <w:lang w:val="en-US" w:eastAsia="zh-CN" w:bidi="ar"/>
        </w:rPr>
      </w:pPr>
    </w:p>
    <w:p w14:paraId="6796A563">
      <w:pPr>
        <w:keepNext w:val="0"/>
        <w:keepLines w:val="0"/>
        <w:widowControl/>
        <w:suppressLineNumbers w:val="0"/>
        <w:spacing w:line="480" w:lineRule="auto"/>
        <w:jc w:val="left"/>
        <w:rPr>
          <w:rFonts w:hint="default" w:ascii="Times New Roman" w:hAnsi="Times New Roman" w:eastAsia="宋体" w:cs="Times New Roman"/>
          <w:b/>
          <w:bCs/>
          <w:kern w:val="0"/>
          <w:sz w:val="24"/>
          <w:szCs w:val="24"/>
          <w:highlight w:val="none"/>
          <w:lang w:val="en-US" w:eastAsia="zh-CN" w:bidi="ar"/>
        </w:rPr>
      </w:pPr>
    </w:p>
    <w:p w14:paraId="1D5895B9">
      <w:pPr>
        <w:keepNext w:val="0"/>
        <w:keepLines w:val="0"/>
        <w:widowControl/>
        <w:suppressLineNumbers w:val="0"/>
        <w:spacing w:line="480" w:lineRule="auto"/>
        <w:jc w:val="left"/>
        <w:rPr>
          <w:rFonts w:hint="default" w:ascii="Times New Roman" w:hAnsi="Times New Roman" w:eastAsia="宋体" w:cs="Times New Roman"/>
          <w:b/>
          <w:bCs/>
          <w:kern w:val="0"/>
          <w:sz w:val="24"/>
          <w:szCs w:val="24"/>
          <w:highlight w:val="none"/>
          <w:lang w:val="en-US" w:eastAsia="zh-CN" w:bidi="ar"/>
        </w:rPr>
      </w:pPr>
    </w:p>
    <w:p w14:paraId="5CCAA105">
      <w:pPr>
        <w:keepNext w:val="0"/>
        <w:keepLines w:val="0"/>
        <w:widowControl/>
        <w:suppressLineNumbers w:val="0"/>
        <w:spacing w:line="480" w:lineRule="auto"/>
        <w:jc w:val="left"/>
        <w:rPr>
          <w:rFonts w:hint="default" w:ascii="Times New Roman" w:hAnsi="Times New Roman" w:eastAsia="宋体" w:cs="Times New Roman"/>
          <w:b/>
          <w:bCs/>
          <w:kern w:val="0"/>
          <w:sz w:val="24"/>
          <w:szCs w:val="24"/>
          <w:highlight w:val="none"/>
          <w:lang w:val="en-US" w:eastAsia="zh-CN" w:bidi="ar"/>
        </w:rPr>
      </w:pPr>
    </w:p>
    <w:p w14:paraId="2E0E9F58">
      <w:pPr>
        <w:keepNext w:val="0"/>
        <w:keepLines w:val="0"/>
        <w:widowControl/>
        <w:suppressLineNumbers w:val="0"/>
        <w:spacing w:line="480" w:lineRule="auto"/>
        <w:jc w:val="left"/>
        <w:rPr>
          <w:rFonts w:hint="default" w:ascii="Times New Roman" w:hAnsi="Times New Roman" w:eastAsia="宋体" w:cs="Times New Roman"/>
          <w:b/>
          <w:bCs/>
          <w:kern w:val="0"/>
          <w:sz w:val="24"/>
          <w:szCs w:val="24"/>
          <w:highlight w:val="none"/>
          <w:lang w:val="en-US" w:eastAsia="zh-CN" w:bidi="ar"/>
        </w:rPr>
      </w:pPr>
    </w:p>
    <w:p w14:paraId="046E0EB4">
      <w:pPr>
        <w:keepNext w:val="0"/>
        <w:keepLines w:val="0"/>
        <w:widowControl/>
        <w:suppressLineNumbers w:val="0"/>
        <w:spacing w:line="480" w:lineRule="auto"/>
        <w:jc w:val="left"/>
        <w:rPr>
          <w:rFonts w:hint="default" w:ascii="Times New Roman" w:hAnsi="Times New Roman" w:eastAsia="宋体" w:cs="Times New Roman"/>
          <w:b/>
          <w:bCs/>
          <w:kern w:val="0"/>
          <w:sz w:val="24"/>
          <w:szCs w:val="24"/>
          <w:highlight w:val="none"/>
          <w:lang w:val="en-US" w:eastAsia="zh-CN" w:bidi="ar"/>
        </w:rPr>
      </w:pPr>
    </w:p>
    <w:p w14:paraId="46514983">
      <w:pPr>
        <w:keepNext w:val="0"/>
        <w:keepLines w:val="0"/>
        <w:widowControl/>
        <w:suppressLineNumbers w:val="0"/>
        <w:spacing w:line="480" w:lineRule="auto"/>
        <w:jc w:val="left"/>
        <w:rPr>
          <w:rFonts w:hint="default" w:ascii="Times New Roman" w:hAnsi="Times New Roman" w:eastAsia="宋体" w:cs="Times New Roman"/>
          <w:b/>
          <w:bCs/>
          <w:kern w:val="0"/>
          <w:sz w:val="24"/>
          <w:szCs w:val="24"/>
          <w:highlight w:val="none"/>
          <w:lang w:val="en-US" w:eastAsia="zh-CN" w:bidi="ar"/>
        </w:rPr>
      </w:pPr>
    </w:p>
    <w:p w14:paraId="6D0B985F">
      <w:pPr>
        <w:keepNext w:val="0"/>
        <w:keepLines w:val="0"/>
        <w:widowControl/>
        <w:suppressLineNumbers w:val="0"/>
        <w:spacing w:line="480" w:lineRule="auto"/>
        <w:jc w:val="left"/>
        <w:rPr>
          <w:rFonts w:hint="default" w:ascii="Times New Roman" w:hAnsi="Times New Roman" w:eastAsia="宋体" w:cs="Times New Roman"/>
          <w:b/>
          <w:bCs/>
          <w:kern w:val="0"/>
          <w:sz w:val="24"/>
          <w:szCs w:val="24"/>
          <w:highlight w:val="none"/>
          <w:lang w:val="en-US" w:eastAsia="zh-CN" w:bidi="ar"/>
        </w:rPr>
      </w:pPr>
    </w:p>
    <w:p w14:paraId="3E070FDD">
      <w:pPr>
        <w:keepNext w:val="0"/>
        <w:keepLines w:val="0"/>
        <w:widowControl/>
        <w:suppressLineNumbers w:val="0"/>
        <w:spacing w:line="480" w:lineRule="auto"/>
        <w:jc w:val="left"/>
        <w:rPr>
          <w:rFonts w:hint="default" w:ascii="Times New Roman" w:hAnsi="Times New Roman" w:eastAsia="宋体" w:cs="Times New Roman"/>
          <w:b/>
          <w:bCs/>
          <w:kern w:val="0"/>
          <w:sz w:val="24"/>
          <w:szCs w:val="24"/>
          <w:highlight w:val="none"/>
          <w:lang w:val="en-US" w:eastAsia="zh-CN" w:bidi="ar"/>
        </w:rPr>
      </w:pPr>
      <w:r>
        <w:rPr>
          <w:rFonts w:hint="default" w:ascii="Times New Roman" w:hAnsi="Times New Roman" w:eastAsia="宋体" w:cs="Times New Roman"/>
          <w:b/>
          <w:bCs/>
          <w:kern w:val="0"/>
          <w:sz w:val="24"/>
          <w:szCs w:val="24"/>
          <w:highlight w:val="none"/>
          <w:lang w:val="en-US" w:eastAsia="zh-CN" w:bidi="ar"/>
        </w:rPr>
        <w:t>Supplementary Figures</w:t>
      </w:r>
    </w:p>
    <w:p w14:paraId="29A0A00E">
      <w:pPr>
        <w:spacing w:line="480" w:lineRule="auto"/>
        <w:rPr>
          <w:rFonts w:hint="default" w:ascii="Times New Roman" w:hAnsi="Times New Roman" w:cs="Times New Roman" w:eastAsiaTheme="minorEastAsia"/>
          <w:b w:val="0"/>
          <w:bCs w:val="0"/>
          <w:kern w:val="0"/>
          <w:sz w:val="24"/>
          <w:szCs w:val="24"/>
          <w:highlight w:val="none"/>
          <w:lang w:val="en-US" w:eastAsia="zh-CN" w:bidi="ar"/>
        </w:rPr>
      </w:pPr>
      <w:r>
        <w:rPr>
          <w:rFonts w:hint="default" w:ascii="Times New Roman" w:hAnsi="Times New Roman" w:cs="Times New Roman" w:eastAsiaTheme="minorEastAsia"/>
          <w:b w:val="0"/>
          <w:bCs w:val="0"/>
          <w:kern w:val="0"/>
          <w:sz w:val="24"/>
          <w:szCs w:val="24"/>
          <w:highlight w:val="none"/>
          <w:lang w:val="en-US" w:eastAsia="zh-CN" w:bidi="ar"/>
        </w:rPr>
        <w:t xml:space="preserve">For ease of reading, </w:t>
      </w:r>
      <w:r>
        <w:rPr>
          <w:rFonts w:hint="default" w:ascii="Times New Roman" w:hAnsi="Times New Roman" w:cs="Times New Roman" w:eastAsiaTheme="minorEastAsia"/>
          <w:b/>
          <w:bCs/>
          <w:kern w:val="0"/>
          <w:sz w:val="24"/>
          <w:szCs w:val="24"/>
          <w:highlight w:val="none"/>
          <w:lang w:val="en-US" w:eastAsia="zh-CN" w:bidi="ar"/>
        </w:rPr>
        <w:t>Supplementary Figures S1 and S2</w:t>
      </w:r>
      <w:r>
        <w:rPr>
          <w:rFonts w:hint="default" w:ascii="Times New Roman" w:hAnsi="Times New Roman" w:cs="Times New Roman" w:eastAsiaTheme="minorEastAsia"/>
          <w:b w:val="0"/>
          <w:bCs w:val="0"/>
          <w:kern w:val="0"/>
          <w:sz w:val="24"/>
          <w:szCs w:val="24"/>
          <w:highlight w:val="none"/>
          <w:lang w:val="en-US" w:eastAsia="zh-CN" w:bidi="ar"/>
        </w:rPr>
        <w:t xml:space="preserve"> are provided within Supplementary Methods S3 (Procedural details) and are therefore not repeated in the Supplementary Figures section.</w:t>
      </w:r>
    </w:p>
    <w:p w14:paraId="01A67168">
      <w:pPr>
        <w:spacing w:line="480" w:lineRule="auto"/>
        <w:rPr>
          <w:rFonts w:hint="default" w:ascii="Times New Roman" w:hAnsi="Times New Roman" w:eastAsia="Times New Roman" w:cs="Times New Roman"/>
          <w:sz w:val="24"/>
          <w:szCs w:val="24"/>
          <w:highlight w:val="none"/>
        </w:rPr>
      </w:pPr>
      <w:r>
        <w:rPr>
          <w:rFonts w:hint="default" w:ascii="Times New Roman" w:hAnsi="Times New Roman" w:cs="Times New Roman" w:eastAsiaTheme="minorEastAsia"/>
          <w:b/>
          <w:bCs/>
          <w:kern w:val="0"/>
          <w:sz w:val="24"/>
          <w:szCs w:val="24"/>
          <w:highlight w:val="none"/>
          <w:lang w:val="en-US" w:eastAsia="zh-CN" w:bidi="ar"/>
        </w:rPr>
        <w:t>Supplementary Figure S3.</w:t>
      </w:r>
      <w:r>
        <w:rPr>
          <w:rFonts w:hint="default" w:ascii="Times New Roman" w:hAnsi="Times New Roman" w:cs="Times New Roman" w:eastAsiaTheme="minorEastAsia"/>
          <w:b w:val="0"/>
          <w:bCs w:val="0"/>
          <w:kern w:val="0"/>
          <w:sz w:val="24"/>
          <w:szCs w:val="24"/>
          <w:highlight w:val="none"/>
          <w:lang w:val="en-US" w:eastAsia="zh-CN" w:bidi="ar"/>
        </w:rPr>
        <w:t xml:space="preserve"> Mediation analyses of all prespecified candidate pathways linking LDL-C levels to the presence of left atrial low-voltage areas.</w:t>
      </w:r>
    </w:p>
    <w:p w14:paraId="0D60D2DB">
      <w:pPr>
        <w:spacing w:before="80" w:after="0"/>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eastAsia="zh-CN"/>
        </w:rPr>
        <w:drawing>
          <wp:inline distT="0" distB="0" distL="114300" distR="114300">
            <wp:extent cx="5272405" cy="3649980"/>
            <wp:effectExtent l="0" t="0" r="10795" b="7620"/>
            <wp:docPr id="14" name="图片 14" descr="mediation_paths_all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mediation_paths_all_01"/>
                    <pic:cNvPicPr>
                      <a:picLocks noChangeAspect="1"/>
                    </pic:cNvPicPr>
                  </pic:nvPicPr>
                  <pic:blipFill>
                    <a:blip r:embed="rId7"/>
                    <a:stretch>
                      <a:fillRect/>
                    </a:stretch>
                  </pic:blipFill>
                  <pic:spPr>
                    <a:xfrm>
                      <a:off x="0" y="0"/>
                      <a:ext cx="5272405" cy="3649980"/>
                    </a:xfrm>
                    <a:prstGeom prst="rect">
                      <a:avLst/>
                    </a:prstGeom>
                  </pic:spPr>
                </pic:pic>
              </a:graphicData>
            </a:graphic>
          </wp:inline>
        </w:drawing>
      </w:r>
    </w:p>
    <w:p w14:paraId="0BFEE236">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 xml:space="preserve">Exploratory mediation analyses were performed using a causal mediation framework to explore potential pathways linking LDL-C levels to the presence of LVAs. The prespecified candidate mediators included coronary artery disease (A), stroke (B), cardiomyopathy (C), heart failure (D), diabetes (E), fatty liver disease (F), hypertension (G), left atrial diameter (H), and left ventricular ejection fraction (I). For each mediator, the path coefficient from LDL-C to the mediator is denoted as </w:t>
      </w:r>
      <w:r>
        <w:rPr>
          <w:rFonts w:hint="default" w:ascii="Times New Roman" w:hAnsi="Times New Roman" w:eastAsia="宋体" w:cs="Times New Roman"/>
          <w:b/>
          <w:bCs/>
          <w:kern w:val="2"/>
          <w:sz w:val="24"/>
          <w:szCs w:val="24"/>
          <w:highlight w:val="none"/>
          <w:lang w:val="en-US" w:eastAsia="zh-CN" w:bidi="ar"/>
        </w:rPr>
        <w:t>a</w:t>
      </w:r>
      <w:r>
        <w:rPr>
          <w:rFonts w:hint="default" w:ascii="Times New Roman" w:hAnsi="Times New Roman" w:eastAsia="宋体" w:cs="Times New Roman"/>
          <w:kern w:val="2"/>
          <w:sz w:val="24"/>
          <w:szCs w:val="24"/>
          <w:highlight w:val="none"/>
          <w:lang w:val="en-US" w:eastAsia="zh-CN" w:bidi="ar"/>
        </w:rPr>
        <w:t xml:space="preserve">, the path coefficient from the mediator to LVAs as </w:t>
      </w:r>
      <w:r>
        <w:rPr>
          <w:rFonts w:hint="default" w:ascii="Times New Roman" w:hAnsi="Times New Roman" w:eastAsia="宋体" w:cs="Times New Roman"/>
          <w:b/>
          <w:bCs/>
          <w:kern w:val="2"/>
          <w:sz w:val="24"/>
          <w:szCs w:val="24"/>
          <w:highlight w:val="none"/>
          <w:lang w:val="en-US" w:eastAsia="zh-CN" w:bidi="ar"/>
        </w:rPr>
        <w:t>b</w:t>
      </w:r>
      <w:r>
        <w:rPr>
          <w:rFonts w:hint="default" w:ascii="Times New Roman" w:hAnsi="Times New Roman" w:eastAsia="宋体" w:cs="Times New Roman"/>
          <w:kern w:val="2"/>
          <w:sz w:val="24"/>
          <w:szCs w:val="24"/>
          <w:highlight w:val="none"/>
          <w:lang w:val="en-US" w:eastAsia="zh-CN" w:bidi="ar"/>
        </w:rPr>
        <w:t xml:space="preserve">, and the direct effect of LDL-C on LVAs after accounting for the mediator as </w:t>
      </w:r>
      <w:r>
        <w:rPr>
          <w:rFonts w:hint="default" w:ascii="Times New Roman" w:hAnsi="Times New Roman" w:eastAsia="宋体" w:cs="Times New Roman"/>
          <w:b/>
          <w:bCs/>
          <w:kern w:val="2"/>
          <w:sz w:val="24"/>
          <w:szCs w:val="24"/>
          <w:highlight w:val="none"/>
          <w:lang w:val="en-US" w:eastAsia="zh-CN" w:bidi="ar"/>
        </w:rPr>
        <w:t>c′</w:t>
      </w:r>
      <w:r>
        <w:rPr>
          <w:rFonts w:hint="default" w:ascii="Times New Roman" w:hAnsi="Times New Roman" w:eastAsia="宋体" w:cs="Times New Roman"/>
          <w:kern w:val="2"/>
          <w:sz w:val="24"/>
          <w:szCs w:val="24"/>
          <w:highlight w:val="none"/>
          <w:lang w:val="en-US" w:eastAsia="zh-CN" w:bidi="ar"/>
        </w:rPr>
        <w:t>. Average causal mediation effect (ACME), average direct effect (ADE), and total effect are shown for each model. Among all examined candidate mediators, only left atrial diameter showed a statistically significant indirect effect, suggesting that left atrial structural remodeling, reflected in part by LAD, may partly account for the observed association between LDL-C levels and LVAs. Mediation effects were estimated using 1,000 bootstrap iterations.</w:t>
      </w:r>
    </w:p>
    <w:p w14:paraId="035C6624">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b/>
          <w:bCs/>
          <w:kern w:val="2"/>
          <w:sz w:val="24"/>
          <w:szCs w:val="24"/>
          <w:highlight w:val="none"/>
          <w:lang w:val="en-US" w:eastAsia="zh-CN" w:bidi="ar"/>
        </w:rPr>
        <w:t>Abbreviations:</w:t>
      </w:r>
      <w:r>
        <w:rPr>
          <w:rFonts w:hint="default" w:ascii="Times New Roman" w:hAnsi="Times New Roman" w:eastAsia="宋体" w:cs="Times New Roman"/>
          <w:kern w:val="2"/>
          <w:sz w:val="24"/>
          <w:szCs w:val="24"/>
          <w:highlight w:val="none"/>
          <w:lang w:val="en-US" w:eastAsia="zh-CN" w:bidi="ar"/>
        </w:rPr>
        <w:t xml:space="preserve"> LDL-C, low-density lipoprotein cholesterol; LVAs, left atrial low-voltage areas; CAD, coronary artery disease; HF, heart failure; FLD, fatty liver disease; LAD, left atrial diameter; LVEF, left ventricular ejection fraction; ACME, average causal mediation effect; ADE, average direct effect.</w:t>
      </w:r>
    </w:p>
    <w:p w14:paraId="3017B613">
      <w:pPr>
        <w:spacing w:before="80" w:after="0" w:line="480" w:lineRule="auto"/>
        <w:rPr>
          <w:rFonts w:hint="default" w:ascii="Times New Roman" w:hAnsi="Times New Roman" w:eastAsia="Times New Roman" w:cs="Times New Roman"/>
          <w:sz w:val="24"/>
          <w:szCs w:val="24"/>
          <w:highlight w:val="none"/>
        </w:rPr>
      </w:pPr>
    </w:p>
    <w:p w14:paraId="638FDBB8">
      <w:pPr>
        <w:spacing w:line="480" w:lineRule="auto"/>
        <w:rPr>
          <w:rFonts w:hint="default" w:ascii="Times New Roman" w:hAnsi="Times New Roman" w:cs="Times New Roman" w:eastAsiaTheme="minorEastAsia"/>
          <w:b/>
          <w:bCs/>
          <w:kern w:val="0"/>
          <w:sz w:val="24"/>
          <w:szCs w:val="24"/>
          <w:highlight w:val="none"/>
          <w:lang w:val="en-US" w:eastAsia="zh-CN" w:bidi="ar"/>
        </w:rPr>
      </w:pPr>
    </w:p>
    <w:p w14:paraId="104BFD50">
      <w:pPr>
        <w:spacing w:line="480" w:lineRule="auto"/>
        <w:rPr>
          <w:rFonts w:hint="default" w:ascii="Times New Roman" w:hAnsi="Times New Roman" w:cs="Times New Roman" w:eastAsiaTheme="minorEastAsia"/>
          <w:b/>
          <w:bCs/>
          <w:kern w:val="0"/>
          <w:sz w:val="24"/>
          <w:szCs w:val="24"/>
          <w:highlight w:val="none"/>
          <w:lang w:val="en-US" w:eastAsia="zh-CN" w:bidi="ar"/>
        </w:rPr>
      </w:pPr>
    </w:p>
    <w:p w14:paraId="115F4C6F">
      <w:pPr>
        <w:spacing w:line="480" w:lineRule="auto"/>
        <w:rPr>
          <w:rFonts w:hint="default" w:ascii="Times New Roman" w:hAnsi="Times New Roman" w:cs="Times New Roman" w:eastAsiaTheme="minorEastAsia"/>
          <w:b/>
          <w:bCs/>
          <w:kern w:val="0"/>
          <w:sz w:val="24"/>
          <w:szCs w:val="24"/>
          <w:highlight w:val="none"/>
          <w:lang w:val="en-US" w:eastAsia="zh-CN" w:bidi="ar"/>
        </w:rPr>
      </w:pPr>
    </w:p>
    <w:p w14:paraId="3BF462AA">
      <w:pPr>
        <w:spacing w:line="480" w:lineRule="auto"/>
        <w:rPr>
          <w:rFonts w:hint="default" w:ascii="Times New Roman" w:hAnsi="Times New Roman" w:cs="Times New Roman" w:eastAsiaTheme="minorEastAsia"/>
          <w:b/>
          <w:bCs/>
          <w:kern w:val="0"/>
          <w:sz w:val="24"/>
          <w:szCs w:val="24"/>
          <w:highlight w:val="none"/>
          <w:lang w:val="en-US" w:eastAsia="zh-CN" w:bidi="ar"/>
        </w:rPr>
      </w:pPr>
    </w:p>
    <w:p w14:paraId="102D5B1F">
      <w:pPr>
        <w:spacing w:line="480" w:lineRule="auto"/>
        <w:rPr>
          <w:rFonts w:hint="default" w:ascii="Times New Roman" w:hAnsi="Times New Roman" w:cs="Times New Roman" w:eastAsiaTheme="minorEastAsia"/>
          <w:b/>
          <w:bCs/>
          <w:kern w:val="0"/>
          <w:sz w:val="24"/>
          <w:szCs w:val="24"/>
          <w:highlight w:val="none"/>
          <w:lang w:val="en-US" w:eastAsia="zh-CN" w:bidi="ar"/>
        </w:rPr>
      </w:pPr>
    </w:p>
    <w:p w14:paraId="625C765A">
      <w:pPr>
        <w:spacing w:line="480" w:lineRule="auto"/>
        <w:rPr>
          <w:rFonts w:hint="default" w:ascii="Times New Roman" w:hAnsi="Times New Roman" w:cs="Times New Roman" w:eastAsiaTheme="minorEastAsia"/>
          <w:b/>
          <w:bCs/>
          <w:kern w:val="0"/>
          <w:sz w:val="24"/>
          <w:szCs w:val="24"/>
          <w:highlight w:val="none"/>
          <w:lang w:val="en-US" w:eastAsia="zh-CN" w:bidi="ar"/>
        </w:rPr>
      </w:pPr>
    </w:p>
    <w:p w14:paraId="41D10926">
      <w:pPr>
        <w:spacing w:line="480" w:lineRule="auto"/>
        <w:rPr>
          <w:rFonts w:hint="default" w:ascii="Times New Roman" w:hAnsi="Times New Roman" w:cs="Times New Roman" w:eastAsiaTheme="minorEastAsia"/>
          <w:b/>
          <w:bCs/>
          <w:kern w:val="0"/>
          <w:sz w:val="24"/>
          <w:szCs w:val="24"/>
          <w:highlight w:val="none"/>
          <w:lang w:val="en-US" w:eastAsia="zh-CN" w:bidi="ar"/>
        </w:rPr>
      </w:pPr>
    </w:p>
    <w:p w14:paraId="697730B5">
      <w:pPr>
        <w:spacing w:line="480" w:lineRule="auto"/>
        <w:rPr>
          <w:rFonts w:hint="default" w:ascii="Times New Roman" w:hAnsi="Times New Roman" w:cs="Times New Roman" w:eastAsiaTheme="minorEastAsia"/>
          <w:b/>
          <w:bCs/>
          <w:kern w:val="0"/>
          <w:sz w:val="24"/>
          <w:szCs w:val="24"/>
          <w:highlight w:val="none"/>
          <w:lang w:val="en-US" w:eastAsia="zh-CN" w:bidi="ar"/>
        </w:rPr>
      </w:pPr>
    </w:p>
    <w:p w14:paraId="2734CDA0">
      <w:pPr>
        <w:spacing w:line="480" w:lineRule="auto"/>
        <w:rPr>
          <w:rFonts w:hint="default" w:ascii="Times New Roman" w:hAnsi="Times New Roman" w:cs="Times New Roman" w:eastAsiaTheme="minorEastAsia"/>
          <w:b/>
          <w:bCs/>
          <w:kern w:val="0"/>
          <w:sz w:val="24"/>
          <w:szCs w:val="24"/>
          <w:highlight w:val="none"/>
          <w:lang w:val="en-US" w:eastAsia="zh-CN" w:bidi="ar"/>
        </w:rPr>
      </w:pPr>
    </w:p>
    <w:p w14:paraId="358A4223">
      <w:pPr>
        <w:spacing w:line="480" w:lineRule="auto"/>
        <w:rPr>
          <w:rFonts w:hint="default" w:ascii="Times New Roman" w:hAnsi="Times New Roman" w:cs="Times New Roman" w:eastAsiaTheme="minorEastAsia"/>
          <w:b/>
          <w:bCs/>
          <w:kern w:val="0"/>
          <w:sz w:val="24"/>
          <w:szCs w:val="24"/>
          <w:highlight w:val="none"/>
          <w:lang w:val="en-US" w:eastAsia="zh-CN" w:bidi="ar"/>
        </w:rPr>
      </w:pPr>
    </w:p>
    <w:p w14:paraId="0C2E2843">
      <w:pPr>
        <w:spacing w:line="480" w:lineRule="auto"/>
        <w:rPr>
          <w:rFonts w:hint="default" w:ascii="Times New Roman" w:hAnsi="Times New Roman" w:cs="Times New Roman"/>
          <w:b w:val="0"/>
          <w:bCs w:val="0"/>
          <w:kern w:val="0"/>
          <w:sz w:val="24"/>
          <w:szCs w:val="24"/>
          <w:highlight w:val="none"/>
          <w:lang w:val="en-US" w:eastAsia="zh-CN" w:bidi="ar"/>
        </w:rPr>
      </w:pPr>
      <w:r>
        <w:rPr>
          <w:rFonts w:hint="default" w:ascii="Times New Roman" w:hAnsi="Times New Roman" w:cs="Times New Roman" w:eastAsiaTheme="minorEastAsia"/>
          <w:b/>
          <w:bCs/>
          <w:kern w:val="0"/>
          <w:sz w:val="24"/>
          <w:szCs w:val="24"/>
          <w:highlight w:val="none"/>
          <w:lang w:val="en-US" w:eastAsia="zh-CN" w:bidi="ar"/>
        </w:rPr>
        <w:t>Supplementary Figure S4.</w:t>
      </w:r>
      <w:r>
        <w:rPr>
          <w:rFonts w:hint="default" w:ascii="Times New Roman" w:hAnsi="Times New Roman" w:cs="Times New Roman" w:eastAsiaTheme="minorEastAsia"/>
          <w:b w:val="0"/>
          <w:bCs w:val="0"/>
          <w:kern w:val="0"/>
          <w:sz w:val="24"/>
          <w:szCs w:val="24"/>
          <w:highlight w:val="none"/>
          <w:lang w:val="en-US" w:eastAsia="zh-CN" w:bidi="ar"/>
        </w:rPr>
        <w:t xml:space="preserve"> Restricted cubic spline analysis of the association between LDL-C levels and postablation recurrence.</w:t>
      </w:r>
    </w:p>
    <w:p w14:paraId="2F42C60E">
      <w:pPr>
        <w:keepNext w:val="0"/>
        <w:keepLines w:val="0"/>
        <w:widowControl/>
        <w:suppressLineNumbers w:val="0"/>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drawing>
          <wp:inline distT="0" distB="0" distL="114300" distR="114300">
            <wp:extent cx="5266055" cy="4318635"/>
            <wp:effectExtent l="0" t="0" r="4445" b="12065"/>
            <wp:docPr id="16" name="图片 16" descr="RCS_LDLC_Recurrence_adj_age_sex_overlap_hist_fixed_blue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RCS_LDLC_Recurrence_adj_age_sex_overlap_hist_fixed_blue_01"/>
                    <pic:cNvPicPr>
                      <a:picLocks noChangeAspect="1"/>
                    </pic:cNvPicPr>
                  </pic:nvPicPr>
                  <pic:blipFill>
                    <a:blip r:embed="rId8"/>
                    <a:stretch>
                      <a:fillRect/>
                    </a:stretch>
                  </pic:blipFill>
                  <pic:spPr>
                    <a:xfrm>
                      <a:off x="0" y="0"/>
                      <a:ext cx="5266055" cy="4318635"/>
                    </a:xfrm>
                    <a:prstGeom prst="rect">
                      <a:avLst/>
                    </a:prstGeom>
                  </pic:spPr>
                </pic:pic>
              </a:graphicData>
            </a:graphic>
          </wp:inline>
        </w:drawing>
      </w:r>
    </w:p>
    <w:p w14:paraId="49C462F3">
      <w:pPr>
        <w:keepNext w:val="0"/>
        <w:keepLines w:val="0"/>
        <w:widowControl/>
        <w:suppressLineNumbers w:val="0"/>
        <w:jc w:val="left"/>
        <w:rPr>
          <w:rFonts w:hint="default" w:ascii="Times New Roman" w:hAnsi="Times New Roman" w:eastAsia="宋体" w:cs="Times New Roman"/>
          <w:kern w:val="2"/>
          <w:sz w:val="24"/>
          <w:szCs w:val="24"/>
          <w:highlight w:val="none"/>
          <w:lang w:val="en-US" w:eastAsia="zh-CN" w:bidi="ar"/>
        </w:rPr>
      </w:pPr>
    </w:p>
    <w:p w14:paraId="35158F11">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sz w:val="24"/>
          <w:szCs w:val="24"/>
          <w:highlight w:val="none"/>
        </w:rPr>
        <w:t>Restricted cubic spline analysis based on a Cox proportional hazards model was used to examine the association between LDL-C levels and postablation recurrence, with the median LDL-C level (2.35 mmol/L) as the reference. The model was adjusted for age and sex. Hazard ratios are presented relative to the median LDL-C value, and histogram bars indicate the distribution of LDL-C values in the study population. No significant evidence of nonlinearity was observed (</w:t>
      </w:r>
      <w:r>
        <w:rPr>
          <w:rFonts w:hint="default" w:ascii="Times New Roman" w:hAnsi="Times New Roman" w:eastAsia="宋体" w:cs="Times New Roman"/>
          <w:i/>
          <w:iCs/>
          <w:sz w:val="24"/>
          <w:szCs w:val="24"/>
          <w:highlight w:val="none"/>
        </w:rPr>
        <w:t>P</w:t>
      </w:r>
      <w:r>
        <w:rPr>
          <w:rFonts w:hint="default" w:ascii="Times New Roman" w:hAnsi="Times New Roman" w:eastAsia="宋体" w:cs="Times New Roman"/>
          <w:sz w:val="24"/>
          <w:szCs w:val="24"/>
          <w:highlight w:val="none"/>
        </w:rPr>
        <w:t xml:space="preserve"> for non-linearity = 0.838). Quartile-based recurrence analyses were exploratory and descriptive, and Q3 was used as the model reference category for numerical comparison only rather than to indicate a biologically or clinically preferred LDL-C range.</w:t>
      </w:r>
    </w:p>
    <w:p w14:paraId="201BA78E">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b/>
          <w:bCs/>
          <w:kern w:val="2"/>
          <w:sz w:val="24"/>
          <w:szCs w:val="24"/>
          <w:highlight w:val="none"/>
          <w:lang w:val="en-US" w:eastAsia="zh-CN" w:bidi="ar"/>
        </w:rPr>
        <w:t>Abbreviations:</w:t>
      </w:r>
      <w:r>
        <w:rPr>
          <w:rFonts w:hint="default" w:ascii="Times New Roman" w:hAnsi="Times New Roman" w:eastAsia="宋体" w:cs="Times New Roman"/>
          <w:kern w:val="2"/>
          <w:sz w:val="24"/>
          <w:szCs w:val="24"/>
          <w:highlight w:val="none"/>
          <w:lang w:val="en-US" w:eastAsia="zh-CN" w:bidi="ar"/>
        </w:rPr>
        <w:t xml:space="preserve"> LDL-C, low-density lipoprotein cholesterol.</w:t>
      </w:r>
    </w:p>
    <w:p w14:paraId="74C43FB0">
      <w:pPr>
        <w:spacing w:line="480" w:lineRule="auto"/>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cs="Times New Roman" w:eastAsiaTheme="minorEastAsia"/>
          <w:b/>
          <w:bCs/>
          <w:kern w:val="0"/>
          <w:sz w:val="24"/>
          <w:szCs w:val="24"/>
          <w:highlight w:val="none"/>
          <w:lang w:val="en-US" w:eastAsia="zh-CN" w:bidi="ar"/>
        </w:rPr>
        <w:t>Supplementary Figure S5.</w:t>
      </w:r>
      <w:r>
        <w:rPr>
          <w:rFonts w:hint="default" w:ascii="Times New Roman" w:hAnsi="Times New Roman" w:cs="Times New Roman" w:eastAsiaTheme="minorEastAsia"/>
          <w:b w:val="0"/>
          <w:bCs w:val="0"/>
          <w:kern w:val="0"/>
          <w:sz w:val="24"/>
          <w:szCs w:val="24"/>
          <w:highlight w:val="none"/>
          <w:lang w:val="en-US" w:eastAsia="zh-CN" w:bidi="ar"/>
        </w:rPr>
        <w:t xml:space="preserve"> Mediation analysis of the association between LDL-C levels and left atrial low-voltage areas through left atrial diameter in the sinus-rhythm mapping subgroup.</w:t>
      </w:r>
    </w:p>
    <w:p w14:paraId="08548878">
      <w:pPr>
        <w:keepNext w:val="0"/>
        <w:keepLines w:val="0"/>
        <w:widowControl/>
        <w:suppressLineNumbers w:val="0"/>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drawing>
          <wp:inline distT="0" distB="0" distL="114300" distR="114300">
            <wp:extent cx="5269865" cy="4036060"/>
            <wp:effectExtent l="0" t="0" r="635" b="2540"/>
            <wp:docPr id="18" name="图片 18" descr="mediation_path_LAD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mediation_path_LAD_01"/>
                    <pic:cNvPicPr>
                      <a:picLocks noChangeAspect="1"/>
                    </pic:cNvPicPr>
                  </pic:nvPicPr>
                  <pic:blipFill>
                    <a:blip r:embed="rId9"/>
                    <a:stretch>
                      <a:fillRect/>
                    </a:stretch>
                  </pic:blipFill>
                  <pic:spPr>
                    <a:xfrm>
                      <a:off x="0" y="0"/>
                      <a:ext cx="5269865" cy="4036060"/>
                    </a:xfrm>
                    <a:prstGeom prst="rect">
                      <a:avLst/>
                    </a:prstGeom>
                  </pic:spPr>
                </pic:pic>
              </a:graphicData>
            </a:graphic>
          </wp:inline>
        </w:drawing>
      </w:r>
    </w:p>
    <w:p w14:paraId="0A719AFC">
      <w:pPr>
        <w:keepNext w:val="0"/>
        <w:keepLines w:val="0"/>
        <w:widowControl/>
        <w:suppressLineNumbers w:val="0"/>
        <w:jc w:val="left"/>
        <w:rPr>
          <w:rFonts w:hint="default" w:ascii="Times New Roman" w:hAnsi="Times New Roman" w:eastAsia="宋体" w:cs="Times New Roman"/>
          <w:kern w:val="2"/>
          <w:sz w:val="24"/>
          <w:szCs w:val="24"/>
          <w:highlight w:val="none"/>
          <w:lang w:val="en-US" w:eastAsia="zh-CN" w:bidi="ar"/>
        </w:rPr>
      </w:pPr>
    </w:p>
    <w:p w14:paraId="154881E3">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eastAsia="zh-CN" w:bidi="ar"/>
        </w:rPr>
      </w:pPr>
      <w:r>
        <w:rPr>
          <w:rFonts w:hint="default" w:ascii="Times New Roman" w:hAnsi="Times New Roman" w:eastAsia="宋体" w:cs="Times New Roman"/>
          <w:kern w:val="2"/>
          <w:sz w:val="24"/>
          <w:szCs w:val="24"/>
          <w:highlight w:val="none"/>
          <w:lang w:val="en-US" w:eastAsia="zh-CN" w:bidi="ar"/>
        </w:rPr>
        <w:t xml:space="preserve">In patients who underwent substrate mapping during sinus rhythm, mediation analysis was performed to explore whether left atrial diameter may partly account for the association between LDL-C levels and the presence of left atrial low-voltage areas. Lower LDL-C levels were associated with a greater LAD (path a = −0.805), and a greater LAD was associated with a greater likelihood of LVAs (path b = 0.090). The indirect effect through LAD remained significant (ACME = −0.016, </w:t>
      </w:r>
      <w:r>
        <w:rPr>
          <w:rFonts w:hint="default" w:ascii="Times New Roman" w:hAnsi="Times New Roman" w:eastAsia="宋体" w:cs="Times New Roman"/>
          <w:i/>
          <w:iCs/>
          <w:kern w:val="2"/>
          <w:sz w:val="24"/>
          <w:szCs w:val="24"/>
          <w:highlight w:val="none"/>
          <w:lang w:val="en-US" w:eastAsia="zh-CN" w:bidi="ar"/>
        </w:rPr>
        <w:t>P</w:t>
      </w:r>
      <w:r>
        <w:rPr>
          <w:rFonts w:hint="default" w:ascii="Times New Roman" w:hAnsi="Times New Roman" w:eastAsia="宋体" w:cs="Times New Roman"/>
          <w:kern w:val="2"/>
          <w:sz w:val="24"/>
          <w:szCs w:val="24"/>
          <w:highlight w:val="none"/>
          <w:lang w:val="en-US" w:eastAsia="zh-CN" w:bidi="ar"/>
        </w:rPr>
        <w:t xml:space="preserve"> = 0.034), accounting for approximately 18% of the total effect, whereas the direct effect was attenuated and no longer statistically significant (ADE = −0.067, </w:t>
      </w:r>
      <w:r>
        <w:rPr>
          <w:rFonts w:hint="default" w:ascii="Times New Roman" w:hAnsi="Times New Roman" w:eastAsia="宋体" w:cs="Times New Roman"/>
          <w:i/>
          <w:iCs/>
          <w:kern w:val="2"/>
          <w:sz w:val="24"/>
          <w:szCs w:val="24"/>
          <w:highlight w:val="none"/>
          <w:lang w:val="en-US" w:eastAsia="zh-CN" w:bidi="ar"/>
        </w:rPr>
        <w:t>P</w:t>
      </w:r>
      <w:r>
        <w:rPr>
          <w:rFonts w:hint="default" w:ascii="Times New Roman" w:hAnsi="Times New Roman" w:eastAsia="宋体" w:cs="Times New Roman"/>
          <w:kern w:val="2"/>
          <w:sz w:val="24"/>
          <w:szCs w:val="24"/>
          <w:highlight w:val="none"/>
          <w:lang w:val="en-US" w:eastAsia="zh-CN" w:bidi="ar"/>
        </w:rPr>
        <w:t xml:space="preserve"> = 0.066). The total effect remained significant (total effect = −0.083, </w:t>
      </w:r>
      <w:r>
        <w:rPr>
          <w:rFonts w:hint="default" w:ascii="Times New Roman" w:hAnsi="Times New Roman" w:eastAsia="宋体" w:cs="Times New Roman"/>
          <w:i/>
          <w:iCs/>
          <w:kern w:val="2"/>
          <w:sz w:val="24"/>
          <w:szCs w:val="24"/>
          <w:highlight w:val="none"/>
          <w:lang w:val="en-US" w:eastAsia="zh-CN" w:bidi="ar"/>
        </w:rPr>
        <w:t>P</w:t>
      </w:r>
      <w:r>
        <w:rPr>
          <w:rFonts w:hint="default" w:ascii="Times New Roman" w:hAnsi="Times New Roman" w:eastAsia="宋体" w:cs="Times New Roman"/>
          <w:kern w:val="2"/>
          <w:sz w:val="24"/>
          <w:szCs w:val="24"/>
          <w:highlight w:val="none"/>
          <w:lang w:val="en-US" w:eastAsia="zh-CN" w:bidi="ar"/>
        </w:rPr>
        <w:t xml:space="preserve"> = 0.030). Significance estimates were obtained using 1,000 </w:t>
      </w:r>
      <w:r>
        <w:rPr>
          <w:rFonts w:hint="default" w:ascii="Times New Roman" w:hAnsi="Times New Roman" w:eastAsia="宋体" w:cs="Times New Roman"/>
          <w:kern w:val="2"/>
          <w:sz w:val="24"/>
          <w:szCs w:val="24"/>
          <w:highlight w:val="none"/>
          <w:lang w:eastAsia="zh-CN" w:bidi="ar"/>
        </w:rPr>
        <w:t>bootstrap iterations.</w:t>
      </w:r>
    </w:p>
    <w:p w14:paraId="3ADA3233">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b/>
          <w:bCs/>
          <w:kern w:val="2"/>
          <w:sz w:val="24"/>
          <w:szCs w:val="24"/>
          <w:highlight w:val="none"/>
          <w:lang w:val="en-US" w:eastAsia="zh-CN" w:bidi="ar"/>
        </w:rPr>
        <w:t>Abbreviations:</w:t>
      </w:r>
      <w:r>
        <w:rPr>
          <w:rFonts w:hint="default" w:ascii="Times New Roman" w:hAnsi="Times New Roman" w:eastAsia="宋体" w:cs="Times New Roman"/>
          <w:kern w:val="2"/>
          <w:sz w:val="24"/>
          <w:szCs w:val="24"/>
          <w:highlight w:val="none"/>
          <w:lang w:val="en-US" w:eastAsia="zh-CN" w:bidi="ar"/>
        </w:rPr>
        <w:t xml:space="preserve"> LDL-C, low-density lipoprotein cholesterol; LAD, left atrial diameter; LVAs, left atrial low-voltage areas; ACME, average causal mediation effect; ADE, average direct effect.</w:t>
      </w:r>
    </w:p>
    <w:p w14:paraId="332F8253">
      <w:pPr>
        <w:spacing w:line="480" w:lineRule="auto"/>
        <w:rPr>
          <w:rFonts w:hint="default" w:ascii="Times New Roman" w:hAnsi="Times New Roman" w:cs="Times New Roman" w:eastAsiaTheme="minorEastAsia"/>
          <w:b w:val="0"/>
          <w:bCs w:val="0"/>
          <w:kern w:val="0"/>
          <w:sz w:val="24"/>
          <w:szCs w:val="24"/>
          <w:highlight w:val="none"/>
          <w:lang w:val="en-US" w:eastAsia="zh-CN" w:bidi="ar"/>
        </w:rPr>
      </w:pPr>
      <w:r>
        <w:rPr>
          <w:rFonts w:hint="default" w:ascii="Times New Roman" w:hAnsi="Times New Roman" w:cs="Times New Roman" w:eastAsiaTheme="minorEastAsia"/>
          <w:b/>
          <w:bCs/>
          <w:kern w:val="0"/>
          <w:sz w:val="24"/>
          <w:szCs w:val="24"/>
          <w:highlight w:val="none"/>
          <w:lang w:val="en-US" w:eastAsia="zh-CN" w:bidi="ar"/>
        </w:rPr>
        <w:t>Supplementary Figure S6.</w:t>
      </w:r>
      <w:r>
        <w:rPr>
          <w:rFonts w:hint="default" w:ascii="Times New Roman" w:hAnsi="Times New Roman" w:cs="Times New Roman" w:eastAsiaTheme="minorEastAsia"/>
          <w:b w:val="0"/>
          <w:bCs w:val="0"/>
          <w:kern w:val="0"/>
          <w:sz w:val="24"/>
          <w:szCs w:val="24"/>
          <w:highlight w:val="none"/>
          <w:lang w:val="en-US" w:eastAsia="zh-CN" w:bidi="ar"/>
        </w:rPr>
        <w:t xml:space="preserve"> Restricted cubic spline analysis of the association between LDL-C levels and the presence of left atrial low-voltage areas in the sinus-rhythm mapping subgroup.</w:t>
      </w:r>
    </w:p>
    <w:p w14:paraId="03F287CE">
      <w:pPr>
        <w:spacing w:line="480" w:lineRule="auto"/>
        <w:rPr>
          <w:rFonts w:hint="default" w:ascii="Times New Roman" w:hAnsi="Times New Roman" w:cs="Times New Roman" w:eastAsiaTheme="minorEastAsia"/>
          <w:b w:val="0"/>
          <w:bCs w:val="0"/>
          <w:kern w:val="0"/>
          <w:sz w:val="24"/>
          <w:szCs w:val="24"/>
          <w:highlight w:val="none"/>
          <w:lang w:val="en-US" w:eastAsia="zh-CN" w:bidi="ar"/>
        </w:rPr>
      </w:pPr>
      <w:r>
        <w:rPr>
          <w:rFonts w:hint="default" w:ascii="Times New Roman" w:hAnsi="Times New Roman" w:cs="Times New Roman" w:eastAsiaTheme="minorEastAsia"/>
          <w:b w:val="0"/>
          <w:bCs w:val="0"/>
          <w:kern w:val="0"/>
          <w:sz w:val="24"/>
          <w:szCs w:val="24"/>
          <w:highlight w:val="none"/>
          <w:lang w:val="en-US" w:eastAsia="zh-CN" w:bidi="ar"/>
        </w:rPr>
        <w:drawing>
          <wp:inline distT="0" distB="0" distL="114300" distR="114300">
            <wp:extent cx="5268595" cy="4344670"/>
            <wp:effectExtent l="0" t="0" r="1905" b="11430"/>
            <wp:docPr id="13" name="图片 13" descr="补充图6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补充图6_01"/>
                    <pic:cNvPicPr>
                      <a:picLocks noChangeAspect="1"/>
                    </pic:cNvPicPr>
                  </pic:nvPicPr>
                  <pic:blipFill>
                    <a:blip r:embed="rId10"/>
                    <a:stretch>
                      <a:fillRect/>
                    </a:stretch>
                  </pic:blipFill>
                  <pic:spPr>
                    <a:xfrm>
                      <a:off x="0" y="0"/>
                      <a:ext cx="5268595" cy="4344670"/>
                    </a:xfrm>
                    <a:prstGeom prst="rect">
                      <a:avLst/>
                    </a:prstGeom>
                  </pic:spPr>
                </pic:pic>
              </a:graphicData>
            </a:graphic>
          </wp:inline>
        </w:drawing>
      </w:r>
    </w:p>
    <w:p w14:paraId="66D24FF3">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kern w:val="2"/>
          <w:sz w:val="24"/>
          <w:szCs w:val="24"/>
          <w:highlight w:val="none"/>
          <w:lang w:val="en-US" w:eastAsia="zh-CN" w:bidi="ar"/>
        </w:rPr>
        <w:t>Restricted cubic spline analysis based on logistic regression was used to examine the association between LDL-C levels and the presence of left atrial low-voltage areas in patients who underwent substrate mapping during sinus rhythm, with the median LDL-C level (2.36 mmol/L) as the reference. The model was adjusted for age and sex. Odds ratios are presented relative to the median LDL-C value. No significant evidence of nonlinearity was observed (</w:t>
      </w:r>
      <w:r>
        <w:rPr>
          <w:rFonts w:hint="default" w:ascii="Times New Roman" w:hAnsi="Times New Roman" w:eastAsia="宋体" w:cs="Times New Roman"/>
          <w:i/>
          <w:iCs/>
          <w:kern w:val="2"/>
          <w:sz w:val="24"/>
          <w:szCs w:val="24"/>
          <w:highlight w:val="none"/>
          <w:lang w:val="en-US" w:eastAsia="zh-CN" w:bidi="ar"/>
        </w:rPr>
        <w:t>P</w:t>
      </w:r>
      <w:r>
        <w:rPr>
          <w:rFonts w:hint="default" w:ascii="Times New Roman" w:hAnsi="Times New Roman" w:eastAsia="宋体" w:cs="Times New Roman"/>
          <w:kern w:val="2"/>
          <w:sz w:val="24"/>
          <w:szCs w:val="24"/>
          <w:highlight w:val="none"/>
          <w:lang w:val="en-US" w:eastAsia="zh-CN" w:bidi="ar"/>
        </w:rPr>
        <w:t xml:space="preserve"> for non-linearity = 0.144), and the overall curve pattern was broadly similar to that observed in the overall cohort.</w:t>
      </w:r>
    </w:p>
    <w:p w14:paraId="3DC70D4B">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b/>
          <w:bCs/>
          <w:kern w:val="2"/>
          <w:sz w:val="24"/>
          <w:szCs w:val="24"/>
          <w:highlight w:val="none"/>
          <w:lang w:val="en-US" w:eastAsia="zh-CN" w:bidi="ar"/>
        </w:rPr>
        <w:t>Abbreviations:</w:t>
      </w:r>
      <w:r>
        <w:rPr>
          <w:rFonts w:hint="default" w:ascii="Times New Roman" w:hAnsi="Times New Roman" w:eastAsia="宋体" w:cs="Times New Roman"/>
          <w:kern w:val="2"/>
          <w:sz w:val="24"/>
          <w:szCs w:val="24"/>
          <w:highlight w:val="none"/>
          <w:lang w:val="en-US" w:eastAsia="zh-CN" w:bidi="ar"/>
        </w:rPr>
        <w:t xml:space="preserve"> LDL-C, low-density lipoprotein cholesterol; LVAs, left atrial low-voltage areas.</w:t>
      </w:r>
    </w:p>
    <w:p w14:paraId="2B1DED2A">
      <w:pPr>
        <w:spacing w:line="480" w:lineRule="auto"/>
        <w:rPr>
          <w:rFonts w:hint="default" w:ascii="Times New Roman" w:hAnsi="Times New Roman" w:cs="Times New Roman" w:eastAsiaTheme="minorEastAsia"/>
          <w:b w:val="0"/>
          <w:bCs w:val="0"/>
          <w:kern w:val="0"/>
          <w:sz w:val="24"/>
          <w:szCs w:val="24"/>
          <w:highlight w:val="none"/>
          <w:lang w:val="en-US" w:eastAsia="zh-CN" w:bidi="ar"/>
        </w:rPr>
      </w:pPr>
      <w:r>
        <w:rPr>
          <w:rFonts w:hint="default" w:ascii="Times New Roman" w:hAnsi="Times New Roman" w:cs="Times New Roman" w:eastAsiaTheme="minorEastAsia"/>
          <w:b/>
          <w:bCs/>
          <w:kern w:val="0"/>
          <w:sz w:val="24"/>
          <w:szCs w:val="24"/>
          <w:highlight w:val="none"/>
          <w:lang w:val="en-US" w:eastAsia="zh-CN" w:bidi="ar"/>
        </w:rPr>
        <w:t>Supplementary Figure S7.</w:t>
      </w:r>
      <w:r>
        <w:rPr>
          <w:rFonts w:hint="default" w:ascii="Times New Roman" w:hAnsi="Times New Roman" w:cs="Times New Roman" w:eastAsiaTheme="minorEastAsia"/>
          <w:b w:val="0"/>
          <w:bCs w:val="0"/>
          <w:kern w:val="0"/>
          <w:sz w:val="24"/>
          <w:szCs w:val="24"/>
          <w:highlight w:val="none"/>
          <w:lang w:val="en-US" w:eastAsia="zh-CN" w:bidi="ar"/>
        </w:rPr>
        <w:t xml:space="preserve"> Kaplan–Meier curves for postablation recurrence according to LDL-C quartiles in the sinus-rhythm mapping subgroup.</w:t>
      </w:r>
    </w:p>
    <w:p w14:paraId="0A75CDF0">
      <w:pPr>
        <w:spacing w:line="480" w:lineRule="auto"/>
        <w:rPr>
          <w:rFonts w:hint="default" w:ascii="Times New Roman" w:hAnsi="Times New Roman" w:cs="Times New Roman"/>
          <w:b/>
          <w:bCs/>
          <w:kern w:val="0"/>
          <w:sz w:val="24"/>
          <w:szCs w:val="24"/>
          <w:highlight w:val="none"/>
          <w:lang w:val="en-US" w:eastAsia="zh-CN" w:bidi="ar"/>
        </w:rPr>
      </w:pPr>
      <w:r>
        <w:rPr>
          <w:rFonts w:hint="default" w:ascii="Times New Roman" w:hAnsi="Times New Roman" w:cs="Times New Roman"/>
          <w:b/>
          <w:bCs/>
          <w:kern w:val="0"/>
          <w:sz w:val="24"/>
          <w:szCs w:val="24"/>
          <w:highlight w:val="none"/>
          <w:lang w:val="en-US" w:eastAsia="zh-CN" w:bidi="ar"/>
        </w:rPr>
        <w:drawing>
          <wp:inline distT="0" distB="0" distL="114300" distR="114300">
            <wp:extent cx="5267960" cy="4186555"/>
            <wp:effectExtent l="0" t="0" r="2540" b="4445"/>
            <wp:docPr id="21" name="图片 21" descr="Supplementary_Figure_S7_KM_LDLCquartile_fixedcut_SRsubgroup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Supplementary_Figure_S7_KM_LDLCquartile_fixedcut_SRsubgroup_01"/>
                    <pic:cNvPicPr>
                      <a:picLocks noChangeAspect="1"/>
                    </pic:cNvPicPr>
                  </pic:nvPicPr>
                  <pic:blipFill>
                    <a:blip r:embed="rId11"/>
                    <a:stretch>
                      <a:fillRect/>
                    </a:stretch>
                  </pic:blipFill>
                  <pic:spPr>
                    <a:xfrm>
                      <a:off x="0" y="0"/>
                      <a:ext cx="5267960" cy="4186555"/>
                    </a:xfrm>
                    <a:prstGeom prst="rect">
                      <a:avLst/>
                    </a:prstGeom>
                  </pic:spPr>
                </pic:pic>
              </a:graphicData>
            </a:graphic>
          </wp:inline>
        </w:drawing>
      </w:r>
    </w:p>
    <w:p w14:paraId="1DB167F1">
      <w:pPr>
        <w:keepNext w:val="0"/>
        <w:keepLines w:val="0"/>
        <w:widowControl/>
        <w:suppressLineNumbers w:val="0"/>
        <w:spacing w:line="480" w:lineRule="auto"/>
        <w:jc w:val="left"/>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 xml:space="preserve">Kaplan–Meier analysis in the sinus-rhythm mapping subgroup showed no statistically significant difference in recurrence-free survival across LDL-C quartiles (log-rank </w:t>
      </w:r>
      <w:r>
        <w:rPr>
          <w:rFonts w:hint="default" w:ascii="Times New Roman" w:hAnsi="Times New Roman" w:eastAsia="宋体" w:cs="Times New Roman"/>
          <w:i/>
          <w:iCs/>
          <w:sz w:val="24"/>
          <w:szCs w:val="24"/>
          <w:highlight w:val="none"/>
          <w:lang w:bidi="ar"/>
        </w:rPr>
        <w:t xml:space="preserve">P </w:t>
      </w:r>
      <w:r>
        <w:rPr>
          <w:rFonts w:hint="default" w:ascii="Times New Roman" w:hAnsi="Times New Roman" w:eastAsia="宋体" w:cs="Times New Roman"/>
          <w:sz w:val="24"/>
          <w:szCs w:val="24"/>
          <w:highlight w:val="none"/>
          <w:lang w:bidi="ar"/>
        </w:rPr>
        <w:t>= 0.098), although a broadly similar qualitative separation of the quartile curves was observed. These quartile-based findings were exploratory and descriptive.</w:t>
      </w:r>
    </w:p>
    <w:p w14:paraId="575534E5">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b/>
          <w:bCs/>
          <w:kern w:val="2"/>
          <w:sz w:val="24"/>
          <w:szCs w:val="24"/>
          <w:highlight w:val="none"/>
          <w:lang w:val="en-US" w:eastAsia="zh-CN" w:bidi="ar"/>
        </w:rPr>
        <w:t>Abbreviations:</w:t>
      </w:r>
      <w:r>
        <w:rPr>
          <w:rFonts w:hint="default" w:ascii="Times New Roman" w:hAnsi="Times New Roman" w:eastAsia="宋体" w:cs="Times New Roman"/>
          <w:kern w:val="2"/>
          <w:sz w:val="24"/>
          <w:szCs w:val="24"/>
          <w:highlight w:val="none"/>
          <w:lang w:val="en-US" w:eastAsia="zh-CN" w:bidi="ar"/>
        </w:rPr>
        <w:t xml:space="preserve"> LDL-C, low-density lipoprotein cholesterol; Q, quartile.</w:t>
      </w:r>
    </w:p>
    <w:p w14:paraId="242507B8">
      <w:pPr>
        <w:keepNext w:val="0"/>
        <w:keepLines w:val="0"/>
        <w:widowControl/>
        <w:suppressLineNumbers w:val="0"/>
        <w:spacing w:line="480" w:lineRule="auto"/>
        <w:jc w:val="left"/>
        <w:rPr>
          <w:rFonts w:hint="default" w:ascii="Times New Roman" w:hAnsi="Times New Roman" w:cs="Times New Roman" w:eastAsiaTheme="minorEastAsia"/>
          <w:kern w:val="0"/>
          <w:sz w:val="24"/>
          <w:szCs w:val="24"/>
          <w:highlight w:val="none"/>
          <w:lang w:val="en-US" w:eastAsia="zh-CN" w:bidi="ar"/>
        </w:rPr>
      </w:pPr>
      <w:r>
        <w:rPr>
          <w:rFonts w:hint="default" w:ascii="Times New Roman" w:hAnsi="Times New Roman" w:eastAsia="宋体" w:cs="Times New Roman"/>
          <w:b/>
          <w:bCs/>
          <w:sz w:val="24"/>
          <w:szCs w:val="24"/>
          <w:highlight w:val="none"/>
        </w:rPr>
        <w:t>Supplementary Figure S8.</w:t>
      </w:r>
      <w:r>
        <w:rPr>
          <w:rFonts w:hint="default" w:ascii="Times New Roman" w:hAnsi="Times New Roman" w:eastAsia="宋体" w:cs="Times New Roman"/>
          <w:sz w:val="24"/>
          <w:szCs w:val="24"/>
          <w:highlight w:val="none"/>
        </w:rPr>
        <w:t xml:space="preserve"> </w:t>
      </w:r>
      <w:r>
        <w:rPr>
          <w:rFonts w:hint="default" w:ascii="Times New Roman" w:hAnsi="Times New Roman" w:cs="Times New Roman" w:eastAsiaTheme="minorEastAsia"/>
          <w:kern w:val="0"/>
          <w:sz w:val="24"/>
          <w:szCs w:val="24"/>
          <w:highlight w:val="none"/>
          <w:lang w:bidi="ar"/>
        </w:rPr>
        <w:t>Exploratory mediation analysis of the association between LDL-C and left atrial low-voltage areas through LAD after excluding patients with coronary artery disease.</w:t>
      </w:r>
    </w:p>
    <w:p w14:paraId="119A0ED6">
      <w:pPr>
        <w:keepNext w:val="0"/>
        <w:keepLines w:val="0"/>
        <w:widowControl/>
        <w:suppressLineNumbers w:val="0"/>
        <w:spacing w:line="480" w:lineRule="auto"/>
        <w:jc w:val="left"/>
        <w:rPr>
          <w:rFonts w:hint="default" w:ascii="Times New Roman" w:hAnsi="Times New Roman" w:cs="Times New Roman" w:eastAsiaTheme="minorEastAsia"/>
          <w:b/>
          <w:bCs/>
          <w:kern w:val="0"/>
          <w:sz w:val="24"/>
          <w:szCs w:val="24"/>
          <w:highlight w:val="none"/>
          <w:lang w:eastAsia="zh-CN" w:bidi="ar"/>
        </w:rPr>
      </w:pPr>
      <w:r>
        <w:rPr>
          <w:rFonts w:hint="default" w:ascii="Times New Roman" w:hAnsi="Times New Roman" w:cs="Times New Roman" w:eastAsiaTheme="minorEastAsia"/>
          <w:b/>
          <w:bCs/>
          <w:kern w:val="0"/>
          <w:sz w:val="24"/>
          <w:szCs w:val="24"/>
          <w:highlight w:val="none"/>
          <w:lang w:eastAsia="zh-CN" w:bidi="ar"/>
        </w:rPr>
        <w:drawing>
          <wp:inline distT="0" distB="0" distL="114300" distR="114300">
            <wp:extent cx="5272405" cy="3649980"/>
            <wp:effectExtent l="0" t="0" r="10795" b="7620"/>
            <wp:docPr id="20" name="图片 20" descr="mediation_path_LAD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mediation_path_LAD_01"/>
                    <pic:cNvPicPr>
                      <a:picLocks noChangeAspect="1"/>
                    </pic:cNvPicPr>
                  </pic:nvPicPr>
                  <pic:blipFill>
                    <a:blip r:embed="rId12"/>
                    <a:stretch>
                      <a:fillRect/>
                    </a:stretch>
                  </pic:blipFill>
                  <pic:spPr>
                    <a:xfrm>
                      <a:off x="0" y="0"/>
                      <a:ext cx="5272405" cy="3649980"/>
                    </a:xfrm>
                    <a:prstGeom prst="rect">
                      <a:avLst/>
                    </a:prstGeom>
                  </pic:spPr>
                </pic:pic>
              </a:graphicData>
            </a:graphic>
          </wp:inline>
        </w:drawing>
      </w:r>
    </w:p>
    <w:p w14:paraId="3DF01E0D">
      <w:pPr>
        <w:keepNext w:val="0"/>
        <w:keepLines w:val="0"/>
        <w:widowControl/>
        <w:suppressLineNumbers w:val="0"/>
        <w:spacing w:line="480" w:lineRule="auto"/>
        <w:jc w:val="left"/>
        <w:rPr>
          <w:rFonts w:hint="default" w:ascii="Times New Roman" w:hAnsi="Times New Roman" w:eastAsia="宋体" w:cs="Times New Roman"/>
          <w:b w:val="0"/>
          <w:bCs w:val="0"/>
          <w:kern w:val="2"/>
          <w:sz w:val="24"/>
          <w:szCs w:val="24"/>
          <w:highlight w:val="none"/>
          <w:lang w:bidi="ar"/>
        </w:rPr>
      </w:pPr>
      <w:r>
        <w:rPr>
          <w:rFonts w:hint="default" w:ascii="Times New Roman" w:hAnsi="Times New Roman" w:eastAsia="宋体" w:cs="Times New Roman"/>
          <w:sz w:val="24"/>
          <w:szCs w:val="24"/>
          <w:highlight w:val="none"/>
          <w:lang w:bidi="ar"/>
        </w:rPr>
        <w:t>This figure shows the exploratory mediation analysis evaluating whether LAD partially mediated the association between LDL-C and the presence of left atrial low-voltage areas (LVAs) in the cohort excluding patients with coronary artery disease. The path coefficient from LDL-C to LAD was a = −0.800, the path coefficient from LAD to LVAs was b = 0.079, and the direct effect of LDL-C on LVAs was c′ = −0.399. The average causal mediation effect (ACME) was −0.013 (</w:t>
      </w:r>
      <w:r>
        <w:rPr>
          <w:rFonts w:hint="default" w:ascii="Times New Roman" w:hAnsi="Times New Roman" w:eastAsia="宋体" w:cs="Times New Roman"/>
          <w:i/>
          <w:iCs/>
          <w:sz w:val="24"/>
          <w:szCs w:val="24"/>
          <w:highlight w:val="none"/>
          <w:lang w:bidi="ar"/>
        </w:rPr>
        <w:t>P</w:t>
      </w:r>
      <w:r>
        <w:rPr>
          <w:rFonts w:hint="default" w:ascii="Times New Roman" w:hAnsi="Times New Roman" w:eastAsia="宋体" w:cs="Times New Roman"/>
          <w:sz w:val="24"/>
          <w:szCs w:val="24"/>
          <w:highlight w:val="none"/>
          <w:lang w:bidi="ar"/>
        </w:rPr>
        <w:t xml:space="preserve"> = 0.032), the average direct effect (ADE) was −0.085 (</w:t>
      </w:r>
      <w:r>
        <w:rPr>
          <w:rFonts w:hint="default" w:ascii="Times New Roman" w:hAnsi="Times New Roman" w:eastAsia="宋体" w:cs="Times New Roman"/>
          <w:i/>
          <w:iCs/>
          <w:sz w:val="24"/>
          <w:szCs w:val="24"/>
          <w:highlight w:val="none"/>
          <w:lang w:bidi="ar"/>
        </w:rPr>
        <w:t>P</w:t>
      </w:r>
      <w:r>
        <w:rPr>
          <w:rFonts w:hint="default" w:ascii="Times New Roman" w:hAnsi="Times New Roman" w:eastAsia="宋体" w:cs="Times New Roman"/>
          <w:sz w:val="24"/>
          <w:szCs w:val="24"/>
          <w:highlight w:val="none"/>
          <w:lang w:bidi="ar"/>
        </w:rPr>
        <w:t xml:space="preserve"> = 0.024), and the total effect was −0.098 (</w:t>
      </w:r>
      <w:r>
        <w:rPr>
          <w:rFonts w:hint="default" w:ascii="Times New Roman" w:hAnsi="Times New Roman" w:eastAsia="宋体" w:cs="Times New Roman"/>
          <w:i/>
          <w:iCs/>
          <w:sz w:val="24"/>
          <w:szCs w:val="24"/>
          <w:highlight w:val="none"/>
          <w:lang w:bidi="ar"/>
        </w:rPr>
        <w:t xml:space="preserve">P </w:t>
      </w:r>
      <w:r>
        <w:rPr>
          <w:rFonts w:hint="default" w:ascii="Times New Roman" w:hAnsi="Times New Roman" w:eastAsia="宋体" w:cs="Times New Roman"/>
          <w:sz w:val="24"/>
          <w:szCs w:val="24"/>
          <w:highlight w:val="none"/>
          <w:lang w:bidi="ar"/>
        </w:rPr>
        <w:t xml:space="preserve">= 0.014). </w:t>
      </w:r>
    </w:p>
    <w:p w14:paraId="10463149">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b/>
          <w:bCs/>
          <w:kern w:val="2"/>
          <w:sz w:val="24"/>
          <w:szCs w:val="24"/>
          <w:highlight w:val="none"/>
          <w:lang w:val="en-US" w:eastAsia="zh-CN" w:bidi="ar"/>
        </w:rPr>
        <w:t>Abbreviations:</w:t>
      </w:r>
      <w:r>
        <w:rPr>
          <w:rFonts w:hint="default" w:ascii="Times New Roman" w:hAnsi="Times New Roman" w:eastAsia="宋体" w:cs="Times New Roman"/>
          <w:kern w:val="2"/>
          <w:sz w:val="24"/>
          <w:szCs w:val="24"/>
          <w:highlight w:val="none"/>
          <w:lang w:val="en-US" w:eastAsia="zh-CN" w:bidi="ar"/>
        </w:rPr>
        <w:t xml:space="preserve"> LDL-C, low-density lipoprotein cholesterol; LAD, left atrial diameter; LVAs, left atrial low-voltage areas; ACME, average causal mediation effect; ADE, average direct effect.</w:t>
      </w:r>
    </w:p>
    <w:p w14:paraId="1600D0B3">
      <w:pPr>
        <w:keepNext w:val="0"/>
        <w:keepLines w:val="0"/>
        <w:widowControl/>
        <w:suppressLineNumbers w:val="0"/>
        <w:spacing w:line="480" w:lineRule="auto"/>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Supplementary Figure S9.</w:t>
      </w:r>
      <w:r>
        <w:rPr>
          <w:rFonts w:hint="default" w:ascii="Times New Roman" w:hAnsi="Times New Roman" w:eastAsia="宋体" w:cs="Times New Roman"/>
          <w:sz w:val="24"/>
          <w:szCs w:val="24"/>
          <w:highlight w:val="none"/>
        </w:rPr>
        <w:t xml:space="preserve"> Kaplan–Meier analysis of recurrence-free survival across LDL-C quartiles after excluding patients with coronary artery disease.</w:t>
      </w:r>
    </w:p>
    <w:p w14:paraId="52CE4D93">
      <w:pPr>
        <w:keepNext w:val="0"/>
        <w:keepLines w:val="0"/>
        <w:widowControl/>
        <w:suppressLineNumbers w:val="0"/>
        <w:spacing w:line="480" w:lineRule="auto"/>
        <w:jc w:val="left"/>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eastAsia="zh-CN"/>
        </w:rPr>
        <w:drawing>
          <wp:inline distT="0" distB="0" distL="114300" distR="114300">
            <wp:extent cx="5260340" cy="4260850"/>
            <wp:effectExtent l="0" t="0" r="10160" b="6350"/>
            <wp:docPr id="19" name="图片 19" descr="KM_LDLC_FixedGroup_Recurrence_months_OkabeIto_solidline_RangeLegend_ShortRiskTable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KM_LDLC_FixedGroup_Recurrence_months_OkabeIto_solidline_RangeLegend_ShortRiskTable_01"/>
                    <pic:cNvPicPr>
                      <a:picLocks noChangeAspect="1"/>
                    </pic:cNvPicPr>
                  </pic:nvPicPr>
                  <pic:blipFill>
                    <a:blip r:embed="rId13"/>
                    <a:stretch>
                      <a:fillRect/>
                    </a:stretch>
                  </pic:blipFill>
                  <pic:spPr>
                    <a:xfrm>
                      <a:off x="0" y="0"/>
                      <a:ext cx="5260340" cy="4260850"/>
                    </a:xfrm>
                    <a:prstGeom prst="rect">
                      <a:avLst/>
                    </a:prstGeom>
                  </pic:spPr>
                </pic:pic>
              </a:graphicData>
            </a:graphic>
          </wp:inline>
        </w:drawing>
      </w:r>
    </w:p>
    <w:p w14:paraId="2712AE35">
      <w:pPr>
        <w:keepNext w:val="0"/>
        <w:keepLines w:val="0"/>
        <w:widowControl/>
        <w:suppressLineNumbers w:val="0"/>
        <w:spacing w:line="480" w:lineRule="auto"/>
        <w:jc w:val="left"/>
        <w:rPr>
          <w:rFonts w:hint="default" w:ascii="Times New Roman" w:hAnsi="Times New Roman" w:eastAsia="宋体" w:cs="Times New Roman"/>
          <w:b w:val="0"/>
          <w:bCs w:val="0"/>
          <w:kern w:val="2"/>
          <w:sz w:val="24"/>
          <w:szCs w:val="24"/>
          <w:highlight w:val="none"/>
          <w:lang w:val="en-US" w:eastAsia="zh-CN" w:bidi="ar"/>
        </w:rPr>
      </w:pPr>
      <w:r>
        <w:rPr>
          <w:rFonts w:hint="default" w:ascii="Times New Roman" w:hAnsi="Times New Roman" w:eastAsia="宋体" w:cs="Times New Roman"/>
          <w:b w:val="0"/>
          <w:bCs w:val="0"/>
          <w:kern w:val="2"/>
          <w:sz w:val="24"/>
          <w:szCs w:val="24"/>
          <w:highlight w:val="none"/>
          <w:lang w:val="en-US" w:eastAsia="zh-CN" w:bidi="ar"/>
        </w:rPr>
        <w:t>Kaplan–Meier curves show recurrence-free survival after catheter ablation according to baseline LDL-C quartiles in the cohort excluding patients with coronary artery disease. LDL-C quartiles were defined using the same cutoff values as in the main analysis: Q1, 0.55–1.88 mmol/L; Q2, 1.88–2.35 mmol/L; Q3, 2.35–2.90 mmol/L; and Q4, 2.90–4.82 mmol/L. Differences among groups were assessed using the log-rank test (</w:t>
      </w:r>
      <w:r>
        <w:rPr>
          <w:rFonts w:hint="default" w:ascii="Times New Roman" w:hAnsi="Times New Roman" w:eastAsia="宋体" w:cs="Times New Roman"/>
          <w:b w:val="0"/>
          <w:bCs w:val="0"/>
          <w:i/>
          <w:iCs/>
          <w:kern w:val="2"/>
          <w:sz w:val="24"/>
          <w:szCs w:val="24"/>
          <w:highlight w:val="none"/>
          <w:lang w:val="en-US" w:eastAsia="zh-CN" w:bidi="ar"/>
        </w:rPr>
        <w:t xml:space="preserve">P </w:t>
      </w:r>
      <w:r>
        <w:rPr>
          <w:rFonts w:hint="default" w:ascii="Times New Roman" w:hAnsi="Times New Roman" w:eastAsia="宋体" w:cs="Times New Roman"/>
          <w:b w:val="0"/>
          <w:bCs w:val="0"/>
          <w:kern w:val="2"/>
          <w:sz w:val="24"/>
          <w:szCs w:val="24"/>
          <w:highlight w:val="none"/>
          <w:lang w:val="en-US" w:eastAsia="zh-CN" w:bidi="ar"/>
        </w:rPr>
        <w:t>= 0.031). The numbers at risk are shown below the plot. The pattern of curve separation was broadly similar to that observed in the main cohort.</w:t>
      </w:r>
    </w:p>
    <w:p w14:paraId="6BD3E4E5">
      <w:pPr>
        <w:keepNext w:val="0"/>
        <w:keepLines w:val="0"/>
        <w:widowControl/>
        <w:suppressLineNumbers w:val="0"/>
        <w:spacing w:line="480" w:lineRule="auto"/>
        <w:jc w:val="left"/>
        <w:rPr>
          <w:rFonts w:hint="default" w:ascii="Times New Roman" w:hAnsi="Times New Roman" w:eastAsia="宋体" w:cs="Times New Roman"/>
          <w:kern w:val="2"/>
          <w:sz w:val="24"/>
          <w:szCs w:val="24"/>
          <w:highlight w:val="none"/>
          <w:lang w:val="en-US" w:eastAsia="zh-CN" w:bidi="ar"/>
        </w:rPr>
      </w:pPr>
      <w:r>
        <w:rPr>
          <w:rFonts w:hint="default" w:ascii="Times New Roman" w:hAnsi="Times New Roman" w:eastAsia="宋体" w:cs="Times New Roman"/>
          <w:b/>
          <w:bCs/>
          <w:kern w:val="2"/>
          <w:sz w:val="24"/>
          <w:szCs w:val="24"/>
          <w:highlight w:val="none"/>
          <w:lang w:val="en-US" w:eastAsia="zh-CN" w:bidi="ar"/>
        </w:rPr>
        <w:t>Abbreviations:</w:t>
      </w:r>
      <w:r>
        <w:rPr>
          <w:rFonts w:hint="default" w:ascii="Times New Roman" w:hAnsi="Times New Roman" w:eastAsia="宋体" w:cs="Times New Roman"/>
          <w:kern w:val="2"/>
          <w:sz w:val="24"/>
          <w:szCs w:val="24"/>
          <w:highlight w:val="none"/>
          <w:lang w:val="en-US" w:eastAsia="zh-CN" w:bidi="ar"/>
        </w:rPr>
        <w:t xml:space="preserve"> LDL-C, low-density lipoprotein cholesterol; Q, quartile.</w:t>
      </w:r>
    </w:p>
    <w:p w14:paraId="15C3B9C3">
      <w:pPr>
        <w:keepNext w:val="0"/>
        <w:keepLines w:val="0"/>
        <w:widowControl/>
        <w:suppressLineNumbers w:val="0"/>
        <w:spacing w:line="480" w:lineRule="auto"/>
        <w:jc w:val="left"/>
        <w:rPr>
          <w:rFonts w:hint="default" w:ascii="Times New Roman" w:hAnsi="Times New Roman" w:cs="Times New Roman" w:eastAsiaTheme="minorEastAsia"/>
          <w:kern w:val="0"/>
          <w:sz w:val="24"/>
          <w:szCs w:val="24"/>
          <w:highlight w:val="none"/>
          <w:lang w:bidi="ar"/>
        </w:rPr>
      </w:pPr>
      <w:r>
        <w:rPr>
          <w:rFonts w:hint="default" w:ascii="Times New Roman" w:hAnsi="Times New Roman" w:cs="Times New Roman" w:eastAsiaTheme="minorEastAsia"/>
          <w:b/>
          <w:bCs/>
          <w:kern w:val="0"/>
          <w:sz w:val="24"/>
          <w:szCs w:val="24"/>
          <w:highlight w:val="none"/>
          <w:lang w:bidi="ar"/>
        </w:rPr>
        <w:t>Supplementary Figure S</w:t>
      </w:r>
      <w:r>
        <w:rPr>
          <w:rFonts w:hint="default" w:ascii="Times New Roman" w:hAnsi="Times New Roman" w:cs="Times New Roman"/>
          <w:b/>
          <w:bCs/>
          <w:kern w:val="0"/>
          <w:sz w:val="24"/>
          <w:szCs w:val="24"/>
          <w:highlight w:val="none"/>
          <w:lang w:val="en-US" w:eastAsia="zh-CN" w:bidi="ar"/>
        </w:rPr>
        <w:t>10</w:t>
      </w:r>
      <w:r>
        <w:rPr>
          <w:rFonts w:hint="default" w:ascii="Times New Roman" w:hAnsi="Times New Roman" w:cs="Times New Roman" w:eastAsiaTheme="minorEastAsia"/>
          <w:b/>
          <w:bCs/>
          <w:kern w:val="0"/>
          <w:sz w:val="24"/>
          <w:szCs w:val="24"/>
          <w:highlight w:val="none"/>
          <w:lang w:bidi="ar"/>
        </w:rPr>
        <w:t>.</w:t>
      </w:r>
      <w:r>
        <w:rPr>
          <w:rFonts w:hint="default" w:ascii="Times New Roman" w:hAnsi="Times New Roman" w:eastAsia="宋体" w:cs="Times New Roman"/>
          <w:sz w:val="24"/>
          <w:szCs w:val="24"/>
          <w:highlight w:val="none"/>
        </w:rPr>
        <w:t xml:space="preserve"> </w:t>
      </w:r>
      <w:r>
        <w:rPr>
          <w:rFonts w:hint="default" w:ascii="Times New Roman" w:hAnsi="Times New Roman" w:cs="Times New Roman" w:eastAsiaTheme="minorEastAsia"/>
          <w:kern w:val="0"/>
          <w:sz w:val="24"/>
          <w:szCs w:val="24"/>
          <w:highlight w:val="none"/>
          <w:lang w:bidi="ar"/>
        </w:rPr>
        <w:t>Scatter plots of LDL-C and total LVA burden in the sinus-rhythm subgroup with complete quantitative data.</w:t>
      </w:r>
    </w:p>
    <w:p w14:paraId="4AB6F793">
      <w:pPr>
        <w:keepNext w:val="0"/>
        <w:keepLines w:val="0"/>
        <w:widowControl/>
        <w:suppressLineNumbers w:val="0"/>
        <w:spacing w:line="480" w:lineRule="auto"/>
        <w:jc w:val="center"/>
        <w:rPr>
          <w:rFonts w:hint="default" w:ascii="Times New Roman" w:hAnsi="Times New Roman" w:cs="Times New Roman" w:eastAsiaTheme="minorEastAsia"/>
          <w:kern w:val="0"/>
          <w:sz w:val="24"/>
          <w:szCs w:val="24"/>
          <w:highlight w:val="none"/>
          <w:lang w:val="en-US" w:eastAsia="zh-CN" w:bidi="ar"/>
        </w:rPr>
      </w:pPr>
      <w:r>
        <w:rPr>
          <w:rFonts w:hint="default" w:ascii="Times New Roman" w:hAnsi="Times New Roman" w:cs="Times New Roman" w:eastAsiaTheme="minorEastAsia"/>
          <w:kern w:val="0"/>
          <w:sz w:val="24"/>
          <w:szCs w:val="24"/>
          <w:highlight w:val="none"/>
          <w:lang w:val="en-US" w:eastAsia="zh-CN" w:bidi="ar"/>
        </w:rPr>
        <w:drawing>
          <wp:inline distT="0" distB="0" distL="114300" distR="114300">
            <wp:extent cx="3502660" cy="5905500"/>
            <wp:effectExtent l="0" t="0" r="2540" b="0"/>
            <wp:docPr id="22" name="图片 22" descr="S8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S8_01"/>
                    <pic:cNvPicPr>
                      <a:picLocks noChangeAspect="1"/>
                    </pic:cNvPicPr>
                  </pic:nvPicPr>
                  <pic:blipFill>
                    <a:blip r:embed="rId14"/>
                    <a:stretch>
                      <a:fillRect/>
                    </a:stretch>
                  </pic:blipFill>
                  <pic:spPr>
                    <a:xfrm>
                      <a:off x="0" y="0"/>
                      <a:ext cx="3502660" cy="5905500"/>
                    </a:xfrm>
                    <a:prstGeom prst="rect">
                      <a:avLst/>
                    </a:prstGeom>
                  </pic:spPr>
                </pic:pic>
              </a:graphicData>
            </a:graphic>
          </wp:inline>
        </w:drawing>
      </w:r>
    </w:p>
    <w:p w14:paraId="411E9B73">
      <w:pPr>
        <w:keepNext w:val="0"/>
        <w:keepLines w:val="0"/>
        <w:widowControl/>
        <w:suppressLineNumbers w:val="0"/>
        <w:spacing w:line="480" w:lineRule="auto"/>
        <w:jc w:val="left"/>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Solid lines indicate fitted linear regression lines, and shaded areas represent 95% confidence intervals.</w:t>
      </w:r>
      <w:r>
        <w:rPr>
          <w:rFonts w:hint="default" w:ascii="Times New Roman" w:hAnsi="Times New Roman" w:eastAsia="宋体" w:cs="Times New Roman"/>
          <w:sz w:val="24"/>
          <w:szCs w:val="24"/>
          <w:highlight w:val="none"/>
          <w:lang w:val="en-US" w:eastAsia="zh-CN" w:bidi="ar"/>
        </w:rPr>
        <w:t xml:space="preserve"> </w:t>
      </w:r>
      <w:r>
        <w:rPr>
          <w:rFonts w:hint="default" w:ascii="Times New Roman" w:hAnsi="Times New Roman" w:eastAsia="宋体" w:cs="Times New Roman"/>
          <w:b/>
          <w:bCs/>
          <w:sz w:val="24"/>
          <w:szCs w:val="24"/>
          <w:highlight w:val="none"/>
          <w:lang w:bidi="ar"/>
        </w:rPr>
        <w:t>S</w:t>
      </w:r>
      <w:r>
        <w:rPr>
          <w:rFonts w:hint="default" w:ascii="Times New Roman" w:hAnsi="Times New Roman" w:eastAsia="宋体" w:cs="Times New Roman"/>
          <w:b/>
          <w:bCs/>
          <w:sz w:val="24"/>
          <w:szCs w:val="24"/>
          <w:highlight w:val="none"/>
          <w:lang w:val="en-US" w:eastAsia="zh-CN" w:bidi="ar"/>
        </w:rPr>
        <w:t>10</w:t>
      </w:r>
      <w:r>
        <w:rPr>
          <w:rFonts w:hint="default" w:ascii="Times New Roman" w:hAnsi="Times New Roman" w:eastAsia="宋体" w:cs="Times New Roman"/>
          <w:b/>
          <w:bCs/>
          <w:sz w:val="24"/>
          <w:szCs w:val="24"/>
          <w:highlight w:val="none"/>
          <w:lang w:bidi="ar"/>
        </w:rPr>
        <w:t xml:space="preserve">A, </w:t>
      </w:r>
      <w:r>
        <w:rPr>
          <w:rFonts w:hint="default" w:ascii="Times New Roman" w:hAnsi="Times New Roman" w:eastAsia="宋体" w:cs="Times New Roman"/>
          <w:sz w:val="24"/>
          <w:szCs w:val="24"/>
          <w:highlight w:val="none"/>
          <w:lang w:bidi="ar"/>
        </w:rPr>
        <w:t>association between LDL-C and total LVA burden in the sinus-rhythm complete-case subgroup.</w:t>
      </w:r>
      <w:r>
        <w:rPr>
          <w:rFonts w:hint="default" w:ascii="Times New Roman" w:hAnsi="Times New Roman" w:eastAsia="宋体" w:cs="Times New Roman"/>
          <w:sz w:val="24"/>
          <w:szCs w:val="24"/>
          <w:highlight w:val="none"/>
          <w:lang w:val="en-US" w:eastAsia="zh-CN" w:bidi="ar"/>
        </w:rPr>
        <w:t xml:space="preserve"> </w:t>
      </w:r>
      <w:r>
        <w:rPr>
          <w:rFonts w:hint="default" w:ascii="Times New Roman" w:hAnsi="Times New Roman" w:eastAsia="宋体" w:cs="Times New Roman"/>
          <w:b/>
          <w:bCs/>
          <w:sz w:val="24"/>
          <w:szCs w:val="24"/>
          <w:highlight w:val="none"/>
          <w:lang w:bidi="ar"/>
        </w:rPr>
        <w:t>S</w:t>
      </w:r>
      <w:r>
        <w:rPr>
          <w:rFonts w:hint="default" w:ascii="Times New Roman" w:hAnsi="Times New Roman" w:eastAsia="宋体" w:cs="Times New Roman"/>
          <w:b/>
          <w:bCs/>
          <w:sz w:val="24"/>
          <w:szCs w:val="24"/>
          <w:highlight w:val="none"/>
          <w:lang w:val="en-US" w:eastAsia="zh-CN" w:bidi="ar"/>
        </w:rPr>
        <w:t>10</w:t>
      </w:r>
      <w:r>
        <w:rPr>
          <w:rFonts w:hint="default" w:ascii="Times New Roman" w:hAnsi="Times New Roman" w:eastAsia="宋体" w:cs="Times New Roman"/>
          <w:b/>
          <w:bCs/>
          <w:sz w:val="24"/>
          <w:szCs w:val="24"/>
          <w:highlight w:val="none"/>
          <w:lang w:bidi="ar"/>
        </w:rPr>
        <w:t xml:space="preserve">B, </w:t>
      </w:r>
      <w:r>
        <w:rPr>
          <w:rFonts w:hint="default" w:ascii="Times New Roman" w:hAnsi="Times New Roman" w:eastAsia="宋体" w:cs="Times New Roman"/>
          <w:sz w:val="24"/>
          <w:szCs w:val="24"/>
          <w:highlight w:val="none"/>
          <w:lang w:bidi="ar"/>
        </w:rPr>
        <w:t>association between LDL-C and total LVA burden in the sinus-rhythm subgroup with LVAs present only.</w:t>
      </w:r>
    </w:p>
    <w:p w14:paraId="59324ADC">
      <w:pPr>
        <w:keepNext w:val="0"/>
        <w:keepLines w:val="0"/>
        <w:widowControl/>
        <w:suppressLineNumbers w:val="0"/>
        <w:spacing w:line="480" w:lineRule="auto"/>
        <w:jc w:val="left"/>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b/>
          <w:bCs/>
          <w:sz w:val="24"/>
          <w:szCs w:val="24"/>
          <w:highlight w:val="none"/>
          <w:lang w:bidi="ar"/>
        </w:rPr>
        <w:t>Abbreviations:</w:t>
      </w:r>
      <w:r>
        <w:rPr>
          <w:rFonts w:hint="default" w:ascii="Times New Roman" w:hAnsi="Times New Roman" w:eastAsia="宋体" w:cs="Times New Roman"/>
          <w:sz w:val="24"/>
          <w:szCs w:val="24"/>
          <w:highlight w:val="none"/>
          <w:lang w:val="en-US" w:eastAsia="zh-CN" w:bidi="ar"/>
        </w:rPr>
        <w:t xml:space="preserve"> </w:t>
      </w:r>
      <w:r>
        <w:rPr>
          <w:rFonts w:hint="default" w:ascii="Times New Roman" w:hAnsi="Times New Roman" w:eastAsia="宋体" w:cs="Times New Roman"/>
          <w:sz w:val="24"/>
          <w:szCs w:val="24"/>
          <w:highlight w:val="none"/>
          <w:lang w:bidi="ar"/>
        </w:rPr>
        <w:t>LDL-C, low-density lipoprotein cholesterol; LVA, left atrial low-voltage area.</w:t>
      </w:r>
      <w:r>
        <w:rPr>
          <w:rFonts w:hint="default" w:ascii="Times New Roman" w:hAnsi="Times New Roman" w:eastAsia="宋体" w:cs="Times New Roman"/>
          <w:sz w:val="24"/>
          <w:szCs w:val="24"/>
          <w:highlight w:val="none"/>
          <w:lang w:bidi="ar"/>
        </w:rPr>
        <w:br w:type="textWrapping"/>
      </w:r>
    </w:p>
    <w:p w14:paraId="240F9418">
      <w:pPr>
        <w:keepNext w:val="0"/>
        <w:keepLines w:val="0"/>
        <w:widowControl/>
        <w:suppressLineNumbers w:val="0"/>
        <w:spacing w:line="480" w:lineRule="auto"/>
        <w:jc w:val="left"/>
        <w:rPr>
          <w:rFonts w:hint="default" w:ascii="Times New Roman" w:hAnsi="Times New Roman" w:cs="Times New Roman" w:eastAsiaTheme="minorEastAsia"/>
          <w:kern w:val="0"/>
          <w:sz w:val="24"/>
          <w:szCs w:val="24"/>
          <w:highlight w:val="none"/>
          <w:lang w:bidi="ar"/>
        </w:rPr>
      </w:pPr>
      <w:r>
        <w:rPr>
          <w:rFonts w:hint="default" w:ascii="Times New Roman" w:hAnsi="Times New Roman" w:cs="Times New Roman" w:eastAsiaTheme="minorEastAsia"/>
          <w:b/>
          <w:bCs w:val="0"/>
          <w:kern w:val="0"/>
          <w:sz w:val="24"/>
          <w:szCs w:val="24"/>
          <w:highlight w:val="none"/>
          <w:lang w:bidi="ar"/>
        </w:rPr>
        <w:t>Supplementary Figure S</w:t>
      </w:r>
      <w:r>
        <w:rPr>
          <w:rFonts w:hint="default" w:ascii="Times New Roman" w:hAnsi="Times New Roman" w:cs="Times New Roman"/>
          <w:b/>
          <w:bCs w:val="0"/>
          <w:kern w:val="0"/>
          <w:sz w:val="24"/>
          <w:szCs w:val="24"/>
          <w:highlight w:val="none"/>
          <w:lang w:val="en-US" w:eastAsia="zh-CN" w:bidi="ar"/>
        </w:rPr>
        <w:t>11</w:t>
      </w:r>
      <w:r>
        <w:rPr>
          <w:rFonts w:hint="default" w:ascii="Times New Roman" w:hAnsi="Times New Roman" w:cs="Times New Roman" w:eastAsiaTheme="minorEastAsia"/>
          <w:b/>
          <w:bCs w:val="0"/>
          <w:kern w:val="0"/>
          <w:sz w:val="24"/>
          <w:szCs w:val="24"/>
          <w:highlight w:val="none"/>
          <w:lang w:bidi="ar"/>
        </w:rPr>
        <w:t>.</w:t>
      </w:r>
      <w:r>
        <w:rPr>
          <w:rFonts w:hint="default" w:ascii="Times New Roman" w:hAnsi="Times New Roman" w:eastAsia="宋体" w:cs="Times New Roman"/>
          <w:sz w:val="24"/>
          <w:szCs w:val="24"/>
          <w:highlight w:val="none"/>
        </w:rPr>
        <w:t xml:space="preserve"> </w:t>
      </w:r>
      <w:r>
        <w:rPr>
          <w:rFonts w:hint="default" w:ascii="Times New Roman" w:hAnsi="Times New Roman" w:cs="Times New Roman" w:eastAsiaTheme="minorEastAsia"/>
          <w:kern w:val="0"/>
          <w:sz w:val="24"/>
          <w:szCs w:val="24"/>
          <w:highlight w:val="none"/>
          <w:lang w:bidi="ar"/>
        </w:rPr>
        <w:t>LDL-C across five total LVA burden groups in the sinus-rhythm subgroup with complete quantitative data.</w:t>
      </w:r>
    </w:p>
    <w:p w14:paraId="3F02463D">
      <w:pPr>
        <w:keepNext w:val="0"/>
        <w:keepLines w:val="0"/>
        <w:widowControl/>
        <w:suppressLineNumbers w:val="0"/>
        <w:spacing w:line="480" w:lineRule="auto"/>
        <w:jc w:val="center"/>
        <w:rPr>
          <w:rFonts w:hint="default" w:ascii="Times New Roman" w:hAnsi="Times New Roman" w:cs="Times New Roman" w:eastAsiaTheme="minorEastAsia"/>
          <w:kern w:val="0"/>
          <w:sz w:val="24"/>
          <w:szCs w:val="24"/>
          <w:highlight w:val="none"/>
          <w:lang w:val="en-US" w:eastAsia="zh-CN" w:bidi="ar"/>
        </w:rPr>
      </w:pPr>
      <w:r>
        <w:rPr>
          <w:rFonts w:hint="default" w:ascii="Times New Roman" w:hAnsi="Times New Roman" w:cs="Times New Roman" w:eastAsiaTheme="minorEastAsia"/>
          <w:kern w:val="0"/>
          <w:sz w:val="24"/>
          <w:szCs w:val="24"/>
          <w:highlight w:val="none"/>
          <w:lang w:val="en-US" w:eastAsia="zh-CN" w:bidi="ar"/>
        </w:rPr>
        <w:drawing>
          <wp:inline distT="0" distB="0" distL="114300" distR="114300">
            <wp:extent cx="5267325" cy="4389120"/>
            <wp:effectExtent l="0" t="0" r="3175" b="5080"/>
            <wp:docPr id="23" name="图片 23" descr="S1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S11_01"/>
                    <pic:cNvPicPr>
                      <a:picLocks noChangeAspect="1"/>
                    </pic:cNvPicPr>
                  </pic:nvPicPr>
                  <pic:blipFill>
                    <a:blip r:embed="rId15"/>
                    <a:stretch>
                      <a:fillRect/>
                    </a:stretch>
                  </pic:blipFill>
                  <pic:spPr>
                    <a:xfrm>
                      <a:off x="0" y="0"/>
                      <a:ext cx="5267325" cy="4389120"/>
                    </a:xfrm>
                    <a:prstGeom prst="rect">
                      <a:avLst/>
                    </a:prstGeom>
                  </pic:spPr>
                </pic:pic>
              </a:graphicData>
            </a:graphic>
          </wp:inline>
        </w:drawing>
      </w:r>
    </w:p>
    <w:p w14:paraId="66238807">
      <w:pPr>
        <w:keepNext w:val="0"/>
        <w:keepLines w:val="0"/>
        <w:widowControl/>
        <w:suppressLineNumbers w:val="0"/>
        <w:spacing w:line="480" w:lineRule="auto"/>
        <w:jc w:val="left"/>
        <w:rPr>
          <w:rFonts w:hint="default" w:ascii="Times New Roman" w:hAnsi="Times New Roman" w:cs="Times New Roman" w:eastAsiaTheme="minorEastAsia"/>
          <w:kern w:val="0"/>
          <w:sz w:val="24"/>
          <w:szCs w:val="24"/>
          <w:highlight w:val="none"/>
          <w:lang w:bidi="ar"/>
        </w:rPr>
      </w:pPr>
      <w:r>
        <w:rPr>
          <w:rFonts w:hint="default" w:ascii="Times New Roman" w:hAnsi="Times New Roman" w:cs="Times New Roman" w:eastAsiaTheme="minorEastAsia"/>
          <w:kern w:val="0"/>
          <w:sz w:val="24"/>
          <w:szCs w:val="24"/>
          <w:highlight w:val="none"/>
          <w:lang w:bidi="ar"/>
        </w:rPr>
        <w:t xml:space="preserve">The overall difference across groups was assessed using the Kruskal-Wallis test. The figure shows a significant overall difference in LDL-C across the five burden groups (Kruskal-Wallis </w:t>
      </w:r>
      <w:r>
        <w:rPr>
          <w:rFonts w:hint="default" w:ascii="Times New Roman" w:hAnsi="Times New Roman" w:cs="Times New Roman" w:eastAsiaTheme="minorEastAsia"/>
          <w:i/>
          <w:iCs/>
          <w:kern w:val="0"/>
          <w:sz w:val="24"/>
          <w:szCs w:val="24"/>
          <w:highlight w:val="none"/>
          <w:lang w:bidi="ar"/>
        </w:rPr>
        <w:t>P</w:t>
      </w:r>
      <w:r>
        <w:rPr>
          <w:rFonts w:hint="default" w:ascii="Times New Roman" w:hAnsi="Times New Roman" w:cs="Times New Roman" w:eastAsiaTheme="minorEastAsia"/>
          <w:kern w:val="0"/>
          <w:sz w:val="24"/>
          <w:szCs w:val="24"/>
          <w:highlight w:val="none"/>
          <w:lang w:bidi="ar"/>
        </w:rPr>
        <w:t xml:space="preserve"> = 0.0058).</w:t>
      </w:r>
    </w:p>
    <w:p w14:paraId="42807F11">
      <w:pPr>
        <w:keepNext w:val="0"/>
        <w:keepLines w:val="0"/>
        <w:widowControl/>
        <w:suppressLineNumbers w:val="0"/>
        <w:spacing w:line="480" w:lineRule="auto"/>
        <w:jc w:val="left"/>
        <w:rPr>
          <w:rFonts w:hint="default" w:ascii="Times New Roman" w:hAnsi="Times New Roman" w:cs="Times New Roman" w:eastAsiaTheme="minorEastAsia"/>
          <w:kern w:val="0"/>
          <w:sz w:val="24"/>
          <w:szCs w:val="24"/>
          <w:highlight w:val="none"/>
          <w:lang w:bidi="ar"/>
        </w:rPr>
      </w:pPr>
      <w:r>
        <w:rPr>
          <w:rFonts w:hint="default" w:ascii="Times New Roman" w:hAnsi="Times New Roman" w:eastAsia="宋体" w:cs="Times New Roman"/>
          <w:b/>
          <w:bCs/>
          <w:sz w:val="24"/>
          <w:szCs w:val="24"/>
          <w:highlight w:val="none"/>
          <w:lang w:bidi="ar"/>
        </w:rPr>
        <w:t>Abbreviations:</w:t>
      </w:r>
      <w:r>
        <w:rPr>
          <w:rFonts w:hint="default" w:ascii="Times New Roman" w:hAnsi="Times New Roman" w:eastAsia="宋体" w:cs="Times New Roman"/>
          <w:sz w:val="24"/>
          <w:szCs w:val="24"/>
          <w:highlight w:val="none"/>
          <w:lang w:val="en-US" w:eastAsia="zh-CN" w:bidi="ar"/>
        </w:rPr>
        <w:t xml:space="preserve"> </w:t>
      </w:r>
      <w:r>
        <w:rPr>
          <w:rFonts w:hint="default" w:ascii="Times New Roman" w:hAnsi="Times New Roman" w:eastAsia="宋体" w:cs="Times New Roman"/>
          <w:sz w:val="24"/>
          <w:szCs w:val="24"/>
          <w:highlight w:val="none"/>
          <w:lang w:bidi="ar"/>
        </w:rPr>
        <w:t>LDL-C, low-density lipoprotein cholesterol; LVA, left atrial low-voltage area.</w:t>
      </w:r>
      <w:r>
        <w:rPr>
          <w:rFonts w:hint="default" w:ascii="Times New Roman" w:hAnsi="Times New Roman" w:eastAsia="宋体" w:cs="Times New Roman"/>
          <w:sz w:val="24"/>
          <w:szCs w:val="24"/>
          <w:highlight w:val="none"/>
          <w:lang w:bidi="ar"/>
        </w:rPr>
        <w:br w:type="textWrapping"/>
      </w:r>
    </w:p>
    <w:p w14:paraId="6C24973E">
      <w:pPr>
        <w:keepNext w:val="0"/>
        <w:keepLines w:val="0"/>
        <w:widowControl/>
        <w:suppressLineNumbers w:val="0"/>
        <w:spacing w:line="480" w:lineRule="auto"/>
        <w:jc w:val="left"/>
        <w:rPr>
          <w:rFonts w:hint="default" w:ascii="Times New Roman" w:hAnsi="Times New Roman" w:cs="Times New Roman" w:eastAsiaTheme="minorEastAsia"/>
          <w:kern w:val="0"/>
          <w:sz w:val="24"/>
          <w:szCs w:val="24"/>
          <w:highlight w:val="none"/>
          <w:lang w:val="en-US" w:eastAsia="zh-CN" w:bidi="ar"/>
        </w:rPr>
      </w:pPr>
    </w:p>
    <w:sectPr>
      <w:pgSz w:w="11906" w:h="16838"/>
      <w:pgMar w:top="1440" w:right="1800" w:bottom="1440" w:left="1800" w:header="851" w:footer="992" w:gutter="0"/>
      <w:lnNumType w:countBy="1" w:restart="continuou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Math">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Carlit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8A303">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653BEB">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F653BEB">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2702E5"/>
    <w:rsid w:val="002C51F2"/>
    <w:rsid w:val="003241C2"/>
    <w:rsid w:val="00537C28"/>
    <w:rsid w:val="0069744B"/>
    <w:rsid w:val="0089189B"/>
    <w:rsid w:val="00B46918"/>
    <w:rsid w:val="00BC757B"/>
    <w:rsid w:val="011D2710"/>
    <w:rsid w:val="01565C22"/>
    <w:rsid w:val="01740BD5"/>
    <w:rsid w:val="01DB6127"/>
    <w:rsid w:val="01EA636A"/>
    <w:rsid w:val="01F10E32"/>
    <w:rsid w:val="020B07BA"/>
    <w:rsid w:val="02337D11"/>
    <w:rsid w:val="0247556A"/>
    <w:rsid w:val="025657AD"/>
    <w:rsid w:val="0261662C"/>
    <w:rsid w:val="026D4D11"/>
    <w:rsid w:val="02750329"/>
    <w:rsid w:val="027C3466"/>
    <w:rsid w:val="02B726F0"/>
    <w:rsid w:val="02B80216"/>
    <w:rsid w:val="02CD1F13"/>
    <w:rsid w:val="02D212D8"/>
    <w:rsid w:val="02D36DFE"/>
    <w:rsid w:val="03062D2F"/>
    <w:rsid w:val="031E451D"/>
    <w:rsid w:val="03391357"/>
    <w:rsid w:val="036B7036"/>
    <w:rsid w:val="03A8028B"/>
    <w:rsid w:val="03D64DF8"/>
    <w:rsid w:val="041341B1"/>
    <w:rsid w:val="041D2A27"/>
    <w:rsid w:val="04724301"/>
    <w:rsid w:val="04787C5D"/>
    <w:rsid w:val="04A9250C"/>
    <w:rsid w:val="04C42EA2"/>
    <w:rsid w:val="04D23811"/>
    <w:rsid w:val="050339CA"/>
    <w:rsid w:val="051B326D"/>
    <w:rsid w:val="052676B9"/>
    <w:rsid w:val="05A76A4C"/>
    <w:rsid w:val="05D45367"/>
    <w:rsid w:val="06007F0A"/>
    <w:rsid w:val="06141C07"/>
    <w:rsid w:val="061E4834"/>
    <w:rsid w:val="062A3E72"/>
    <w:rsid w:val="066A7A79"/>
    <w:rsid w:val="066E659D"/>
    <w:rsid w:val="069D1BFD"/>
    <w:rsid w:val="06BC51F1"/>
    <w:rsid w:val="06D82C35"/>
    <w:rsid w:val="06E94E42"/>
    <w:rsid w:val="070A369E"/>
    <w:rsid w:val="07293490"/>
    <w:rsid w:val="074C65B6"/>
    <w:rsid w:val="075E768A"/>
    <w:rsid w:val="07762B7A"/>
    <w:rsid w:val="07C66F31"/>
    <w:rsid w:val="07C733D5"/>
    <w:rsid w:val="07D77390"/>
    <w:rsid w:val="07F341CA"/>
    <w:rsid w:val="080B4A94"/>
    <w:rsid w:val="08102A6C"/>
    <w:rsid w:val="085D5AE7"/>
    <w:rsid w:val="089F1C5C"/>
    <w:rsid w:val="08F71A98"/>
    <w:rsid w:val="09615163"/>
    <w:rsid w:val="099C43EE"/>
    <w:rsid w:val="09AF2373"/>
    <w:rsid w:val="09D41DD9"/>
    <w:rsid w:val="09FB55B8"/>
    <w:rsid w:val="0A0855DF"/>
    <w:rsid w:val="0A1B2824"/>
    <w:rsid w:val="0A4D56E8"/>
    <w:rsid w:val="0A7D7D7B"/>
    <w:rsid w:val="0A8C7FBE"/>
    <w:rsid w:val="0AA74DF8"/>
    <w:rsid w:val="0ABD5645"/>
    <w:rsid w:val="0AC43BFC"/>
    <w:rsid w:val="0AD025A1"/>
    <w:rsid w:val="0AF02C43"/>
    <w:rsid w:val="0B0A5387"/>
    <w:rsid w:val="0B5331D2"/>
    <w:rsid w:val="0B6B051B"/>
    <w:rsid w:val="0B8007D8"/>
    <w:rsid w:val="0BCF0AAA"/>
    <w:rsid w:val="0BD460C1"/>
    <w:rsid w:val="0BEC1345"/>
    <w:rsid w:val="0C4143BE"/>
    <w:rsid w:val="0C5D60B6"/>
    <w:rsid w:val="0C7D22B4"/>
    <w:rsid w:val="0C873133"/>
    <w:rsid w:val="0C8A677F"/>
    <w:rsid w:val="0C8F3D96"/>
    <w:rsid w:val="0C9D2956"/>
    <w:rsid w:val="0CAA6E21"/>
    <w:rsid w:val="0D2C5A88"/>
    <w:rsid w:val="0D352B8F"/>
    <w:rsid w:val="0D3A63F7"/>
    <w:rsid w:val="0D5A164E"/>
    <w:rsid w:val="0D5A4B6F"/>
    <w:rsid w:val="0D6276FC"/>
    <w:rsid w:val="0DB461AA"/>
    <w:rsid w:val="0DD00B0A"/>
    <w:rsid w:val="0DE46363"/>
    <w:rsid w:val="0DED6FC6"/>
    <w:rsid w:val="0E370B89"/>
    <w:rsid w:val="0E6064D4"/>
    <w:rsid w:val="0E6A4ABA"/>
    <w:rsid w:val="0E72571D"/>
    <w:rsid w:val="0E840596"/>
    <w:rsid w:val="0ECA5559"/>
    <w:rsid w:val="0EE83C31"/>
    <w:rsid w:val="0F054ADE"/>
    <w:rsid w:val="0F20786F"/>
    <w:rsid w:val="0F73174D"/>
    <w:rsid w:val="0F87344A"/>
    <w:rsid w:val="0F9C7AB9"/>
    <w:rsid w:val="0F9D2C6D"/>
    <w:rsid w:val="0FA22032"/>
    <w:rsid w:val="0FA4224E"/>
    <w:rsid w:val="0FE12B5A"/>
    <w:rsid w:val="10085DCF"/>
    <w:rsid w:val="10463305"/>
    <w:rsid w:val="106D0892"/>
    <w:rsid w:val="108364E7"/>
    <w:rsid w:val="109E6C9D"/>
    <w:rsid w:val="10B1077E"/>
    <w:rsid w:val="10D10E21"/>
    <w:rsid w:val="10D17073"/>
    <w:rsid w:val="10D4446D"/>
    <w:rsid w:val="10F845FF"/>
    <w:rsid w:val="11005262"/>
    <w:rsid w:val="111C343D"/>
    <w:rsid w:val="113E3FDC"/>
    <w:rsid w:val="11657E1B"/>
    <w:rsid w:val="117874EE"/>
    <w:rsid w:val="11A2456B"/>
    <w:rsid w:val="11C20769"/>
    <w:rsid w:val="11E11422"/>
    <w:rsid w:val="1202500A"/>
    <w:rsid w:val="126E269F"/>
    <w:rsid w:val="1273393A"/>
    <w:rsid w:val="1279351E"/>
    <w:rsid w:val="12BB58E4"/>
    <w:rsid w:val="12C0739F"/>
    <w:rsid w:val="12DA1AE3"/>
    <w:rsid w:val="12EF558E"/>
    <w:rsid w:val="12F31522"/>
    <w:rsid w:val="130628D8"/>
    <w:rsid w:val="131D659F"/>
    <w:rsid w:val="131E5E73"/>
    <w:rsid w:val="13225964"/>
    <w:rsid w:val="13294F44"/>
    <w:rsid w:val="134578A4"/>
    <w:rsid w:val="13477178"/>
    <w:rsid w:val="13641842"/>
    <w:rsid w:val="1367781A"/>
    <w:rsid w:val="13904FC3"/>
    <w:rsid w:val="13E72709"/>
    <w:rsid w:val="13FE7886"/>
    <w:rsid w:val="143040B0"/>
    <w:rsid w:val="143C6430"/>
    <w:rsid w:val="14486516"/>
    <w:rsid w:val="148413AD"/>
    <w:rsid w:val="148D32B1"/>
    <w:rsid w:val="14AD74AF"/>
    <w:rsid w:val="14CA62B3"/>
    <w:rsid w:val="14D233B9"/>
    <w:rsid w:val="14D964F6"/>
    <w:rsid w:val="14F50E56"/>
    <w:rsid w:val="15105AFB"/>
    <w:rsid w:val="151412DC"/>
    <w:rsid w:val="154D00C5"/>
    <w:rsid w:val="154D2A40"/>
    <w:rsid w:val="15522A77"/>
    <w:rsid w:val="15565D98"/>
    <w:rsid w:val="155E69FB"/>
    <w:rsid w:val="15843D5D"/>
    <w:rsid w:val="15F80BFE"/>
    <w:rsid w:val="1602392E"/>
    <w:rsid w:val="16117F11"/>
    <w:rsid w:val="16145232"/>
    <w:rsid w:val="161C0D90"/>
    <w:rsid w:val="161F43DC"/>
    <w:rsid w:val="16322361"/>
    <w:rsid w:val="16465E0D"/>
    <w:rsid w:val="164976AB"/>
    <w:rsid w:val="164B3423"/>
    <w:rsid w:val="16500A3A"/>
    <w:rsid w:val="168129A1"/>
    <w:rsid w:val="168C1346"/>
    <w:rsid w:val="168E3310"/>
    <w:rsid w:val="16E55626"/>
    <w:rsid w:val="17255A22"/>
    <w:rsid w:val="174F0CF1"/>
    <w:rsid w:val="176C18A3"/>
    <w:rsid w:val="176D73C9"/>
    <w:rsid w:val="177B5642"/>
    <w:rsid w:val="177E005E"/>
    <w:rsid w:val="17C25ADF"/>
    <w:rsid w:val="17D64F6F"/>
    <w:rsid w:val="17F51899"/>
    <w:rsid w:val="181066D2"/>
    <w:rsid w:val="18194E5B"/>
    <w:rsid w:val="18477C1A"/>
    <w:rsid w:val="18561055"/>
    <w:rsid w:val="18954E2A"/>
    <w:rsid w:val="189D2014"/>
    <w:rsid w:val="18C4483B"/>
    <w:rsid w:val="18F57676"/>
    <w:rsid w:val="19031D93"/>
    <w:rsid w:val="19306900"/>
    <w:rsid w:val="195D0605"/>
    <w:rsid w:val="196F7429"/>
    <w:rsid w:val="19946E8F"/>
    <w:rsid w:val="199D3F96"/>
    <w:rsid w:val="19C534ED"/>
    <w:rsid w:val="1A2975D8"/>
    <w:rsid w:val="1A3E52D5"/>
    <w:rsid w:val="1A442663"/>
    <w:rsid w:val="1A4D1A2F"/>
    <w:rsid w:val="1A6E5932"/>
    <w:rsid w:val="1A750A6F"/>
    <w:rsid w:val="1A827FAB"/>
    <w:rsid w:val="1AB71087"/>
    <w:rsid w:val="1B1C4AE6"/>
    <w:rsid w:val="1B26620D"/>
    <w:rsid w:val="1B28788F"/>
    <w:rsid w:val="1B5A7C65"/>
    <w:rsid w:val="1B7C3F0F"/>
    <w:rsid w:val="1BF260EF"/>
    <w:rsid w:val="1BF63E31"/>
    <w:rsid w:val="1C0A168B"/>
    <w:rsid w:val="1C493F61"/>
    <w:rsid w:val="1C84143D"/>
    <w:rsid w:val="1C8B457A"/>
    <w:rsid w:val="1CAC44F0"/>
    <w:rsid w:val="1CB25FAA"/>
    <w:rsid w:val="1CEF2F32"/>
    <w:rsid w:val="1D1D719C"/>
    <w:rsid w:val="1D507571"/>
    <w:rsid w:val="1D7F39B2"/>
    <w:rsid w:val="1D9A26F1"/>
    <w:rsid w:val="1D9C27B6"/>
    <w:rsid w:val="1D9E652E"/>
    <w:rsid w:val="1DAB47A7"/>
    <w:rsid w:val="1DEC729A"/>
    <w:rsid w:val="1E0740D4"/>
    <w:rsid w:val="1E0F11DA"/>
    <w:rsid w:val="1E110AAE"/>
    <w:rsid w:val="1E537319"/>
    <w:rsid w:val="1E7D1F3C"/>
    <w:rsid w:val="1E8C45D9"/>
    <w:rsid w:val="1EF74148"/>
    <w:rsid w:val="1EFC175F"/>
    <w:rsid w:val="1F196CBA"/>
    <w:rsid w:val="1F38206B"/>
    <w:rsid w:val="1F470500"/>
    <w:rsid w:val="1F501704"/>
    <w:rsid w:val="1F5233D2"/>
    <w:rsid w:val="1F5C3B51"/>
    <w:rsid w:val="1F705CA9"/>
    <w:rsid w:val="1F90634B"/>
    <w:rsid w:val="1FCB7383"/>
    <w:rsid w:val="1FF740CB"/>
    <w:rsid w:val="206375BB"/>
    <w:rsid w:val="207B2B57"/>
    <w:rsid w:val="207D242B"/>
    <w:rsid w:val="20856F49"/>
    <w:rsid w:val="209D0D1F"/>
    <w:rsid w:val="20C444FE"/>
    <w:rsid w:val="20E93F65"/>
    <w:rsid w:val="20F12E19"/>
    <w:rsid w:val="210A00BD"/>
    <w:rsid w:val="211D0034"/>
    <w:rsid w:val="212C7FCB"/>
    <w:rsid w:val="213F3B84"/>
    <w:rsid w:val="21843C8D"/>
    <w:rsid w:val="21E72907"/>
    <w:rsid w:val="21EA4F9A"/>
    <w:rsid w:val="21EA7F94"/>
    <w:rsid w:val="21F7620D"/>
    <w:rsid w:val="21FF50C2"/>
    <w:rsid w:val="220A23E4"/>
    <w:rsid w:val="22160D89"/>
    <w:rsid w:val="22297BB5"/>
    <w:rsid w:val="222D1C2F"/>
    <w:rsid w:val="22600256"/>
    <w:rsid w:val="228E4DC3"/>
    <w:rsid w:val="229E0D7F"/>
    <w:rsid w:val="22C73E32"/>
    <w:rsid w:val="22F4099F"/>
    <w:rsid w:val="23046E34"/>
    <w:rsid w:val="2322375E"/>
    <w:rsid w:val="2366364A"/>
    <w:rsid w:val="236D2C2B"/>
    <w:rsid w:val="23751ADF"/>
    <w:rsid w:val="23757D31"/>
    <w:rsid w:val="2383244E"/>
    <w:rsid w:val="23AC19F8"/>
    <w:rsid w:val="23B24AE2"/>
    <w:rsid w:val="23BC14BC"/>
    <w:rsid w:val="23BD6FE3"/>
    <w:rsid w:val="23D36676"/>
    <w:rsid w:val="23EB7FF4"/>
    <w:rsid w:val="242F6132"/>
    <w:rsid w:val="243279D1"/>
    <w:rsid w:val="243454F7"/>
    <w:rsid w:val="243674C1"/>
    <w:rsid w:val="246062EC"/>
    <w:rsid w:val="24885842"/>
    <w:rsid w:val="24A563F4"/>
    <w:rsid w:val="24BB79C6"/>
    <w:rsid w:val="24C26FA6"/>
    <w:rsid w:val="24E73A09"/>
    <w:rsid w:val="24FF1C6C"/>
    <w:rsid w:val="250E0EB7"/>
    <w:rsid w:val="2545198D"/>
    <w:rsid w:val="25695674"/>
    <w:rsid w:val="258C4239"/>
    <w:rsid w:val="25F7083A"/>
    <w:rsid w:val="26396DF4"/>
    <w:rsid w:val="26485289"/>
    <w:rsid w:val="26492DAF"/>
    <w:rsid w:val="265754CC"/>
    <w:rsid w:val="26920BFA"/>
    <w:rsid w:val="26B96187"/>
    <w:rsid w:val="26BB1EFF"/>
    <w:rsid w:val="271E5FEA"/>
    <w:rsid w:val="273D2914"/>
    <w:rsid w:val="277D0F63"/>
    <w:rsid w:val="27F136FF"/>
    <w:rsid w:val="28414686"/>
    <w:rsid w:val="28687E65"/>
    <w:rsid w:val="28871AA7"/>
    <w:rsid w:val="28A30E9D"/>
    <w:rsid w:val="28B21DA4"/>
    <w:rsid w:val="28B27332"/>
    <w:rsid w:val="28D70B46"/>
    <w:rsid w:val="28E219C5"/>
    <w:rsid w:val="29053906"/>
    <w:rsid w:val="2912392D"/>
    <w:rsid w:val="298011DE"/>
    <w:rsid w:val="29890093"/>
    <w:rsid w:val="29D62BAC"/>
    <w:rsid w:val="29F15C38"/>
    <w:rsid w:val="29FA0F90"/>
    <w:rsid w:val="2A0C4820"/>
    <w:rsid w:val="2A1831C5"/>
    <w:rsid w:val="2A5D64DF"/>
    <w:rsid w:val="2A68414C"/>
    <w:rsid w:val="2A705AE1"/>
    <w:rsid w:val="2AAA6513"/>
    <w:rsid w:val="2AAE58D7"/>
    <w:rsid w:val="2AB96756"/>
    <w:rsid w:val="2B0A53CE"/>
    <w:rsid w:val="2B0D6AA1"/>
    <w:rsid w:val="2B0F6376"/>
    <w:rsid w:val="2C0C6D59"/>
    <w:rsid w:val="2C302A48"/>
    <w:rsid w:val="2C6E3570"/>
    <w:rsid w:val="2CA64AB8"/>
    <w:rsid w:val="2CBA4A07"/>
    <w:rsid w:val="2CC806E4"/>
    <w:rsid w:val="2CFF241A"/>
    <w:rsid w:val="2D2D6F87"/>
    <w:rsid w:val="2D4C1B03"/>
    <w:rsid w:val="2D6A01DB"/>
    <w:rsid w:val="2D727090"/>
    <w:rsid w:val="2D8D3ECA"/>
    <w:rsid w:val="2DB762ED"/>
    <w:rsid w:val="2DD90EBD"/>
    <w:rsid w:val="2DE97352"/>
    <w:rsid w:val="2E2B5E45"/>
    <w:rsid w:val="2E7A444E"/>
    <w:rsid w:val="2EA4771D"/>
    <w:rsid w:val="2EBF6D50"/>
    <w:rsid w:val="2ED31DB0"/>
    <w:rsid w:val="2ED753FC"/>
    <w:rsid w:val="2ED81174"/>
    <w:rsid w:val="2EFA558F"/>
    <w:rsid w:val="2F0560A0"/>
    <w:rsid w:val="2F3E547B"/>
    <w:rsid w:val="2F7470EF"/>
    <w:rsid w:val="2F7610B9"/>
    <w:rsid w:val="2F7E1D1C"/>
    <w:rsid w:val="300761B5"/>
    <w:rsid w:val="30094D49"/>
    <w:rsid w:val="30142680"/>
    <w:rsid w:val="30202DD3"/>
    <w:rsid w:val="304A60A2"/>
    <w:rsid w:val="30515682"/>
    <w:rsid w:val="307B44AD"/>
    <w:rsid w:val="30965AF3"/>
    <w:rsid w:val="30C23E8A"/>
    <w:rsid w:val="312E5D48"/>
    <w:rsid w:val="313E79B5"/>
    <w:rsid w:val="31535D17"/>
    <w:rsid w:val="31772EC7"/>
    <w:rsid w:val="31CB6D6E"/>
    <w:rsid w:val="31E75CF7"/>
    <w:rsid w:val="327D776A"/>
    <w:rsid w:val="32801B67"/>
    <w:rsid w:val="33260700"/>
    <w:rsid w:val="338F274A"/>
    <w:rsid w:val="33A70BF3"/>
    <w:rsid w:val="33A8380B"/>
    <w:rsid w:val="33D04B10"/>
    <w:rsid w:val="33FB7DDF"/>
    <w:rsid w:val="34951FE2"/>
    <w:rsid w:val="34D50630"/>
    <w:rsid w:val="34DC5E9C"/>
    <w:rsid w:val="35094FF9"/>
    <w:rsid w:val="35494B7A"/>
    <w:rsid w:val="354C01C6"/>
    <w:rsid w:val="355C2AFF"/>
    <w:rsid w:val="356D0868"/>
    <w:rsid w:val="35903483"/>
    <w:rsid w:val="359A7184"/>
    <w:rsid w:val="35B1528D"/>
    <w:rsid w:val="36070CBD"/>
    <w:rsid w:val="36315D3A"/>
    <w:rsid w:val="363C023B"/>
    <w:rsid w:val="36401AD9"/>
    <w:rsid w:val="36794FEB"/>
    <w:rsid w:val="36AE738B"/>
    <w:rsid w:val="36AF3103"/>
    <w:rsid w:val="36B34EE6"/>
    <w:rsid w:val="36B83D65"/>
    <w:rsid w:val="36F54FB9"/>
    <w:rsid w:val="36F80606"/>
    <w:rsid w:val="371F2036"/>
    <w:rsid w:val="372B5926"/>
    <w:rsid w:val="379522F8"/>
    <w:rsid w:val="37A83DDA"/>
    <w:rsid w:val="37B3452D"/>
    <w:rsid w:val="37BC7885"/>
    <w:rsid w:val="37FA03AE"/>
    <w:rsid w:val="38044D88"/>
    <w:rsid w:val="38194C17"/>
    <w:rsid w:val="383F1888"/>
    <w:rsid w:val="384B29B7"/>
    <w:rsid w:val="38502446"/>
    <w:rsid w:val="3862042D"/>
    <w:rsid w:val="38806B05"/>
    <w:rsid w:val="388E7474"/>
    <w:rsid w:val="389439DC"/>
    <w:rsid w:val="38B247E4"/>
    <w:rsid w:val="38D1110E"/>
    <w:rsid w:val="38DE7223"/>
    <w:rsid w:val="38E452E6"/>
    <w:rsid w:val="38FC76F4"/>
    <w:rsid w:val="390037A2"/>
    <w:rsid w:val="391A0D07"/>
    <w:rsid w:val="391A2AB5"/>
    <w:rsid w:val="39227BBC"/>
    <w:rsid w:val="393D0552"/>
    <w:rsid w:val="395362C7"/>
    <w:rsid w:val="395559C4"/>
    <w:rsid w:val="397228F1"/>
    <w:rsid w:val="3995038E"/>
    <w:rsid w:val="399F745E"/>
    <w:rsid w:val="39AB5E03"/>
    <w:rsid w:val="39BD1693"/>
    <w:rsid w:val="39F72DF7"/>
    <w:rsid w:val="3A920D71"/>
    <w:rsid w:val="3AA34D2C"/>
    <w:rsid w:val="3AB55FAE"/>
    <w:rsid w:val="3AE113B1"/>
    <w:rsid w:val="3B037579"/>
    <w:rsid w:val="3B8B7C9A"/>
    <w:rsid w:val="3B8C3A12"/>
    <w:rsid w:val="3BBF7944"/>
    <w:rsid w:val="3BD66A3C"/>
    <w:rsid w:val="3BE6568B"/>
    <w:rsid w:val="3C2123AD"/>
    <w:rsid w:val="3C265C15"/>
    <w:rsid w:val="3C7D075B"/>
    <w:rsid w:val="3C7E15AD"/>
    <w:rsid w:val="3CC80A7A"/>
    <w:rsid w:val="3CE07B72"/>
    <w:rsid w:val="3CE31410"/>
    <w:rsid w:val="3CE80098"/>
    <w:rsid w:val="3CF67395"/>
    <w:rsid w:val="3D0C0967"/>
    <w:rsid w:val="3D18555E"/>
    <w:rsid w:val="3D4244FD"/>
    <w:rsid w:val="3D600CB3"/>
    <w:rsid w:val="3D8175A7"/>
    <w:rsid w:val="3D826E7B"/>
    <w:rsid w:val="3DCE0312"/>
    <w:rsid w:val="3E203975"/>
    <w:rsid w:val="3E300685"/>
    <w:rsid w:val="3E313B49"/>
    <w:rsid w:val="3E5D51F2"/>
    <w:rsid w:val="3E6E11AD"/>
    <w:rsid w:val="3E6F38A3"/>
    <w:rsid w:val="3E774506"/>
    <w:rsid w:val="3E7D657C"/>
    <w:rsid w:val="3E8C1AD7"/>
    <w:rsid w:val="3ECA6D2C"/>
    <w:rsid w:val="3EDC6A5F"/>
    <w:rsid w:val="3EF75647"/>
    <w:rsid w:val="3EFC2C5D"/>
    <w:rsid w:val="3EFE4C27"/>
    <w:rsid w:val="3F8844F1"/>
    <w:rsid w:val="3FD57736"/>
    <w:rsid w:val="3FE13C8B"/>
    <w:rsid w:val="3FE536F1"/>
    <w:rsid w:val="40010336"/>
    <w:rsid w:val="40026051"/>
    <w:rsid w:val="40300E10"/>
    <w:rsid w:val="40385F17"/>
    <w:rsid w:val="403F2E01"/>
    <w:rsid w:val="40646D0C"/>
    <w:rsid w:val="409E221E"/>
    <w:rsid w:val="40C1415E"/>
    <w:rsid w:val="40D55514"/>
    <w:rsid w:val="40E253ED"/>
    <w:rsid w:val="40F46F26"/>
    <w:rsid w:val="41004C87"/>
    <w:rsid w:val="41230975"/>
    <w:rsid w:val="412A1D04"/>
    <w:rsid w:val="4182569C"/>
    <w:rsid w:val="41856F3A"/>
    <w:rsid w:val="418D5DEE"/>
    <w:rsid w:val="41B11ADD"/>
    <w:rsid w:val="41BB6E00"/>
    <w:rsid w:val="41CA0DF1"/>
    <w:rsid w:val="420E5181"/>
    <w:rsid w:val="423E0ABB"/>
    <w:rsid w:val="425132C0"/>
    <w:rsid w:val="427B20EB"/>
    <w:rsid w:val="427F607F"/>
    <w:rsid w:val="42813BA5"/>
    <w:rsid w:val="42B653E1"/>
    <w:rsid w:val="42BC698B"/>
    <w:rsid w:val="42D9753D"/>
    <w:rsid w:val="42E163F2"/>
    <w:rsid w:val="42EF4FB3"/>
    <w:rsid w:val="4315253F"/>
    <w:rsid w:val="43217136"/>
    <w:rsid w:val="432B58BF"/>
    <w:rsid w:val="435D72A6"/>
    <w:rsid w:val="4388719A"/>
    <w:rsid w:val="43C81360"/>
    <w:rsid w:val="43D30430"/>
    <w:rsid w:val="43DE2931"/>
    <w:rsid w:val="442962A2"/>
    <w:rsid w:val="44562E10"/>
    <w:rsid w:val="449556E6"/>
    <w:rsid w:val="44DD1DBC"/>
    <w:rsid w:val="44F22B38"/>
    <w:rsid w:val="451231DA"/>
    <w:rsid w:val="45181E73"/>
    <w:rsid w:val="45637592"/>
    <w:rsid w:val="45671F9C"/>
    <w:rsid w:val="456A6B72"/>
    <w:rsid w:val="456F5F37"/>
    <w:rsid w:val="45B44292"/>
    <w:rsid w:val="45C5024D"/>
    <w:rsid w:val="45C83899"/>
    <w:rsid w:val="45D4223E"/>
    <w:rsid w:val="45E83F3B"/>
    <w:rsid w:val="45F12DF0"/>
    <w:rsid w:val="46357180"/>
    <w:rsid w:val="463E3B5B"/>
    <w:rsid w:val="4667380D"/>
    <w:rsid w:val="469814BD"/>
    <w:rsid w:val="46C422B2"/>
    <w:rsid w:val="46E75FA1"/>
    <w:rsid w:val="46FC1A4C"/>
    <w:rsid w:val="470E2E81"/>
    <w:rsid w:val="471F3747"/>
    <w:rsid w:val="47305B9A"/>
    <w:rsid w:val="474156B1"/>
    <w:rsid w:val="474941E4"/>
    <w:rsid w:val="47A125F4"/>
    <w:rsid w:val="47A67C0A"/>
    <w:rsid w:val="47BB54DE"/>
    <w:rsid w:val="47C36A0E"/>
    <w:rsid w:val="48757D08"/>
    <w:rsid w:val="48890E1F"/>
    <w:rsid w:val="4892527F"/>
    <w:rsid w:val="48A30313"/>
    <w:rsid w:val="48D45BE0"/>
    <w:rsid w:val="49167019"/>
    <w:rsid w:val="492E435B"/>
    <w:rsid w:val="495F4514"/>
    <w:rsid w:val="49753D38"/>
    <w:rsid w:val="49A24B3E"/>
    <w:rsid w:val="49A76969"/>
    <w:rsid w:val="49B04D70"/>
    <w:rsid w:val="49F20EE5"/>
    <w:rsid w:val="4A192915"/>
    <w:rsid w:val="4A421E6C"/>
    <w:rsid w:val="4A6C513B"/>
    <w:rsid w:val="4A6F21D0"/>
    <w:rsid w:val="4A6F2535"/>
    <w:rsid w:val="4A712751"/>
    <w:rsid w:val="4A7144FF"/>
    <w:rsid w:val="4A9D4ACB"/>
    <w:rsid w:val="4ACA1E61"/>
    <w:rsid w:val="4AD00325"/>
    <w:rsid w:val="4AE607D1"/>
    <w:rsid w:val="4AFF7D5D"/>
    <w:rsid w:val="4B0C5FD6"/>
    <w:rsid w:val="4B3053A6"/>
    <w:rsid w:val="4B3B1D63"/>
    <w:rsid w:val="4B5160DF"/>
    <w:rsid w:val="4B8169C4"/>
    <w:rsid w:val="4B992719"/>
    <w:rsid w:val="4BA34106"/>
    <w:rsid w:val="4BB328F5"/>
    <w:rsid w:val="4BE3142D"/>
    <w:rsid w:val="4BFB49C8"/>
    <w:rsid w:val="4C001FDF"/>
    <w:rsid w:val="4C143394"/>
    <w:rsid w:val="4C63431C"/>
    <w:rsid w:val="4C7D53DD"/>
    <w:rsid w:val="4CCE5C39"/>
    <w:rsid w:val="4D021D86"/>
    <w:rsid w:val="4D45569F"/>
    <w:rsid w:val="4D5F4AE3"/>
    <w:rsid w:val="4D824AF4"/>
    <w:rsid w:val="4DA62712"/>
    <w:rsid w:val="4DAB5F7A"/>
    <w:rsid w:val="4DC60F04"/>
    <w:rsid w:val="4DE84AD8"/>
    <w:rsid w:val="4E200716"/>
    <w:rsid w:val="4E217FEA"/>
    <w:rsid w:val="4E393586"/>
    <w:rsid w:val="4E405BBF"/>
    <w:rsid w:val="4E5E2FEC"/>
    <w:rsid w:val="4E9B5FEF"/>
    <w:rsid w:val="4EF61477"/>
    <w:rsid w:val="4F552641"/>
    <w:rsid w:val="4F5F5177"/>
    <w:rsid w:val="4F610FE6"/>
    <w:rsid w:val="4F652159"/>
    <w:rsid w:val="4F781E8C"/>
    <w:rsid w:val="4F7B372A"/>
    <w:rsid w:val="4F846A83"/>
    <w:rsid w:val="4F8E5B53"/>
    <w:rsid w:val="4FA30801"/>
    <w:rsid w:val="4FB946E8"/>
    <w:rsid w:val="4FC275AB"/>
    <w:rsid w:val="4FD863CB"/>
    <w:rsid w:val="501473D3"/>
    <w:rsid w:val="502D2C76"/>
    <w:rsid w:val="50485D02"/>
    <w:rsid w:val="508A631B"/>
    <w:rsid w:val="50CF1F80"/>
    <w:rsid w:val="50E27F05"/>
    <w:rsid w:val="50F814D6"/>
    <w:rsid w:val="5100038B"/>
    <w:rsid w:val="51053BF3"/>
    <w:rsid w:val="513B1445"/>
    <w:rsid w:val="514F4E6E"/>
    <w:rsid w:val="515D46FD"/>
    <w:rsid w:val="51711289"/>
    <w:rsid w:val="5181771E"/>
    <w:rsid w:val="51954F77"/>
    <w:rsid w:val="51BF0246"/>
    <w:rsid w:val="51E1640E"/>
    <w:rsid w:val="52012EC0"/>
    <w:rsid w:val="520774F7"/>
    <w:rsid w:val="52564E61"/>
    <w:rsid w:val="526606C2"/>
    <w:rsid w:val="52666914"/>
    <w:rsid w:val="52D3157A"/>
    <w:rsid w:val="533B7DA0"/>
    <w:rsid w:val="53764934"/>
    <w:rsid w:val="537D2167"/>
    <w:rsid w:val="53B813F1"/>
    <w:rsid w:val="53CE29C2"/>
    <w:rsid w:val="53E73A84"/>
    <w:rsid w:val="54156268"/>
    <w:rsid w:val="549332C4"/>
    <w:rsid w:val="54BF1EF4"/>
    <w:rsid w:val="552C5BF2"/>
    <w:rsid w:val="552F56E3"/>
    <w:rsid w:val="554F7B33"/>
    <w:rsid w:val="555A4549"/>
    <w:rsid w:val="55894DF3"/>
    <w:rsid w:val="55A97243"/>
    <w:rsid w:val="55CC2F32"/>
    <w:rsid w:val="55D83684"/>
    <w:rsid w:val="56156687"/>
    <w:rsid w:val="564231F4"/>
    <w:rsid w:val="56551179"/>
    <w:rsid w:val="568630E0"/>
    <w:rsid w:val="56B91708"/>
    <w:rsid w:val="56FC33A3"/>
    <w:rsid w:val="57105C07"/>
    <w:rsid w:val="57996E43"/>
    <w:rsid w:val="57C74156"/>
    <w:rsid w:val="5808324B"/>
    <w:rsid w:val="580E15DF"/>
    <w:rsid w:val="580F5357"/>
    <w:rsid w:val="58156E12"/>
    <w:rsid w:val="58240E03"/>
    <w:rsid w:val="585039A6"/>
    <w:rsid w:val="585316E8"/>
    <w:rsid w:val="58615BB3"/>
    <w:rsid w:val="586C4558"/>
    <w:rsid w:val="588D4BFA"/>
    <w:rsid w:val="58953AAF"/>
    <w:rsid w:val="58AB1524"/>
    <w:rsid w:val="58B74892"/>
    <w:rsid w:val="58F05189"/>
    <w:rsid w:val="58F22CAF"/>
    <w:rsid w:val="592656F4"/>
    <w:rsid w:val="596811C3"/>
    <w:rsid w:val="59965D30"/>
    <w:rsid w:val="59AF6DF2"/>
    <w:rsid w:val="5A0A04CC"/>
    <w:rsid w:val="5A0E1D6B"/>
    <w:rsid w:val="5A386DE8"/>
    <w:rsid w:val="5A7A11AE"/>
    <w:rsid w:val="5A9D30EE"/>
    <w:rsid w:val="5AAB580B"/>
    <w:rsid w:val="5AAE2C06"/>
    <w:rsid w:val="5AB26B9A"/>
    <w:rsid w:val="5AC3634F"/>
    <w:rsid w:val="5B0D1C70"/>
    <w:rsid w:val="5B461090"/>
    <w:rsid w:val="5B9C00C2"/>
    <w:rsid w:val="5BCE7A03"/>
    <w:rsid w:val="5BD112A2"/>
    <w:rsid w:val="5BE663CF"/>
    <w:rsid w:val="5C1271C4"/>
    <w:rsid w:val="5C14118E"/>
    <w:rsid w:val="5C3A6E47"/>
    <w:rsid w:val="5C451348"/>
    <w:rsid w:val="5C45759A"/>
    <w:rsid w:val="5C8C6F77"/>
    <w:rsid w:val="5D2E44D2"/>
    <w:rsid w:val="5D395350"/>
    <w:rsid w:val="5D5C103F"/>
    <w:rsid w:val="5D72616D"/>
    <w:rsid w:val="5D9562FF"/>
    <w:rsid w:val="5DCC7F73"/>
    <w:rsid w:val="5DFC012C"/>
    <w:rsid w:val="5E40126F"/>
    <w:rsid w:val="5E4E4E2C"/>
    <w:rsid w:val="5E4F4700"/>
    <w:rsid w:val="5EDD61AF"/>
    <w:rsid w:val="5F16521D"/>
    <w:rsid w:val="5F1D47FE"/>
    <w:rsid w:val="5F441D8B"/>
    <w:rsid w:val="5F465B03"/>
    <w:rsid w:val="5F50072F"/>
    <w:rsid w:val="5F700DD2"/>
    <w:rsid w:val="5F773F0E"/>
    <w:rsid w:val="5F8623A3"/>
    <w:rsid w:val="5F9525E6"/>
    <w:rsid w:val="5FA32F55"/>
    <w:rsid w:val="5FC03B07"/>
    <w:rsid w:val="5FD650D9"/>
    <w:rsid w:val="5FDB26EF"/>
    <w:rsid w:val="5FEB152F"/>
    <w:rsid w:val="5FFE018B"/>
    <w:rsid w:val="600C0AFA"/>
    <w:rsid w:val="60C16093"/>
    <w:rsid w:val="60C34F31"/>
    <w:rsid w:val="60D36EB3"/>
    <w:rsid w:val="60F11A9E"/>
    <w:rsid w:val="60F65306"/>
    <w:rsid w:val="6162474A"/>
    <w:rsid w:val="61642270"/>
    <w:rsid w:val="616D381B"/>
    <w:rsid w:val="62082045"/>
    <w:rsid w:val="622540F5"/>
    <w:rsid w:val="622B1268"/>
    <w:rsid w:val="624327CD"/>
    <w:rsid w:val="62AA63A9"/>
    <w:rsid w:val="62AE5E99"/>
    <w:rsid w:val="62F13FD7"/>
    <w:rsid w:val="63612F0B"/>
    <w:rsid w:val="636D5D54"/>
    <w:rsid w:val="63952BB5"/>
    <w:rsid w:val="63BC6393"/>
    <w:rsid w:val="63BE76F0"/>
    <w:rsid w:val="63CB65D6"/>
    <w:rsid w:val="64047D3A"/>
    <w:rsid w:val="64627A49"/>
    <w:rsid w:val="646E22C6"/>
    <w:rsid w:val="64EF2799"/>
    <w:rsid w:val="64F14763"/>
    <w:rsid w:val="64F17303"/>
    <w:rsid w:val="6500346D"/>
    <w:rsid w:val="65332685"/>
    <w:rsid w:val="65515201"/>
    <w:rsid w:val="65670581"/>
    <w:rsid w:val="65757142"/>
    <w:rsid w:val="65A25A5D"/>
    <w:rsid w:val="65A27234"/>
    <w:rsid w:val="65EE47FE"/>
    <w:rsid w:val="66007BB1"/>
    <w:rsid w:val="66042274"/>
    <w:rsid w:val="664C392E"/>
    <w:rsid w:val="666A5731"/>
    <w:rsid w:val="6679056C"/>
    <w:rsid w:val="66A852F5"/>
    <w:rsid w:val="66E1692D"/>
    <w:rsid w:val="670047E9"/>
    <w:rsid w:val="671F55B7"/>
    <w:rsid w:val="67332E10"/>
    <w:rsid w:val="674212A6"/>
    <w:rsid w:val="67423054"/>
    <w:rsid w:val="67705E13"/>
    <w:rsid w:val="67890C82"/>
    <w:rsid w:val="678C42CF"/>
    <w:rsid w:val="67A91325"/>
    <w:rsid w:val="67C47F0C"/>
    <w:rsid w:val="67CE2B39"/>
    <w:rsid w:val="67DF08A2"/>
    <w:rsid w:val="68190258"/>
    <w:rsid w:val="681E586F"/>
    <w:rsid w:val="6894168D"/>
    <w:rsid w:val="689618A9"/>
    <w:rsid w:val="68CA1553"/>
    <w:rsid w:val="68D66149"/>
    <w:rsid w:val="69323424"/>
    <w:rsid w:val="695D5F23"/>
    <w:rsid w:val="6974326C"/>
    <w:rsid w:val="697A2F79"/>
    <w:rsid w:val="69857450"/>
    <w:rsid w:val="699F478D"/>
    <w:rsid w:val="69B95123"/>
    <w:rsid w:val="69F17811"/>
    <w:rsid w:val="6A0669A4"/>
    <w:rsid w:val="6A542EF6"/>
    <w:rsid w:val="6A6432E1"/>
    <w:rsid w:val="6A694D9B"/>
    <w:rsid w:val="6A6B28C1"/>
    <w:rsid w:val="6A7107F4"/>
    <w:rsid w:val="6AB31849"/>
    <w:rsid w:val="6AC87D14"/>
    <w:rsid w:val="6AD14E1A"/>
    <w:rsid w:val="6AF723A7"/>
    <w:rsid w:val="6AFB3C45"/>
    <w:rsid w:val="6B040620"/>
    <w:rsid w:val="6B317667"/>
    <w:rsid w:val="6B594E10"/>
    <w:rsid w:val="6B6F1F3D"/>
    <w:rsid w:val="6B8D0FB9"/>
    <w:rsid w:val="6B8F0831"/>
    <w:rsid w:val="6BAE6F0A"/>
    <w:rsid w:val="6BC27E91"/>
    <w:rsid w:val="6BC95AF1"/>
    <w:rsid w:val="6BE75F78"/>
    <w:rsid w:val="6C292A34"/>
    <w:rsid w:val="6C407983"/>
    <w:rsid w:val="6C5775A1"/>
    <w:rsid w:val="6C691BD8"/>
    <w:rsid w:val="6CCB7647"/>
    <w:rsid w:val="6CD04C5E"/>
    <w:rsid w:val="6CE150BD"/>
    <w:rsid w:val="6CF070AE"/>
    <w:rsid w:val="6D21195D"/>
    <w:rsid w:val="6D322BCB"/>
    <w:rsid w:val="6D877A12"/>
    <w:rsid w:val="6D8C5028"/>
    <w:rsid w:val="6D8E6FF3"/>
    <w:rsid w:val="6D9739CD"/>
    <w:rsid w:val="6DB225B5"/>
    <w:rsid w:val="6DBB590E"/>
    <w:rsid w:val="6DBB76BC"/>
    <w:rsid w:val="6DC9002B"/>
    <w:rsid w:val="6DF130DE"/>
    <w:rsid w:val="6E201C15"/>
    <w:rsid w:val="6E7C32EF"/>
    <w:rsid w:val="6EAE5472"/>
    <w:rsid w:val="6EB32A89"/>
    <w:rsid w:val="6EE3511C"/>
    <w:rsid w:val="6EE90259"/>
    <w:rsid w:val="6F045092"/>
    <w:rsid w:val="6F060E0B"/>
    <w:rsid w:val="6F0E6317"/>
    <w:rsid w:val="6F433E0D"/>
    <w:rsid w:val="6F653D83"/>
    <w:rsid w:val="6F71097A"/>
    <w:rsid w:val="6F814935"/>
    <w:rsid w:val="6FA80114"/>
    <w:rsid w:val="6FC3459F"/>
    <w:rsid w:val="6FD44A65"/>
    <w:rsid w:val="6FDE3B35"/>
    <w:rsid w:val="700370F8"/>
    <w:rsid w:val="700B25F8"/>
    <w:rsid w:val="701337DF"/>
    <w:rsid w:val="70226ED5"/>
    <w:rsid w:val="703674CE"/>
    <w:rsid w:val="703A5210"/>
    <w:rsid w:val="7047792D"/>
    <w:rsid w:val="706A53C9"/>
    <w:rsid w:val="70871AD7"/>
    <w:rsid w:val="708D5116"/>
    <w:rsid w:val="70980188"/>
    <w:rsid w:val="70AB7EBB"/>
    <w:rsid w:val="70E84C6C"/>
    <w:rsid w:val="710B44B6"/>
    <w:rsid w:val="712832BA"/>
    <w:rsid w:val="712F289B"/>
    <w:rsid w:val="71526589"/>
    <w:rsid w:val="71860E59"/>
    <w:rsid w:val="71881FAB"/>
    <w:rsid w:val="718F158B"/>
    <w:rsid w:val="71A806B1"/>
    <w:rsid w:val="71BA6482"/>
    <w:rsid w:val="71C11019"/>
    <w:rsid w:val="71C56D5B"/>
    <w:rsid w:val="71CD79BE"/>
    <w:rsid w:val="722040DE"/>
    <w:rsid w:val="722F68CA"/>
    <w:rsid w:val="724203AC"/>
    <w:rsid w:val="7281739D"/>
    <w:rsid w:val="728564EA"/>
    <w:rsid w:val="728A3B01"/>
    <w:rsid w:val="72DF209E"/>
    <w:rsid w:val="73223D39"/>
    <w:rsid w:val="732D105C"/>
    <w:rsid w:val="735465E8"/>
    <w:rsid w:val="739E7864"/>
    <w:rsid w:val="73B70925"/>
    <w:rsid w:val="73E3171A"/>
    <w:rsid w:val="74A0760B"/>
    <w:rsid w:val="74B21B73"/>
    <w:rsid w:val="74E67714"/>
    <w:rsid w:val="74EC45FF"/>
    <w:rsid w:val="7524023C"/>
    <w:rsid w:val="75401F0B"/>
    <w:rsid w:val="755521A4"/>
    <w:rsid w:val="7590142E"/>
    <w:rsid w:val="75C17839"/>
    <w:rsid w:val="75C830D4"/>
    <w:rsid w:val="75CB4B5C"/>
    <w:rsid w:val="75D51537"/>
    <w:rsid w:val="75F93477"/>
    <w:rsid w:val="761B163F"/>
    <w:rsid w:val="76B949B4"/>
    <w:rsid w:val="76BD26F7"/>
    <w:rsid w:val="76BD6253"/>
    <w:rsid w:val="770519A8"/>
    <w:rsid w:val="7709593C"/>
    <w:rsid w:val="77305B08"/>
    <w:rsid w:val="775766A7"/>
    <w:rsid w:val="775D7A36"/>
    <w:rsid w:val="77925931"/>
    <w:rsid w:val="77AD276B"/>
    <w:rsid w:val="78412EB3"/>
    <w:rsid w:val="784D3606"/>
    <w:rsid w:val="784F55D0"/>
    <w:rsid w:val="78570A39"/>
    <w:rsid w:val="78BB2C66"/>
    <w:rsid w:val="79110AD8"/>
    <w:rsid w:val="79393B8B"/>
    <w:rsid w:val="794C38BE"/>
    <w:rsid w:val="794C5FB4"/>
    <w:rsid w:val="797C23F5"/>
    <w:rsid w:val="799F60E4"/>
    <w:rsid w:val="79A74F98"/>
    <w:rsid w:val="79D61C91"/>
    <w:rsid w:val="79DF2984"/>
    <w:rsid w:val="79E955B1"/>
    <w:rsid w:val="7A7157F3"/>
    <w:rsid w:val="7A7C01D3"/>
    <w:rsid w:val="7A9419C0"/>
    <w:rsid w:val="7A9C0875"/>
    <w:rsid w:val="7ABC4A73"/>
    <w:rsid w:val="7ACD0A2E"/>
    <w:rsid w:val="7ACD6C80"/>
    <w:rsid w:val="7AD07CBE"/>
    <w:rsid w:val="7AE91D0C"/>
    <w:rsid w:val="7B2965AD"/>
    <w:rsid w:val="7B2B62C3"/>
    <w:rsid w:val="7B4E7DC1"/>
    <w:rsid w:val="7B564EC8"/>
    <w:rsid w:val="7B6B0973"/>
    <w:rsid w:val="7B722498"/>
    <w:rsid w:val="7B784E3E"/>
    <w:rsid w:val="7BEE3352"/>
    <w:rsid w:val="7BF87D2D"/>
    <w:rsid w:val="7CC06A9D"/>
    <w:rsid w:val="7CDE5175"/>
    <w:rsid w:val="7D0F17D2"/>
    <w:rsid w:val="7D0F3580"/>
    <w:rsid w:val="7D2D01BE"/>
    <w:rsid w:val="7D613CA3"/>
    <w:rsid w:val="7D63567A"/>
    <w:rsid w:val="7D782ED3"/>
    <w:rsid w:val="7D893333"/>
    <w:rsid w:val="7D9D0B8C"/>
    <w:rsid w:val="7DB26E48"/>
    <w:rsid w:val="7DDA5F78"/>
    <w:rsid w:val="7E1C41A7"/>
    <w:rsid w:val="7E437985"/>
    <w:rsid w:val="7E4436FD"/>
    <w:rsid w:val="7E9B156F"/>
    <w:rsid w:val="7EC34622"/>
    <w:rsid w:val="7ED54355"/>
    <w:rsid w:val="7EEF18BB"/>
    <w:rsid w:val="7EF23159"/>
    <w:rsid w:val="7F35742E"/>
    <w:rsid w:val="7F437511"/>
    <w:rsid w:val="7F4A4D43"/>
    <w:rsid w:val="7F6C6910"/>
    <w:rsid w:val="7F6E0A32"/>
    <w:rsid w:val="7F7655A3"/>
    <w:rsid w:val="7F781AAD"/>
    <w:rsid w:val="7FC468A4"/>
    <w:rsid w:val="7FC47302"/>
    <w:rsid w:val="7FFD591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14:defaultImageDpi w14:val="32767"/>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character" w:styleId="11">
    <w:name w:val="Emphasis"/>
    <w:basedOn w:val="9"/>
    <w:qFormat/>
    <w:uiPriority w:val="0"/>
    <w:rPr>
      <w:i/>
    </w:rPr>
  </w:style>
  <w:style w:type="character" w:styleId="12">
    <w:name w:val="HTML Code"/>
    <w:basedOn w:val="9"/>
    <w:qFormat/>
    <w:uiPriority w:val="0"/>
    <w:rPr>
      <w:rFonts w:ascii="Courier New" w:hAnsi="Courier New"/>
      <w:sz w:val="20"/>
    </w:rPr>
  </w:style>
  <w:style w:type="paragraph" w:customStyle="1" w:styleId="13">
    <w:name w:val="Bibliography"/>
    <w:basedOn w:val="1"/>
    <w:qFormat/>
    <w:uiPriority w:val="0"/>
    <w:pPr>
      <w:spacing w:after="240" w:line="240" w:lineRule="auto"/>
      <w:ind w:left="0" w:firstLine="0"/>
    </w:p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image" Target="media/image11.jpeg"/><Relationship Id="rId14" Type="http://schemas.openxmlformats.org/officeDocument/2006/relationships/image" Target="media/image10.jpeg"/><Relationship Id="rId13" Type="http://schemas.openxmlformats.org/officeDocument/2006/relationships/image" Target="media/image9.jpeg"/><Relationship Id="rId12" Type="http://schemas.openxmlformats.org/officeDocument/2006/relationships/image" Target="media/image8.jpeg"/><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5419</Words>
  <Characters>33677</Characters>
  <Lines>0</Lines>
  <Paragraphs>0</Paragraphs>
  <TotalTime>22</TotalTime>
  <ScaleCrop>false</ScaleCrop>
  <LinksUpToDate>false</LinksUpToDate>
  <CharactersWithSpaces>38723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2026-03-21T07:42:00Z</dcterms:created>
  <dc:creator>胡家贺</dc:creator>
  <cp:lastModifiedBy>胡家贺</cp:lastModifiedBy>
  <dcterms:modified xsi:type="dcterms:W3CDTF">2026-07-16T17:13:36Z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6E30EE1454DA418B82DEF4FD4CD5E2D1_11</vt:lpwstr>
  </property>
  <property fmtid="{D5CDD505-2E9C-101B-9397-08002B2CF9AE}" pid="4" name="KSOTemplateDocerSaveRecord">
    <vt:lpwstr>eyJoZGlkIjoiMzEwNTM5NzYwMDRjMzkwZTVkZjY2ODkwMGIxNGU0OTUiLCJ1c2VySWQiOiI2ODQxMDIwNzYifQ==</vt:lpwstr>
  </property>
  <property fmtid="{D5CDD505-2E9C-101B-9397-08002B2CF9AE}" pid="5" name="ZOTERO_PREF_1">
    <vt:lpwstr>&lt;data data-version="3" zotero-version="9.0.5"&gt;&lt;session id="WRqjq7df"/&gt;&lt;style id="http://www.zotero.org/styles/lipids-in-health-and-disease" hasBibliography="1" bibliographyStyleHasBeenSet="1"/&gt;&lt;prefs&gt;&lt;pref name="fieldType" value="Field"/&gt;&lt;/prefs&gt;&lt;/data&gt;</vt:lpwstr>
  </property>
</Properties>
</file>