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cs="Times New Roman" w:ascii="Times New Roman" w:hAnsi="Times New Roman"/>
          <w:b/>
          <w:bCs/>
          <w:sz w:val="22"/>
        </w:rPr>
        <w:t>Supplementary Appendix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cs="Times New Roman" w:ascii="Times New Roman" w:hAnsi="Times New Roman"/>
          <w:b/>
          <w:bCs/>
          <w:sz w:val="22"/>
        </w:rPr>
        <w:t>Table S1. Case-level availability of Boston Heart sterol balance and genotype data</w:t>
      </w:r>
    </w:p>
    <w:tbl>
      <w:tblPr>
        <w:tblStyle w:val="Tablaconcuadrcula"/>
        <w:tblW w:w="955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358"/>
        <w:gridCol w:w="1549"/>
        <w:gridCol w:w="1526"/>
        <w:gridCol w:w="5116"/>
      </w:tblGrid>
      <w:tr>
        <w:trPr/>
        <w:tc>
          <w:tcPr>
            <w:tcW w:w="1358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Case</w:t>
            </w:r>
          </w:p>
        </w:tc>
        <w:tc>
          <w:tcPr>
            <w:tcW w:w="154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Boston Heart sterol balance</w:t>
            </w:r>
          </w:p>
        </w:tc>
        <w:tc>
          <w:tcPr>
            <w:tcW w:w="152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Genotype panel</w:t>
            </w:r>
          </w:p>
        </w:tc>
        <w:tc>
          <w:tcPr>
            <w:tcW w:w="511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Sitosterolemia-related finding summary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1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 sitosterolemia-associated variant identified in assessed loci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2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Not 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Heterozygous ABCG8 rs373610655; no biallelic sitosterolemia-associated variation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3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 sitosterolemia-associated variant identified in assessed loci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4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Not 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 sitosterolemia-associated variant identified in assessed loci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5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Not 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 genotype panel available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6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 sitosterolemia-associated variant identified in assessed loci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7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Not 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Not 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 genotype panel available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8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Not 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 sitosterolemia-associated variant identified in assessed loci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9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 sitosterolemia-associated variant identified in assessed loci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10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 sitosterolemia-associated variant identified in assessed loci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11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Not 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Not 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 genotype panel available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12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 sitosterolemia-associated variant identified in assessed loci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13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 sitosterolemia-associated variant identified in assessed loci</w:t>
            </w:r>
          </w:p>
        </w:tc>
      </w:tr>
      <w:tr>
        <w:trPr/>
        <w:tc>
          <w:tcPr>
            <w:tcW w:w="13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14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Not available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Not available</w:t>
            </w:r>
          </w:p>
        </w:tc>
        <w:tc>
          <w:tcPr>
            <w:tcW w:w="51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 genotype panel available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i/>
          <w:i/>
          <w:iCs/>
          <w:sz w:val="22"/>
        </w:rPr>
      </w:pPr>
      <w:r>
        <w:rPr>
          <w:rFonts w:cs="Times New Roman" w:ascii="Times New Roman" w:hAnsi="Times New Roman"/>
          <w:i/>
          <w:iCs/>
          <w:sz w:val="22"/>
        </w:rPr>
        <w:t>Abbreviations. Boston Heart = Boston Heart Cholesterol Balance testing.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cs="Times New Roman" w:ascii="Times New Roman" w:hAnsi="Times New Roman"/>
          <w:b/>
          <w:bCs/>
          <w:sz w:val="2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cs="Times New Roman" w:ascii="Times New Roman" w:hAnsi="Times New Roman"/>
          <w:b/>
          <w:bCs/>
          <w:sz w:val="22"/>
        </w:rPr>
        <w:t>Table S2. Sitosterolemia-relevant loci in the genotyped subset (n = 10)</w:t>
      </w:r>
    </w:p>
    <w:tbl>
      <w:tblPr>
        <w:tblStyle w:val="Tablaconcuadrcula"/>
        <w:tblW w:w="1044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407"/>
        <w:gridCol w:w="1056"/>
        <w:gridCol w:w="2426"/>
        <w:gridCol w:w="2462"/>
        <w:gridCol w:w="1422"/>
        <w:gridCol w:w="1666"/>
      </w:tblGrid>
      <w:tr>
        <w:trPr/>
        <w:tc>
          <w:tcPr>
            <w:tcW w:w="140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Variant</w:t>
            </w:r>
          </w:p>
        </w:tc>
        <w:tc>
          <w:tcPr>
            <w:tcW w:w="105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Gene</w:t>
            </w:r>
          </w:p>
        </w:tc>
        <w:tc>
          <w:tcPr>
            <w:tcW w:w="242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Phenotype annotation in source workbook</w:t>
            </w:r>
          </w:p>
        </w:tc>
        <w:tc>
          <w:tcPr>
            <w:tcW w:w="2462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Ref/Ref</w:t>
            </w:r>
          </w:p>
        </w:tc>
        <w:tc>
          <w:tcPr>
            <w:tcW w:w="1422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Ref/Risk</w:t>
            </w:r>
          </w:p>
        </w:tc>
        <w:tc>
          <w:tcPr>
            <w:tcW w:w="166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Risk/Risk / not reported</w:t>
            </w:r>
          </w:p>
        </w:tc>
      </w:tr>
      <w:tr>
        <w:trPr/>
        <w:tc>
          <w:tcPr>
            <w:tcW w:w="140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rs2298813</w:t>
            </w:r>
          </w:p>
        </w:tc>
        <w:tc>
          <w:tcPr>
            <w:tcW w:w="10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ABCG5</w:t>
            </w:r>
          </w:p>
        </w:tc>
        <w:tc>
          <w:tcPr>
            <w:tcW w:w="24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Sitosterolemia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lang w:val="fr-CH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fr-CH" w:eastAsia="en-US" w:bidi="ar-SA"/>
              </w:rPr>
              <w:t>10 (Patient 10, Patient 4, Patient 3, Patient 12, Patient 6, Patient 9, Patient 8, Patient 1, Patient 13, Patient 2)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0</w:t>
            </w:r>
          </w:p>
        </w:tc>
        <w:tc>
          <w:tcPr>
            <w:tcW w:w="16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0</w:t>
            </w:r>
          </w:p>
        </w:tc>
      </w:tr>
      <w:tr>
        <w:trPr/>
        <w:tc>
          <w:tcPr>
            <w:tcW w:w="140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rs373610655</w:t>
            </w:r>
          </w:p>
        </w:tc>
        <w:tc>
          <w:tcPr>
            <w:tcW w:w="10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ABCG8</w:t>
            </w:r>
          </w:p>
        </w:tc>
        <w:tc>
          <w:tcPr>
            <w:tcW w:w="24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Sitosterolemia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0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 (Patient 2)</w:t>
            </w:r>
          </w:p>
        </w:tc>
        <w:tc>
          <w:tcPr>
            <w:tcW w:w="16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0 risk/risk; 9 not reported</w:t>
            </w:r>
          </w:p>
        </w:tc>
      </w:tr>
      <w:tr>
        <w:trPr/>
        <w:tc>
          <w:tcPr>
            <w:tcW w:w="140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rs11887534</w:t>
            </w:r>
          </w:p>
        </w:tc>
        <w:tc>
          <w:tcPr>
            <w:tcW w:w="10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ABCG8</w:t>
            </w:r>
          </w:p>
        </w:tc>
        <w:tc>
          <w:tcPr>
            <w:tcW w:w="24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D19H; CAD, gallstones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lang w:val="fr-CH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fr-CH" w:eastAsia="en-US" w:bidi="ar-SA"/>
              </w:rPr>
              <w:t>9 (Patient 10, Patient 4, Patient 3, Patient 12, Patient 6, Patient 9, Patient 8, Patient 13, Patient 2)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 (Patient 1)</w:t>
            </w:r>
          </w:p>
        </w:tc>
        <w:tc>
          <w:tcPr>
            <w:tcW w:w="16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0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i/>
          <w:i/>
          <w:iCs/>
          <w:sz w:val="22"/>
        </w:rPr>
      </w:pPr>
      <w:r>
        <w:rPr>
          <w:rFonts w:cs="Times New Roman" w:ascii="Times New Roman" w:hAnsi="Times New Roman"/>
          <w:i/>
          <w:iCs/>
          <w:sz w:val="22"/>
        </w:rPr>
        <w:t>Interpretive note. Across the 10 participants with available genotype data, no biallelic sitosterolemia-associated variation was identified in the assessed loci. One participant (Patient 2) carried a heterozygous ABCG8 rs373610655 variant annotated as sitosterolemia-associated in the source workbook. ABCG5 rs2298813 was reference homozygous in all 10 genotyped participants.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iCs/>
          <w:sz w:val="22"/>
        </w:rPr>
      </w:pPr>
      <w:r>
        <w:rPr>
          <w:rFonts w:cs="Times New Roman" w:ascii="Times New Roman" w:hAnsi="Times New Roman"/>
          <w:i/>
          <w:iCs/>
          <w:sz w:val="2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cs="Times New Roman" w:ascii="Times New Roman" w:hAnsi="Times New Roman"/>
          <w:b/>
          <w:bCs/>
          <w:sz w:val="22"/>
        </w:rPr>
        <w:t>Table S3. Summary counts for subset data availability</w:t>
      </w:r>
    </w:p>
    <w:tbl>
      <w:tblPr>
        <w:tblStyle w:val="Tablaconcuadrcula"/>
        <w:tblW w:w="1044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572"/>
        <w:gridCol w:w="1898"/>
        <w:gridCol w:w="4970"/>
      </w:tblGrid>
      <w:tr>
        <w:trPr/>
        <w:tc>
          <w:tcPr>
            <w:tcW w:w="3572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Data element</w:t>
            </w:r>
          </w:p>
        </w:tc>
        <w:tc>
          <w:tcPr>
            <w:tcW w:w="1898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Available / total</w:t>
            </w:r>
          </w:p>
        </w:tc>
        <w:tc>
          <w:tcPr>
            <w:tcW w:w="4970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Comment</w:t>
            </w:r>
          </w:p>
        </w:tc>
      </w:tr>
      <w:tr>
        <w:trPr/>
        <w:tc>
          <w:tcPr>
            <w:tcW w:w="357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Boston Heart Sterol Balance Data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8 / 14</w:t>
            </w:r>
          </w:p>
        </w:tc>
        <w:tc>
          <w:tcPr>
            <w:tcW w:w="497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Availability/date annotations available in source note document</w:t>
            </w:r>
          </w:p>
        </w:tc>
      </w:tr>
      <w:tr>
        <w:trPr/>
        <w:tc>
          <w:tcPr>
            <w:tcW w:w="357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Genotype panel data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10 / 14</w:t>
            </w:r>
          </w:p>
        </w:tc>
        <w:tc>
          <w:tcPr>
            <w:tcW w:w="497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GBinsight Dyslipidemia and Patient ASCVD Comprehensive Panel</w:t>
            </w:r>
          </w:p>
        </w:tc>
      </w:tr>
      <w:tr>
        <w:trPr/>
        <w:tc>
          <w:tcPr>
            <w:tcW w:w="357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Participants with any sitosterolemia-associated heterozygous variant in assessed loci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 / 10 genotyped</w:t>
            </w:r>
          </w:p>
        </w:tc>
        <w:tc>
          <w:tcPr>
            <w:tcW w:w="497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Patient 2: ABCG8 rs373610655</w:t>
            </w:r>
          </w:p>
        </w:tc>
      </w:tr>
      <w:tr>
        <w:trPr/>
        <w:tc>
          <w:tcPr>
            <w:tcW w:w="357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Participants with biallelic sitosterolemia-associated variation in assessed loci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0 / 10 genotyped</w:t>
            </w:r>
          </w:p>
        </w:tc>
        <w:tc>
          <w:tcPr>
            <w:tcW w:w="497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None identified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Table S4. Pre and Post Data Following Ezetimibe Therapy for Hyperlipidemia (N=14)</w:t>
      </w:r>
    </w:p>
    <w:tbl>
      <w:tblPr>
        <w:tblStyle w:val="Tablaconcuadrcula"/>
        <w:tblW w:w="1008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1" w:lastRow="0" w:firstColumn="0" w:lastColumn="0" w:noHBand="1" w:val="0600"/>
      </w:tblPr>
      <w:tblGrid>
        <w:gridCol w:w="1644"/>
        <w:gridCol w:w="658"/>
        <w:gridCol w:w="1295"/>
        <w:gridCol w:w="1296"/>
        <w:gridCol w:w="1298"/>
        <w:gridCol w:w="1296"/>
        <w:gridCol w:w="1295"/>
        <w:gridCol w:w="1296"/>
      </w:tblGrid>
      <w:tr>
        <w:trPr>
          <w:trHeight w:val="995" w:hRule="atLeast"/>
        </w:trPr>
        <w:tc>
          <w:tcPr>
            <w:tcW w:w="1644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Marker</w:t>
            </w:r>
          </w:p>
        </w:tc>
        <w:tc>
          <w:tcPr>
            <w:tcW w:w="658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2"/>
                <w:szCs w:val="22"/>
                <w:lang w:val="en-US" w:eastAsia="en-US" w:bidi="ar-SA"/>
              </w:rPr>
              <w:t>N</w:t>
            </w:r>
          </w:p>
        </w:tc>
        <w:tc>
          <w:tcPr>
            <w:tcW w:w="12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2"/>
                <w:szCs w:val="22"/>
                <w:lang w:val="en-US" w:eastAsia="en-US" w:bidi="ar-SA"/>
              </w:rPr>
              <w:t>Before Mean ± SD</w:t>
            </w:r>
          </w:p>
        </w:tc>
        <w:tc>
          <w:tcPr>
            <w:tcW w:w="129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2"/>
                <w:szCs w:val="22"/>
                <w:lang w:val="en-US" w:eastAsia="en-US" w:bidi="ar-SA"/>
              </w:rPr>
              <w:t>Before Median [IQR]</w:t>
            </w:r>
          </w:p>
        </w:tc>
        <w:tc>
          <w:tcPr>
            <w:tcW w:w="1298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2"/>
                <w:szCs w:val="22"/>
                <w:lang w:val="en-US" w:eastAsia="en-US" w:bidi="ar-SA"/>
              </w:rPr>
              <w:t>After Mean ± SD</w:t>
            </w:r>
          </w:p>
        </w:tc>
        <w:tc>
          <w:tcPr>
            <w:tcW w:w="129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2"/>
                <w:szCs w:val="22"/>
                <w:lang w:val="en-US" w:eastAsia="en-US" w:bidi="ar-SA"/>
              </w:rPr>
              <w:t>After Median [IQR]</w:t>
            </w:r>
          </w:p>
        </w:tc>
        <w:tc>
          <w:tcPr>
            <w:tcW w:w="12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2"/>
                <w:szCs w:val="22"/>
                <w:lang w:val="en-US" w:eastAsia="en-US" w:bidi="ar-SA"/>
              </w:rPr>
              <w:t>Paired Change Median [IQR]</w:t>
            </w:r>
          </w:p>
        </w:tc>
        <w:tc>
          <w:tcPr>
            <w:tcW w:w="129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2"/>
                <w:szCs w:val="22"/>
                <w:lang w:val="en-US" w:eastAsia="en-US" w:bidi="ar-SA"/>
              </w:rPr>
              <w:t>Paired % Change Median [IQR]</w:t>
            </w:r>
          </w:p>
        </w:tc>
      </w:tr>
      <w:tr>
        <w:trPr>
          <w:trHeight w:val="593" w:hRule="atLeast"/>
        </w:trPr>
        <w:tc>
          <w:tcPr>
            <w:tcW w:w="16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TC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14</w:t>
            </w:r>
          </w:p>
        </w:tc>
        <w:tc>
          <w:tcPr>
            <w:tcW w:w="12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348.6 ± 104.1</w:t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335.0 [259.5–451.5]</w:t>
            </w:r>
          </w:p>
        </w:tc>
        <w:tc>
          <w:tcPr>
            <w:tcW w:w="12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211.6 ± 60.5</w:t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200.0 [189.8–257.8]</w:t>
            </w:r>
          </w:p>
        </w:tc>
        <w:tc>
          <w:tcPr>
            <w:tcW w:w="12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-125.0 [-184.8 to -79.2]</w:t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-38.5% [-49.0 to -28.0]</w:t>
            </w:r>
          </w:p>
        </w:tc>
      </w:tr>
      <w:tr>
        <w:trPr>
          <w:trHeight w:val="593" w:hRule="atLeast"/>
        </w:trPr>
        <w:tc>
          <w:tcPr>
            <w:tcW w:w="16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HDL-C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14</w:t>
            </w:r>
          </w:p>
        </w:tc>
        <w:tc>
          <w:tcPr>
            <w:tcW w:w="12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71.1 ± 15.9</w:t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72.5 [55.5–83.0]</w:t>
            </w:r>
          </w:p>
        </w:tc>
        <w:tc>
          <w:tcPr>
            <w:tcW w:w="12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73.6 ± 23.0</w:t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69.0 [58.0–86.5]</w:t>
            </w:r>
          </w:p>
        </w:tc>
        <w:tc>
          <w:tcPr>
            <w:tcW w:w="12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-1.0 [-6.5 to 6.5]</w:t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-1.5% [-9.6 to 8.5]</w:t>
            </w:r>
          </w:p>
        </w:tc>
      </w:tr>
      <w:tr>
        <w:trPr>
          <w:trHeight w:val="593" w:hRule="atLeast"/>
        </w:trPr>
        <w:tc>
          <w:tcPr>
            <w:tcW w:w="16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LDL-C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14</w:t>
            </w:r>
          </w:p>
        </w:tc>
        <w:tc>
          <w:tcPr>
            <w:tcW w:w="12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263.4 ± 97.8</w:t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254.0 [175.5–341.2]</w:t>
            </w:r>
          </w:p>
        </w:tc>
        <w:tc>
          <w:tcPr>
            <w:tcW w:w="12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125.1 ± 48.6</w:t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127.0 [107.0–159.0]</w:t>
            </w:r>
          </w:p>
        </w:tc>
        <w:tc>
          <w:tcPr>
            <w:tcW w:w="12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-125.5 [-177.2 to -94.2]</w:t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-53.2% [-60.8 to -42.1]</w:t>
            </w:r>
          </w:p>
        </w:tc>
      </w:tr>
      <w:tr>
        <w:trPr>
          <w:trHeight w:val="593" w:hRule="atLeast"/>
        </w:trPr>
        <w:tc>
          <w:tcPr>
            <w:tcW w:w="16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en-US" w:eastAsia="en-US" w:bidi="ar-SA"/>
              </w:rPr>
              <w:t>Triglycerides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14</w:t>
            </w:r>
          </w:p>
        </w:tc>
        <w:tc>
          <w:tcPr>
            <w:tcW w:w="12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81.6 ± 22.4</w:t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81.0 [63.0–96.2]</w:t>
            </w:r>
          </w:p>
        </w:tc>
        <w:tc>
          <w:tcPr>
            <w:tcW w:w="12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65.5 ± 20.0</w:t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62.0 [56.0–69.0]</w:t>
            </w:r>
          </w:p>
        </w:tc>
        <w:tc>
          <w:tcPr>
            <w:tcW w:w="12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-15.0 [-25.0 to -3.2]</w:t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2"/>
                <w:szCs w:val="20"/>
                <w:lang w:val="en-US" w:eastAsia="en-US" w:bidi="ar-SA"/>
              </w:rPr>
              <w:t>-23.0% [-28.2 to -5.6]</w:t>
            </w:r>
          </w:p>
        </w:tc>
      </w:tr>
    </w:tbl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sectPr>
      <w:type w:val="nextPage"/>
      <w:pgSz w:w="12240" w:h="15840"/>
      <w:pgMar w:left="1008" w:right="1008" w:gutter="0" w:header="0" w:top="1008" w:footer="0" w:bottom="8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Arial" w:hAnsi="Arial" w:eastAsia="Arial" w:cs="" w:cstheme="minorBidi"/>
      <w:color w:val="auto"/>
      <w:kern w:val="0"/>
      <w:sz w:val="20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Ttulo1C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Ttulo2C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Ttulo3C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Cs w:val="20"/>
    </w:rPr>
  </w:style>
  <w:style w:type="paragraph" w:styleId="Heading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Header"/>
    <w:uiPriority w:val="99"/>
    <w:qFormat/>
    <w:rsid w:val="00e618bf"/>
    <w:rPr/>
  </w:style>
  <w:style w:type="character" w:styleId="PiedepginaCar" w:customStyle="1">
    <w:name w:val="Pie de página Car"/>
    <w:basedOn w:val="DefaultParagraphFont"/>
    <w:link w:val="Footer"/>
    <w:uiPriority w:val="99"/>
    <w:qFormat/>
    <w:rsid w:val="00e618bf"/>
    <w:rPr/>
  </w:style>
  <w:style w:type="character" w:styleId="Ttulo1Car" w:customStyle="1">
    <w:name w:val="Título 1 C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Ttulo2Car" w:customStyle="1">
    <w:name w:val="Título 2 C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Ttulo3Car" w:customStyle="1">
    <w:name w:val="Título 3 C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tuloCar" w:customStyle="1">
    <w:name w:val="Título C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tuloCar" w:customStyle="1">
    <w:name w:val="Subtítulo C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TextoindependienteCar" w:customStyle="1">
    <w:name w:val="Texto independiente Car"/>
    <w:basedOn w:val="DefaultParagraphFont"/>
    <w:uiPriority w:val="99"/>
    <w:qFormat/>
    <w:rsid w:val="00aa1d8d"/>
    <w:rPr/>
  </w:style>
  <w:style w:type="character" w:styleId="Textoindependiente2Car" w:customStyle="1">
    <w:name w:val="Texto independiente 2 Car"/>
    <w:basedOn w:val="DefaultParagraphFont"/>
    <w:link w:val="BodyText2"/>
    <w:uiPriority w:val="99"/>
    <w:qFormat/>
    <w:rsid w:val="00aa1d8d"/>
    <w:rPr/>
  </w:style>
  <w:style w:type="character" w:styleId="Textoindependiente3Car" w:customStyle="1">
    <w:name w:val="Texto independiente 3 C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xtomacroCar" w:customStyle="1">
    <w:name w:val="Texto macro C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CitaCar" w:customStyle="1">
    <w:name w:val="Cita C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Ttulo4Car" w:customStyle="1">
    <w:name w:val="Título 4 C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Ttulo5Car" w:customStyle="1">
    <w:name w:val="Título 5 C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Ttulo6Car" w:customStyle="1">
    <w:name w:val="Título 6 C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Ttulo7Car" w:customStyle="1">
    <w:name w:val="Título 7 C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Ttulo8Car" w:customStyle="1">
    <w:name w:val="Título 8 C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Ttulo9Car" w:customStyle="1">
    <w:name w:val="Título 9 C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CitadestacadaCar" w:customStyle="1">
    <w:name w:val="Cita destacada C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xtoindependienteC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tuloC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Textoindependiente2C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Textoindependiente3C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TextomacroC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itaC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LibreOffice/25.8.0.4$Windows_X86_64 LibreOffice_project/48f00303701489684e67c38c28aff00cd5929e67</Application>
  <AppVersion>15.0000</AppVersion>
  <Pages>3</Pages>
  <Words>520</Words>
  <Characters>3152</Characters>
  <CharactersWithSpaces>3518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2026-06-23T01:05:00Z</dcterms:created>
  <dc:creator>python-docx</dc:creator>
  <dc:description>generated by python-docx</dc:description>
  <dc:language>en-US</dc:language>
  <cp:lastModifiedBy/>
  <dcterms:modified xsi:type="dcterms:W3CDTF">2026-08-20T09:39:13Z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3368b1e6-57fb-4396-be67-35ed35ed00e3</vt:lpwstr>
  </property>
</Properties>
</file>