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W w:w="14235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32"/>
        <w:gridCol w:w="1317"/>
        <w:gridCol w:w="2277"/>
        <w:gridCol w:w="2277"/>
        <w:gridCol w:w="2277"/>
        <w:gridCol w:w="1377"/>
        <w:gridCol w:w="2278"/>
      </w:tblGrid>
      <w:tr w14:paraId="223983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14235" w:type="dxa"/>
            <w:gridSpan w:val="7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/>
            <w:noWrap/>
            <w:vAlign w:val="center"/>
          </w:tcPr>
          <w:p w14:paraId="7117CE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Table 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S3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 Association between the RCII and stroke incidence</w:t>
            </w:r>
          </w:p>
        </w:tc>
      </w:tr>
      <w:tr w14:paraId="475EB3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nil"/>
            </w:tcBorders>
            <w:shd w:val="clear"/>
            <w:noWrap/>
            <w:vAlign w:val="center"/>
          </w:tcPr>
          <w:p w14:paraId="549A36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 </w:t>
            </w:r>
            <w:r>
              <w:rPr>
                <w:rStyle w:val="4"/>
                <w:rFonts w:eastAsia="宋体"/>
                <w:bdr w:val="none" w:color="auto" w:sz="0" w:space="0"/>
                <w:lang w:val="en-US" w:eastAsia="zh-CN" w:bidi="ar"/>
              </w:rPr>
              <w:t>RCII</w:t>
            </w:r>
          </w:p>
        </w:tc>
        <w:tc>
          <w:tcPr>
            <w:tcW w:w="0" w:type="auto"/>
            <w:gridSpan w:val="5"/>
            <w:tcBorders>
              <w:top w:val="nil"/>
              <w:left w:val="nil"/>
              <w:bottom w:val="single" w:color="000000" w:sz="8" w:space="0"/>
              <w:right w:val="nil"/>
            </w:tcBorders>
            <w:shd w:val="clear"/>
            <w:noWrap/>
            <w:vAlign w:val="center"/>
          </w:tcPr>
          <w:p w14:paraId="4EDB8B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Quartiles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A7BFD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Continuous</w:t>
            </w:r>
          </w:p>
        </w:tc>
      </w:tr>
      <w:tr w14:paraId="6F20B0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nil"/>
            </w:tcBorders>
            <w:shd w:val="clear"/>
            <w:noWrap/>
            <w:vAlign w:val="center"/>
          </w:tcPr>
          <w:p w14:paraId="5FF52C02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nil"/>
            </w:tcBorders>
            <w:shd w:val="clear"/>
            <w:noWrap/>
            <w:vAlign w:val="center"/>
          </w:tcPr>
          <w:p w14:paraId="3C413A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Quartile1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nil"/>
            </w:tcBorders>
            <w:shd w:val="clear"/>
            <w:noWrap/>
            <w:vAlign w:val="center"/>
          </w:tcPr>
          <w:p w14:paraId="4708A7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Quartile2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nil"/>
            </w:tcBorders>
            <w:shd w:val="clear"/>
            <w:noWrap/>
            <w:vAlign w:val="center"/>
          </w:tcPr>
          <w:p w14:paraId="79AE4E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Quartile3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nil"/>
            </w:tcBorders>
            <w:shd w:val="clear"/>
            <w:noWrap/>
            <w:vAlign w:val="center"/>
          </w:tcPr>
          <w:p w14:paraId="3D30A1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Quartile4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nil"/>
            </w:tcBorders>
            <w:shd w:val="clear"/>
            <w:noWrap/>
            <w:vAlign w:val="center"/>
          </w:tcPr>
          <w:p w14:paraId="7DA819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P for trend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nil"/>
            </w:tcBorders>
            <w:shd w:val="clear"/>
            <w:noWrap/>
            <w:vAlign w:val="center"/>
          </w:tcPr>
          <w:p w14:paraId="009242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Per 1SD increase</w:t>
            </w:r>
          </w:p>
        </w:tc>
      </w:tr>
      <w:tr w14:paraId="590295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99C74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Crude,HR(95%CI)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C19AB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Reference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12BA0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1.262(0.978,1.628)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4348B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1.582(1.241,2.016)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F7DD6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2.035(1.613,2.568)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5A5A0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&lt;0.001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84A33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1.189(1.127,1.255)</w:t>
            </w:r>
          </w:p>
        </w:tc>
      </w:tr>
      <w:tr w14:paraId="358964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F4C8F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Model1,HR(95%CI)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AA3A1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Reference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61FE0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1.241(0.962,1.602)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BB77F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1.530(1.199,1.952)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E87C6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1.966(1.557,2.484)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83C4B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&lt;0.001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A8478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1.181(1.119,1.247)</w:t>
            </w:r>
          </w:p>
        </w:tc>
      </w:tr>
      <w:tr w14:paraId="785127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AD60B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Model2,HR(95%CI)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CB9EC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Reference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2B8A8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1.186(0.919,1.531)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4B595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1.335(1.045,1.706)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79906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1.698(1.341,2.148)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CA09B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&lt;0.001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94507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1.147(1.085,1.212)</w:t>
            </w:r>
          </w:p>
        </w:tc>
      </w:tr>
      <w:tr w14:paraId="5C7622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nil"/>
            </w:tcBorders>
            <w:shd w:val="clear"/>
            <w:noWrap/>
            <w:vAlign w:val="center"/>
          </w:tcPr>
          <w:p w14:paraId="29626F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Model3,HR(95%CI)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nil"/>
            </w:tcBorders>
            <w:shd w:val="clear"/>
            <w:noWrap/>
            <w:vAlign w:val="center"/>
          </w:tcPr>
          <w:p w14:paraId="5A60AF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Reference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nil"/>
            </w:tcBorders>
            <w:shd w:val="clear"/>
            <w:noWrap/>
            <w:vAlign w:val="center"/>
          </w:tcPr>
          <w:p w14:paraId="6055D9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1.1</w:t>
            </w:r>
            <w:r>
              <w:rPr>
                <w:rStyle w:val="4"/>
                <w:rFonts w:eastAsia="宋体"/>
                <w:bdr w:val="none" w:color="auto" w:sz="0" w:space="0"/>
                <w:lang w:val="en-US" w:eastAsia="zh-CN" w:bidi="ar"/>
              </w:rPr>
              <w:t>19(0.865,1.447)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nil"/>
            </w:tcBorders>
            <w:shd w:val="clear"/>
            <w:noWrap/>
            <w:vAlign w:val="center"/>
          </w:tcPr>
          <w:p w14:paraId="613548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1.170(0.909,1.506)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nil"/>
            </w:tcBorders>
            <w:shd w:val="clear"/>
            <w:noWrap/>
            <w:vAlign w:val="center"/>
          </w:tcPr>
          <w:p w14:paraId="67CFD5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1.3</w:t>
            </w:r>
            <w:r>
              <w:rPr>
                <w:rStyle w:val="4"/>
                <w:rFonts w:eastAsia="宋体"/>
                <w:bdr w:val="none" w:color="auto" w:sz="0" w:space="0"/>
                <w:lang w:val="en-US" w:eastAsia="zh-CN" w:bidi="ar"/>
              </w:rPr>
              <w:t>99(1.087,1.802)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nil"/>
            </w:tcBorders>
            <w:shd w:val="clear"/>
            <w:noWrap/>
            <w:vAlign w:val="center"/>
          </w:tcPr>
          <w:p w14:paraId="64081E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&lt;0.001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nil"/>
            </w:tcBorders>
            <w:shd w:val="clear"/>
            <w:noWrap/>
            <w:vAlign w:val="center"/>
          </w:tcPr>
          <w:p w14:paraId="398CC0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1.11</w:t>
            </w:r>
            <w:r>
              <w:rPr>
                <w:rStyle w:val="4"/>
                <w:rFonts w:eastAsia="宋体"/>
                <w:bdr w:val="none" w:color="auto" w:sz="0" w:space="0"/>
                <w:lang w:val="en-US" w:eastAsia="zh-CN" w:bidi="ar"/>
              </w:rPr>
              <w:t>3(1.048,1.182)</w:t>
            </w:r>
          </w:p>
        </w:tc>
      </w:tr>
    </w:tbl>
    <w:p w14:paraId="0BAE5C17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left"/>
        <w:textAlignment w:val="center"/>
        <w:rPr>
          <w:rFonts w:hint="default" w:ascii="Times New Roman" w:hAnsi="Times New Roman" w:eastAsia="宋体" w:cs="Times New Roman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</w:pPr>
      <w:r>
        <w:rPr>
          <w:rFonts w:hint="eastAsia" w:ascii="Times New Roman" w:hAnsi="Times New Roman" w:eastAsia="宋体" w:cs="Times New Roman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>Crude: unadjusted for any covariates;</w:t>
      </w:r>
    </w:p>
    <w:p w14:paraId="7C393A01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left"/>
        <w:textAlignment w:val="center"/>
        <w:rPr>
          <w:rFonts w:hint="eastAsia" w:ascii="Times New Roman" w:hAnsi="Times New Roman" w:eastAsia="宋体" w:cs="Times New Roman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</w:pPr>
      <w:r>
        <w:rPr>
          <w:rFonts w:hint="eastAsia" w:ascii="Times New Roman" w:hAnsi="Times New Roman" w:eastAsia="宋体" w:cs="Times New Roman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 xml:space="preserve">Model 1: adjusted for age, gender, smoking status, drinking status, residence, education level and marital status; </w:t>
      </w:r>
    </w:p>
    <w:p w14:paraId="7A40C430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left"/>
        <w:textAlignment w:val="center"/>
        <w:rPr>
          <w:rFonts w:hint="eastAsia" w:ascii="Times New Roman" w:hAnsi="Times New Roman" w:eastAsia="宋体" w:cs="Times New Roman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</w:pPr>
      <w:r>
        <w:rPr>
          <w:rFonts w:hint="eastAsia" w:ascii="Times New Roman" w:hAnsi="Times New Roman" w:eastAsia="宋体" w:cs="Times New Roman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>Model 2: adjusted for variables included in Model 1 and SBP, DBP, BMI.</w:t>
      </w:r>
    </w:p>
    <w:p w14:paraId="1B1367CA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left"/>
        <w:textAlignment w:val="center"/>
        <w:rPr>
          <w:rFonts w:hint="default" w:ascii="Times New Roman" w:hAnsi="Times New Roman" w:eastAsia="宋体" w:cs="Times New Roman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</w:pPr>
      <w:r>
        <w:rPr>
          <w:rFonts w:hint="eastAsia" w:ascii="Times New Roman" w:hAnsi="Times New Roman" w:eastAsia="宋体" w:cs="Times New Roman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>Model 3: adjusted for variables included in Model 2</w:t>
      </w:r>
      <w:bookmarkStart w:id="0" w:name="_GoBack"/>
      <w:bookmarkEnd w:id="0"/>
      <w:r>
        <w:rPr>
          <w:rFonts w:hint="eastAsia" w:ascii="Times New Roman" w:hAnsi="Times New Roman" w:eastAsia="宋体" w:cs="Times New Roman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 xml:space="preserve"> and SBP, DBP, BMI, hypertension, dyslipidemia, diabetes, 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 xml:space="preserve">coronary artery disease, </w:t>
      </w:r>
      <w:r>
        <w:rPr>
          <w:rFonts w:hint="eastAsia" w:ascii="Times New Roman" w:hAnsi="Times New Roman" w:eastAsia="宋体" w:cs="Times New Roman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>liver disease and kidney disease.</w:t>
      </w:r>
    </w:p>
    <w:p w14:paraId="11DA930A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left"/>
        <w:textAlignment w:val="center"/>
        <w:rPr>
          <w:rFonts w:hint="default"/>
          <w:sz w:val="24"/>
          <w:szCs w:val="24"/>
          <w:lang w:val="en-US"/>
        </w:rPr>
      </w:pPr>
      <w:r>
        <w:rPr>
          <w:rFonts w:hint="default" w:ascii="Times New Roman" w:hAnsi="Times New Roman" w:cs="Times New Roman" w:eastAsiaTheme="minorEastAsia"/>
          <w:sz w:val="24"/>
          <w:szCs w:val="24"/>
          <w:lang w:eastAsia="zh-CN"/>
        </w:rPr>
        <w:t>Abbreviations: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 xml:space="preserve"> </w:t>
      </w:r>
      <w:r>
        <w:rPr>
          <w:rFonts w:hint="eastAsia" w:ascii="Times New Roman" w:hAnsi="Times New Roman" w:eastAsia="宋体" w:cs="Times New Roman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 xml:space="preserve">BMI, body mass index; SBP, systolic blood pressure; DBP, diastolic blood pressure; RCII: </w:t>
      </w:r>
      <w:r>
        <w:rPr>
          <w:rFonts w:hint="eastAsia" w:ascii="Times New Roman" w:hAnsi="Times New Roman" w:eastAsia="宋体" w:cs="Times New Roman"/>
          <w:i w:val="0"/>
          <w:iCs w:val="0"/>
          <w:color w:val="000000"/>
          <w:kern w:val="0"/>
          <w:sz w:val="24"/>
          <w:szCs w:val="24"/>
          <w:highlight w:val="yellow"/>
          <w:u w:val="none"/>
          <w:lang w:val="en-US" w:eastAsia="zh-CN" w:bidi="ar"/>
        </w:rPr>
        <w:t>Remnant cholesterol inflammatory index</w:t>
      </w:r>
      <w:r>
        <w:rPr>
          <w:rFonts w:hint="eastAsia" w:ascii="Times New Roman" w:hAnsi="Times New Roman" w:eastAsia="宋体" w:cs="Times New Roman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>; HR, Hazard ratio; CI, confidence interval; SD, standard deviation.</w:t>
      </w:r>
    </w:p>
    <w:p w14:paraId="5B78E588">
      <w:pPr>
        <w:keepNext w:val="0"/>
        <w:keepLines w:val="0"/>
        <w:widowControl/>
        <w:suppressLineNumbers w:val="0"/>
        <w:jc w:val="left"/>
        <w:textAlignment w:val="center"/>
        <w:rPr>
          <w:rFonts w:hint="default" w:ascii="Times New Roman" w:hAnsi="Times New Roman" w:eastAsia="宋体" w:cs="Times New Roman"/>
          <w:i w:val="0"/>
          <w:iCs w:val="0"/>
          <w:color w:val="000000"/>
          <w:kern w:val="0"/>
          <w:sz w:val="22"/>
          <w:szCs w:val="22"/>
          <w:u w:val="none"/>
          <w:lang w:val="en-US" w:eastAsia="zh-CN" w:bidi="ar"/>
        </w:rPr>
      </w:pPr>
    </w:p>
    <w:p w14:paraId="0C8E2E6E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11E1FE4"/>
    <w:rsid w:val="04AC5B58"/>
    <w:rsid w:val="11BA18B5"/>
    <w:rsid w:val="1332191F"/>
    <w:rsid w:val="13F54E26"/>
    <w:rsid w:val="1864257A"/>
    <w:rsid w:val="1AA66E7A"/>
    <w:rsid w:val="26094761"/>
    <w:rsid w:val="29916F47"/>
    <w:rsid w:val="2B604E23"/>
    <w:rsid w:val="2E051CB2"/>
    <w:rsid w:val="30226B4B"/>
    <w:rsid w:val="34533777"/>
    <w:rsid w:val="3B7346FF"/>
    <w:rsid w:val="3FAF7CCF"/>
    <w:rsid w:val="42EB7271"/>
    <w:rsid w:val="451A3E3D"/>
    <w:rsid w:val="45BE6A85"/>
    <w:rsid w:val="46BD0F24"/>
    <w:rsid w:val="47E50732"/>
    <w:rsid w:val="5919648E"/>
    <w:rsid w:val="591E3AA4"/>
    <w:rsid w:val="65E816C2"/>
    <w:rsid w:val="6ABA73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font11"/>
    <w:basedOn w:val="3"/>
    <w:uiPriority w:val="0"/>
    <w:rPr>
      <w:rFonts w:hint="default" w:ascii="Times New Roman" w:hAnsi="Times New Roman" w:cs="Times New Roman"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2026-07-25T09:25:18Z</dcterms:created>
  <dc:creator>admin</dc:creator>
  <cp:lastModifiedBy>凌依落**历历</cp:lastModifiedBy>
  <dcterms:modified xsi:type="dcterms:W3CDTF">2026-07-25T13:48:36Z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KSOTemplateDocerSaveRecord">
    <vt:lpwstr>eyJoZGlkIjoiMTc3NzY5ZjNhOGZiZTc5NDE5YjIyN2QwYmNjZDI1Y2EiLCJ1c2VySWQiOiI1OTc3NjEzMDEifQ==</vt:lpwstr>
  </property>
  <property fmtid="{D5CDD505-2E9C-101B-9397-08002B2CF9AE}" pid="4" name="ICV">
    <vt:lpwstr>70EF22C8F4C34C7EA7161AFDCACAE7AD_12</vt:lpwstr>
  </property>
</Properties>
</file>