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7A55F">
      <w:pPr>
        <w:rPr>
          <w:rFonts w:hint="default" w:ascii="Arial" w:hAnsi="Arial" w:cs="Arial"/>
          <w:sz w:val="18"/>
          <w:szCs w:val="18"/>
        </w:rPr>
      </w:pPr>
    </w:p>
    <w:p w14:paraId="0A6103A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</w:rPr>
      </w:pPr>
      <w:r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  <w:t>Supplementary Table S1. Bootstrap internal validation results (RC quartile groups vs. Q1)</w:t>
      </w:r>
    </w:p>
    <w:tbl>
      <w:tblPr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6"/>
        <w:gridCol w:w="1341"/>
        <w:gridCol w:w="3394"/>
        <w:gridCol w:w="951"/>
        <w:gridCol w:w="1322"/>
      </w:tblGrid>
      <w:tr w14:paraId="698FC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278" w:type="pct"/>
            <w:tcBorders>
              <w:top w:val="nil"/>
            </w:tcBorders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DBC48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Model</w:t>
            </w:r>
          </w:p>
        </w:tc>
        <w:tc>
          <w:tcPr>
            <w:tcW w:w="712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6C6D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Group</w:t>
            </w:r>
          </w:p>
        </w:tc>
        <w:tc>
          <w:tcPr>
            <w:tcW w:w="1802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1DDD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Method</w:t>
            </w:r>
          </w:p>
        </w:tc>
        <w:tc>
          <w:tcPr>
            <w:tcW w:w="505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036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702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33EF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95% CI</w:t>
            </w:r>
          </w:p>
        </w:tc>
      </w:tr>
      <w:tr w14:paraId="7E958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7A9DD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1285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Q3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97C7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Conventional logistic regression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71C4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2.375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0A7D4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1.346–4.192</w:t>
            </w:r>
          </w:p>
        </w:tc>
      </w:tr>
      <w:tr w14:paraId="483B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CA2C6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771C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Q3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4CF3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Bootstrap (1,000 resamples)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662E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2.375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92AB3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1.324–4.305</w:t>
            </w:r>
          </w:p>
        </w:tc>
      </w:tr>
      <w:tr w14:paraId="69A22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63780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930B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Q4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8D41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Conventional logistic regression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53BF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3.463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D0DDD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1.979–6.059</w:t>
            </w:r>
          </w:p>
        </w:tc>
      </w:tr>
      <w:tr w14:paraId="187AA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BFB25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5A2F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Q4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A1B7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Bootstrap (1,000 resamples)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C3EA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3.463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60668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2.088–6.497</w:t>
            </w:r>
          </w:p>
        </w:tc>
      </w:tr>
      <w:tr w14:paraId="56EC9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C3DBA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7129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Q3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FEA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Conventional logistic regression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CDB9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  <w:lang w:val="en-US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1.865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B542E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1.094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–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3.185</w:t>
            </w:r>
          </w:p>
        </w:tc>
      </w:tr>
      <w:tr w14:paraId="04CD5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1BEBF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A28C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Q3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123D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Bootstrap (1,000 resamples)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3BAE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1.865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744896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1.087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–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3.213</w:t>
            </w:r>
          </w:p>
        </w:tc>
      </w:tr>
      <w:tr w14:paraId="4218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713DBC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11E9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Q4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1D89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Conventional logistic regression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CEEE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2.846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7211D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1.681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–</w:t>
            </w:r>
            <w:bookmarkStart w:id="0" w:name="_GoBack"/>
            <w:bookmarkEnd w:id="0"/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4.817</w:t>
            </w:r>
          </w:p>
        </w:tc>
      </w:tr>
      <w:tr w14:paraId="01E9B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78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6B2BF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71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CAA6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Q4 vs. Q1</w:t>
            </w:r>
          </w:p>
        </w:tc>
        <w:tc>
          <w:tcPr>
            <w:tcW w:w="1802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C0F9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Bootstrap (1,000 resamples)</w:t>
            </w:r>
          </w:p>
        </w:tc>
        <w:tc>
          <w:tcPr>
            <w:tcW w:w="50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5D89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2.846</w:t>
            </w:r>
          </w:p>
        </w:tc>
        <w:tc>
          <w:tcPr>
            <w:tcW w:w="702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5CAE52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1.675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–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4.9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</w:tr>
    </w:tbl>
    <w:p w14:paraId="7452E017"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Note: Bootstrap with random seed set, 1,000 resamples. Bootstrap 95% confidence intervals for OR were calculated using the percentile method. END, early neurological deterioration; OR, odds ratio; CI, confidence interval.</w:t>
      </w:r>
    </w:p>
    <w:p w14:paraId="6B6E9DF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</w:rPr>
      </w:pPr>
      <w:r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  <w:t>Supplementary Table S2. Model diagnostics for multivariable logistic regression models</w:t>
      </w:r>
    </w:p>
    <w:tbl>
      <w:tblPr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89"/>
        <w:gridCol w:w="2439"/>
        <w:gridCol w:w="3586"/>
      </w:tblGrid>
      <w:tr w14:paraId="461E4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tcBorders>
              <w:top w:val="nil"/>
            </w:tcBorders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8F34395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Indicator</w:t>
            </w:r>
          </w:p>
        </w:tc>
        <w:tc>
          <w:tcPr>
            <w:tcW w:w="1295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40A919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 model</w:t>
            </w:r>
          </w:p>
        </w:tc>
        <w:tc>
          <w:tcPr>
            <w:tcW w:w="1904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7F9C1E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 model</w:t>
            </w:r>
          </w:p>
        </w:tc>
      </w:tr>
      <w:tr w14:paraId="17339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F61B108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Number of events, n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D7502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0FFAA75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170</w:t>
            </w:r>
          </w:p>
        </w:tc>
      </w:tr>
      <w:tr w14:paraId="154BF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223E63F1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Number of covariates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620F31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066D172D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0953B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FB9D05C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EPV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E17B79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26.2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9B19478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28.3</w:t>
            </w:r>
          </w:p>
        </w:tc>
      </w:tr>
      <w:tr w14:paraId="4F9FF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9666FA9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Missing data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FB2FFF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None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62F0A5CF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None</w:t>
            </w:r>
          </w:p>
        </w:tc>
      </w:tr>
      <w:tr w14:paraId="4F76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46A9AE75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VIF range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6F9BE1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1.015–1.052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FF85A45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1.015–1.052</w:t>
            </w:r>
          </w:p>
        </w:tc>
      </w:tr>
      <w:tr w14:paraId="17C2A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520C17F3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Overall condition number (κ)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712853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1.273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9AB75BA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1.273</w:t>
            </w:r>
          </w:p>
        </w:tc>
      </w:tr>
      <w:tr w14:paraId="720C0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F710B7D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Hosmer-Lemeshow χ² (P value)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69BB80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5.582 (0.649)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3049C63B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13.882 (0.085)</w:t>
            </w:r>
          </w:p>
        </w:tc>
      </w:tr>
      <w:tr w14:paraId="51358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99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4248AC5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AUC (95% CI)</w:t>
            </w:r>
          </w:p>
        </w:tc>
        <w:tc>
          <w:tcPr>
            <w:tcW w:w="1295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2492E7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0.655 (0.618–0.711)</w:t>
            </w:r>
          </w:p>
        </w:tc>
        <w:tc>
          <w:tcPr>
            <w:tcW w:w="1904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502C368">
            <w:pPr>
              <w:keepNext w:val="0"/>
              <w:keepLines w:val="0"/>
              <w:widowControl/>
              <w:suppressLineNumbers w:val="0"/>
              <w:snapToGrid w:val="0"/>
              <w:spacing w:line="188" w:lineRule="atLeast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0.650 (0.610–0.705)</w:t>
            </w:r>
          </w:p>
        </w:tc>
      </w:tr>
    </w:tbl>
    <w:p w14:paraId="326C3A24"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18"/>
          <w:szCs w:val="1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Note: All models were adjusted for age, diabetes, pre-admission statin use, systolic blood pressure, and baseline NIHSS score. END, early neurological deterioration; EPV, events per variable; VIF, variance inflation factor; AUC, area under the curve; CI, confidence interval.</w:t>
      </w:r>
    </w:p>
    <w:p w14:paraId="1A12A510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</w:pPr>
    </w:p>
    <w:p w14:paraId="3F53E30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</w:pPr>
    </w:p>
    <w:p w14:paraId="59AAF31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</w:pPr>
    </w:p>
    <w:p w14:paraId="30B3B08E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</w:pPr>
    </w:p>
    <w:p w14:paraId="52EAF31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</w:pPr>
    </w:p>
    <w:p w14:paraId="400297F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</w:pPr>
    </w:p>
    <w:p w14:paraId="0B5F2E0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</w:rPr>
      </w:pPr>
      <w:r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  <w:t>Supplementary Table S3. Comparison of mediation effects between different carotid ultrasound parameters as mediators</w:t>
      </w:r>
    </w:p>
    <w:tbl>
      <w:tblPr>
        <w:tblW w:w="507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7"/>
        <w:gridCol w:w="1453"/>
        <w:gridCol w:w="792"/>
        <w:gridCol w:w="1188"/>
        <w:gridCol w:w="763"/>
        <w:gridCol w:w="1105"/>
        <w:gridCol w:w="1279"/>
        <w:gridCol w:w="673"/>
        <w:gridCol w:w="1346"/>
      </w:tblGrid>
      <w:tr w14:paraId="6133C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510" w:type="pct"/>
            <w:tcBorders>
              <w:top w:val="nil"/>
            </w:tcBorders>
            <w:shd w:val="clear"/>
            <w:noWrap w:val="0"/>
            <w:tcMar>
              <w:top w:w="75" w:type="dxa"/>
              <w:left w:w="-1" w:type="dxa"/>
              <w:bottom w:w="75" w:type="dxa"/>
              <w:right w:w="120" w:type="dxa"/>
            </w:tcMar>
            <w:vAlign w:val="center"/>
          </w:tcPr>
          <w:p w14:paraId="462DA5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Outcome</w:t>
            </w:r>
          </w:p>
        </w:tc>
        <w:tc>
          <w:tcPr>
            <w:tcW w:w="758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9063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Mediator</w:t>
            </w:r>
          </w:p>
        </w:tc>
        <w:tc>
          <w:tcPr>
            <w:tcW w:w="413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66B9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Indirect effect </w:t>
            </w:r>
          </w:p>
        </w:tc>
        <w:tc>
          <w:tcPr>
            <w:tcW w:w="620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A34C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398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FD8B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P value</w:t>
            </w:r>
          </w:p>
        </w:tc>
        <w:tc>
          <w:tcPr>
            <w:tcW w:w="576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A553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Proportion mediated</w:t>
            </w:r>
          </w:p>
        </w:tc>
        <w:tc>
          <w:tcPr>
            <w:tcW w:w="667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B8D5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351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DC9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P value</w:t>
            </w:r>
          </w:p>
        </w:tc>
        <w:tc>
          <w:tcPr>
            <w:tcW w:w="702" w:type="pct"/>
            <w:tcBorders>
              <w:top w:val="nil"/>
            </w:tcBorders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1F37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Conclusion</w:t>
            </w:r>
          </w:p>
        </w:tc>
      </w:tr>
      <w:tr w14:paraId="520D3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10" w:type="pct"/>
            <w:shd w:val="clear"/>
            <w:noWrap w:val="0"/>
            <w:tcMar>
              <w:top w:w="75" w:type="dxa"/>
              <w:left w:w="-1" w:type="dxa"/>
              <w:bottom w:w="75" w:type="dxa"/>
              <w:right w:w="120" w:type="dxa"/>
            </w:tcMar>
            <w:vAlign w:val="center"/>
          </w:tcPr>
          <w:p w14:paraId="73688F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75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D856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cPTmax (main analysis)</w:t>
            </w:r>
          </w:p>
        </w:tc>
        <w:tc>
          <w:tcPr>
            <w:tcW w:w="413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53C4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0.144</w:t>
            </w:r>
          </w:p>
        </w:tc>
        <w:tc>
          <w:tcPr>
            <w:tcW w:w="620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8ECA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0.033–0.256</w:t>
            </w:r>
          </w:p>
        </w:tc>
        <w:tc>
          <w:tcPr>
            <w:tcW w:w="39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13BE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0.011</w:t>
            </w:r>
          </w:p>
        </w:tc>
        <w:tc>
          <w:tcPr>
            <w:tcW w:w="576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467C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47.2%</w:t>
            </w:r>
          </w:p>
        </w:tc>
        <w:tc>
          <w:tcPr>
            <w:tcW w:w="667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59AF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6.5%–87.8%</w:t>
            </w:r>
          </w:p>
        </w:tc>
        <w:tc>
          <w:tcPr>
            <w:tcW w:w="351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75FD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0.023</w:t>
            </w:r>
          </w:p>
        </w:tc>
        <w:tc>
          <w:tcPr>
            <w:tcW w:w="702" w:type="pct"/>
            <w:shd w:val="clear"/>
            <w:noWrap w:val="0"/>
            <w:tcMar>
              <w:top w:w="75" w:type="dxa"/>
              <w:left w:w="120" w:type="dxa"/>
              <w:bottom w:w="75" w:type="dxa"/>
              <w:right w:w="-1" w:type="dxa"/>
            </w:tcMar>
            <w:vAlign w:val="center"/>
          </w:tcPr>
          <w:p w14:paraId="2E839C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Significant</w:t>
            </w:r>
          </w:p>
        </w:tc>
      </w:tr>
      <w:tr w14:paraId="2A52B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10" w:type="pct"/>
            <w:shd w:val="clear"/>
            <w:noWrap w:val="0"/>
            <w:tcMar>
              <w:top w:w="75" w:type="dxa"/>
              <w:left w:w="-1" w:type="dxa"/>
              <w:bottom w:w="75" w:type="dxa"/>
              <w:right w:w="120" w:type="dxa"/>
            </w:tcMar>
            <w:vAlign w:val="center"/>
          </w:tcPr>
          <w:p w14:paraId="29CE72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75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4068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cIMT (sensitivity)</w:t>
            </w:r>
          </w:p>
        </w:tc>
        <w:tc>
          <w:tcPr>
            <w:tcW w:w="413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500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0.042</w:t>
            </w:r>
          </w:p>
        </w:tc>
        <w:tc>
          <w:tcPr>
            <w:tcW w:w="620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DC24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−0.007–0.091</w:t>
            </w:r>
          </w:p>
        </w:tc>
        <w:tc>
          <w:tcPr>
            <w:tcW w:w="39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1026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0.092</w:t>
            </w:r>
          </w:p>
        </w:tc>
        <w:tc>
          <w:tcPr>
            <w:tcW w:w="576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DF22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13.7%</w:t>
            </w:r>
          </w:p>
        </w:tc>
        <w:tc>
          <w:tcPr>
            <w:tcW w:w="667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6C80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−0.029–0.304</w:t>
            </w:r>
          </w:p>
        </w:tc>
        <w:tc>
          <w:tcPr>
            <w:tcW w:w="351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23A3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0.106</w:t>
            </w:r>
          </w:p>
        </w:tc>
        <w:tc>
          <w:tcPr>
            <w:tcW w:w="702" w:type="pct"/>
            <w:shd w:val="clear"/>
            <w:noWrap w:val="0"/>
            <w:tcMar>
              <w:top w:w="75" w:type="dxa"/>
              <w:left w:w="120" w:type="dxa"/>
              <w:bottom w:w="75" w:type="dxa"/>
              <w:right w:w="-1" w:type="dxa"/>
            </w:tcMar>
            <w:vAlign w:val="center"/>
          </w:tcPr>
          <w:p w14:paraId="400653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Non-significant</w:t>
            </w:r>
          </w:p>
        </w:tc>
      </w:tr>
      <w:tr w14:paraId="0BE8B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10" w:type="pct"/>
            <w:shd w:val="clear"/>
            <w:noWrap w:val="0"/>
            <w:tcMar>
              <w:top w:w="75" w:type="dxa"/>
              <w:left w:w="-1" w:type="dxa"/>
              <w:bottom w:w="75" w:type="dxa"/>
              <w:right w:w="120" w:type="dxa"/>
            </w:tcMar>
            <w:vAlign w:val="center"/>
          </w:tcPr>
          <w:p w14:paraId="28AC7A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75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E964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cPTmax (main analysis)</w:t>
            </w:r>
          </w:p>
        </w:tc>
        <w:tc>
          <w:tcPr>
            <w:tcW w:w="413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8A1B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0.146</w:t>
            </w:r>
          </w:p>
        </w:tc>
        <w:tc>
          <w:tcPr>
            <w:tcW w:w="620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0B98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0.030–0.262</w:t>
            </w:r>
          </w:p>
        </w:tc>
        <w:tc>
          <w:tcPr>
            <w:tcW w:w="39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E8DF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0.014</w:t>
            </w:r>
          </w:p>
        </w:tc>
        <w:tc>
          <w:tcPr>
            <w:tcW w:w="576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3F6A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46.0%</w:t>
            </w:r>
          </w:p>
        </w:tc>
        <w:tc>
          <w:tcPr>
            <w:tcW w:w="667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053E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6.9%–85.1%</w:t>
            </w:r>
          </w:p>
        </w:tc>
        <w:tc>
          <w:tcPr>
            <w:tcW w:w="351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F3A6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0.021</w:t>
            </w:r>
          </w:p>
        </w:tc>
        <w:tc>
          <w:tcPr>
            <w:tcW w:w="702" w:type="pct"/>
            <w:shd w:val="clear"/>
            <w:noWrap w:val="0"/>
            <w:tcMar>
              <w:top w:w="75" w:type="dxa"/>
              <w:left w:w="120" w:type="dxa"/>
              <w:bottom w:w="75" w:type="dxa"/>
              <w:right w:w="-1" w:type="dxa"/>
            </w:tcMar>
            <w:vAlign w:val="center"/>
          </w:tcPr>
          <w:p w14:paraId="4E55B6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Significant</w:t>
            </w:r>
          </w:p>
        </w:tc>
      </w:tr>
      <w:tr w14:paraId="290E8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10" w:type="pct"/>
            <w:shd w:val="clear"/>
            <w:noWrap w:val="0"/>
            <w:tcMar>
              <w:top w:w="75" w:type="dxa"/>
              <w:left w:w="-1" w:type="dxa"/>
              <w:bottom w:w="75" w:type="dxa"/>
              <w:right w:w="120" w:type="dxa"/>
            </w:tcMar>
            <w:vAlign w:val="center"/>
          </w:tcPr>
          <w:p w14:paraId="1780F9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75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8C9C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cIMT (sensitivity)</w:t>
            </w:r>
          </w:p>
        </w:tc>
        <w:tc>
          <w:tcPr>
            <w:tcW w:w="413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93D0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0.044</w:t>
            </w:r>
          </w:p>
        </w:tc>
        <w:tc>
          <w:tcPr>
            <w:tcW w:w="620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7243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−0.009–0.098</w:t>
            </w:r>
          </w:p>
        </w:tc>
        <w:tc>
          <w:tcPr>
            <w:tcW w:w="398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579E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0.102</w:t>
            </w:r>
          </w:p>
        </w:tc>
        <w:tc>
          <w:tcPr>
            <w:tcW w:w="576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52AB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14.0%</w:t>
            </w:r>
          </w:p>
        </w:tc>
        <w:tc>
          <w:tcPr>
            <w:tcW w:w="667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B1F3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−0.035–0.315</w:t>
            </w:r>
          </w:p>
        </w:tc>
        <w:tc>
          <w:tcPr>
            <w:tcW w:w="351" w:type="pct"/>
            <w:shd w:val="clear"/>
            <w:noWrap w:val="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595D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0.118</w:t>
            </w:r>
          </w:p>
        </w:tc>
        <w:tc>
          <w:tcPr>
            <w:tcW w:w="702" w:type="pct"/>
            <w:shd w:val="clear"/>
            <w:noWrap w:val="0"/>
            <w:tcMar>
              <w:top w:w="75" w:type="dxa"/>
              <w:left w:w="120" w:type="dxa"/>
              <w:bottom w:w="75" w:type="dxa"/>
              <w:right w:w="-1" w:type="dxa"/>
            </w:tcMar>
            <w:vAlign w:val="center"/>
          </w:tcPr>
          <w:p w14:paraId="404069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 w:val="0"/>
                <w:bCs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 w:val="0"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Non-significant</w:t>
            </w:r>
          </w:p>
        </w:tc>
      </w:tr>
    </w:tbl>
    <w:p w14:paraId="39DB6141"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18"/>
          <w:szCs w:val="18"/>
        </w:rPr>
      </w:pPr>
      <w:r>
        <w:rPr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Note: All models were adjusted for age, diabetes, statin use, systolic blood pressure, and baseline NIHSS score. END, early neurological deterioration; cIMT, carotid intima-media thickness; cPTmax, maximum carotid plaque thickness; ACME, average causal mediation effect; CI, confidence interval. All mediation effects were estimated on the logit scale.</w:t>
      </w:r>
    </w:p>
    <w:p w14:paraId="5CCE342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225" w:lineRule="atLeast"/>
        <w:ind w:left="0" w:right="0" w:firstLine="0"/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</w:rPr>
      </w:pPr>
      <w:r>
        <w:rPr>
          <w:rFonts w:hint="default" w:ascii="Arial" w:hAnsi="Arial" w:eastAsia="Segoe UI" w:cs="Arial"/>
          <w:b/>
          <w:bCs/>
          <w:caps w:val="0"/>
          <w:color w:val="0F1115"/>
          <w:spacing w:val="0"/>
          <w:sz w:val="18"/>
          <w:szCs w:val="18"/>
          <w:shd w:val="clear" w:fill="FFFFFF"/>
        </w:rPr>
        <w:t>Supplementary Table S4. Interaction analysis of plaque echogenicity as an effect modifier</w:t>
      </w:r>
    </w:p>
    <w:tbl>
      <w:tblPr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59"/>
        <w:gridCol w:w="3261"/>
        <w:gridCol w:w="2394"/>
      </w:tblGrid>
      <w:tr w14:paraId="4CEA3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996" w:type="pct"/>
            <w:tcBorders>
              <w:top w:val="nil"/>
            </w:tcBorders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0D0C4CDC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Interaction term</w:t>
            </w:r>
          </w:p>
        </w:tc>
        <w:tc>
          <w:tcPr>
            <w:tcW w:w="1731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0C568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Outcome</w:t>
            </w:r>
          </w:p>
        </w:tc>
        <w:tc>
          <w:tcPr>
            <w:tcW w:w="1271" w:type="pct"/>
            <w:tcBorders>
              <w:top w:val="nil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75324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b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b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P for interaction</w:t>
            </w:r>
          </w:p>
        </w:tc>
      </w:tr>
      <w:tr w14:paraId="278E3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96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675EF3C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RC × Plaque echogenicity</w:t>
            </w:r>
          </w:p>
        </w:tc>
        <w:tc>
          <w:tcPr>
            <w:tcW w:w="1731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82793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1271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13EB0A6D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0.766</w:t>
            </w:r>
          </w:p>
        </w:tc>
      </w:tr>
      <w:tr w14:paraId="29D46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96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C4114ED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RC × Plaque echogenicity</w:t>
            </w:r>
          </w:p>
        </w:tc>
        <w:tc>
          <w:tcPr>
            <w:tcW w:w="1731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15558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1271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B56C64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0.259</w:t>
            </w:r>
          </w:p>
        </w:tc>
      </w:tr>
      <w:tr w14:paraId="2FA68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96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3D8BFD7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cPTmax × Plaque echogenicity</w:t>
            </w:r>
          </w:p>
        </w:tc>
        <w:tc>
          <w:tcPr>
            <w:tcW w:w="1731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A5FD3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END</w:t>
            </w:r>
          </w:p>
        </w:tc>
        <w:tc>
          <w:tcPr>
            <w:tcW w:w="1271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260CE99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0.404</w:t>
            </w:r>
          </w:p>
        </w:tc>
      </w:tr>
      <w:tr w14:paraId="2F9C0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96" w:type="pct"/>
            <w:shd w:val="clear"/>
            <w:tcMar>
              <w:top w:w="75" w:type="dxa"/>
              <w:left w:w="0" w:type="dxa"/>
              <w:bottom w:w="75" w:type="dxa"/>
              <w:right w:w="120" w:type="dxa"/>
            </w:tcMar>
            <w:vAlign w:val="center"/>
          </w:tcPr>
          <w:p w14:paraId="1F20439C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cPTmax × Plaque echogenicity</w:t>
            </w:r>
          </w:p>
        </w:tc>
        <w:tc>
          <w:tcPr>
            <w:tcW w:w="1731" w:type="pct"/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F0EB75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3-month poor outcome</w:t>
            </w:r>
          </w:p>
        </w:tc>
        <w:tc>
          <w:tcPr>
            <w:tcW w:w="1271" w:type="pct"/>
            <w:shd w:val="clear"/>
            <w:tcMar>
              <w:top w:w="75" w:type="dxa"/>
              <w:left w:w="120" w:type="dxa"/>
              <w:bottom w:w="75" w:type="dxa"/>
              <w:right w:w="0" w:type="dxa"/>
            </w:tcMar>
            <w:vAlign w:val="center"/>
          </w:tcPr>
          <w:p w14:paraId="410978A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Segoe UI" w:cs="Arial"/>
                <w:sz w:val="18"/>
                <w:szCs w:val="18"/>
              </w:rPr>
            </w:pPr>
            <w:r>
              <w:rPr>
                <w:rFonts w:hint="default" w:ascii="Arial" w:hAnsi="Arial" w:eastAsia="Segoe UI" w:cs="Arial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0.414</w:t>
            </w:r>
          </w:p>
        </w:tc>
      </w:tr>
    </w:tbl>
    <w:p w14:paraId="09DDFC05">
      <w:pPr>
        <w:pStyle w:val="3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18"/>
          <w:szCs w:val="18"/>
        </w:rPr>
      </w:pPr>
      <w:r>
        <w:rPr>
          <w:rFonts w:hint="default" w:ascii="Arial" w:hAnsi="Arial" w:eastAsia="Segoe UI" w:cs="Arial"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Note: All models were adjusted for age, diabetes, statin use, systolic blood pressure, and baseline NIHSS score. RC, remnant cholesterol; cPTmax, maximum carotid plaque thickness; END, early neurological deterioration.</w:t>
      </w:r>
    </w:p>
    <w:p w14:paraId="561B04A5">
      <w:pPr>
        <w:rPr>
          <w:rFonts w:hint="default" w:ascii="Arial" w:hAnsi="Arial" w:cs="Arial"/>
          <w:sz w:val="18"/>
          <w:szCs w:val="18"/>
        </w:rPr>
      </w:pPr>
    </w:p>
    <w:p w14:paraId="513A6F98">
      <w:pPr>
        <w:rPr>
          <w:rFonts w:hint="default" w:ascii="Arial" w:hAnsi="Arial" w:cs="Arial"/>
          <w:sz w:val="18"/>
          <w:szCs w:val="18"/>
        </w:rPr>
      </w:pPr>
    </w:p>
    <w:p w14:paraId="028AEB7D">
      <w:pPr>
        <w:rPr>
          <w:rFonts w:hint="default" w:ascii="Arial" w:hAnsi="Arial" w:cs="Arial"/>
          <w:sz w:val="18"/>
          <w:szCs w:val="18"/>
        </w:rPr>
      </w:pPr>
    </w:p>
    <w:sectPr>
      <w:pgSz w:w="11906" w:h="16838"/>
      <w:pgMar w:top="1440" w:right="1304" w:bottom="1440" w:left="130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66F926B0-5FCF-453F-85F6-C68F1DB948D8}"/>
    <w:docVar w:name="KY_MEDREF_VERSION" w:val="3"/>
  </w:docVars>
  <w:rsids>
    <w:rsidRoot w:val="00000000"/>
    <w:rsid w:val="034D4E02"/>
    <w:rsid w:val="0D046AFA"/>
    <w:rsid w:val="12062D4C"/>
    <w:rsid w:val="1ADB1EEF"/>
    <w:rsid w:val="205B0707"/>
    <w:rsid w:val="27952750"/>
    <w:rsid w:val="2C867F83"/>
    <w:rsid w:val="30B874AF"/>
    <w:rsid w:val="38390ED6"/>
    <w:rsid w:val="3F4D34B9"/>
    <w:rsid w:val="40D93256"/>
    <w:rsid w:val="42F26851"/>
    <w:rsid w:val="56B75990"/>
    <w:rsid w:val="5BAA5AC3"/>
    <w:rsid w:val="5C49708A"/>
    <w:rsid w:val="696A12F9"/>
    <w:rsid w:val="69D501AF"/>
    <w:rsid w:val="6EA6211A"/>
    <w:rsid w:val="7388747A"/>
    <w:rsid w:val="778515D4"/>
    <w:rsid w:val="7E5C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8586286-7fd0-4687-a03f-046ff07b09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1285</Characters>
  <Lines>0</Lines>
  <Paragraphs>0</Paragraphs>
  <TotalTime>2</TotalTime>
  <ScaleCrop>false</ScaleCrop>
  <LinksUpToDate>false</LinksUpToDate>
  <CharactersWithSpaces>1330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2026-07-26T14:00:00Z</dcterms:created>
  <dc:creator>周巧云</dc:creator>
  <cp:lastModifiedBy>长红changhong</cp:lastModifiedBy>
  <dcterms:modified xsi:type="dcterms:W3CDTF">2026-08-02T03:32:18Z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eyJoZGlkIjoiNWMwNDQ1NzRmYjhmNzNjNGRkZmUwODYwYjBkOGVhOTUiLCJ1c2VySWQiOiIzNTg4MTAzMTkifQ==</vt:lpwstr>
  </property>
  <property fmtid="{D5CDD505-2E9C-101B-9397-08002B2CF9AE}" pid="4" name="ICV">
    <vt:lpwstr>F0E296B7A1BF4AA699808C1FF955EB2A_12</vt:lpwstr>
  </property>
</Properties>
</file>