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B31" w:rsidRPr="00FF2869" w:rsidRDefault="00901B31" w:rsidP="00901B31">
      <w:pPr>
        <w:wordWrap/>
        <w:adjustRightInd w:val="0"/>
        <w:spacing w:line="480" w:lineRule="auto"/>
        <w:jc w:val="left"/>
        <w:rPr>
          <w:rFonts w:ascii="Times New Roman" w:eastAsia="HY신명조" w:hAnsi="Times New Roman"/>
          <w:b/>
          <w:kern w:val="0"/>
          <w:sz w:val="22"/>
        </w:rPr>
      </w:pPr>
      <w:r w:rsidRPr="00FF2869">
        <w:rPr>
          <w:rFonts w:ascii="Times New Roman" w:eastAsia="HY신명조" w:hAnsi="Times New Roman"/>
          <w:b/>
          <w:kern w:val="0"/>
          <w:sz w:val="22"/>
        </w:rPr>
        <w:t xml:space="preserve">Quantitative </w:t>
      </w:r>
      <w:bookmarkStart w:id="0" w:name="_GoBack"/>
      <w:bookmarkEnd w:id="0"/>
      <w:r w:rsidRPr="00FF2869">
        <w:rPr>
          <w:rFonts w:ascii="Times New Roman" w:eastAsia="HY신명조" w:hAnsi="Times New Roman"/>
          <w:b/>
          <w:kern w:val="0"/>
          <w:sz w:val="22"/>
        </w:rPr>
        <w:t>real time PCR</w:t>
      </w:r>
    </w:p>
    <w:p w:rsidR="00901B31" w:rsidRPr="00FF2869" w:rsidRDefault="00901B31" w:rsidP="00901B31">
      <w:pPr>
        <w:wordWrap/>
        <w:adjustRightInd w:val="0"/>
        <w:spacing w:line="480" w:lineRule="auto"/>
        <w:rPr>
          <w:rFonts w:ascii="Times New Roman" w:eastAsia="Times-Roman" w:hAnsi="Times New Roman"/>
          <w:kern w:val="0"/>
          <w:sz w:val="22"/>
          <w:lang w:bidi="he-IL"/>
        </w:rPr>
      </w:pPr>
      <w:r w:rsidRPr="00FF2869">
        <w:rPr>
          <w:rFonts w:ascii="Times New Roman" w:eastAsia="바탕" w:hAnsi="Times New Roman"/>
          <w:sz w:val="22"/>
        </w:rPr>
        <w:t xml:space="preserve">Peripheral blood mononuclear cells (PBMCs) were prepared from heparinized blood samples by </w:t>
      </w:r>
      <w:proofErr w:type="spellStart"/>
      <w:r w:rsidRPr="00FF2869">
        <w:rPr>
          <w:rFonts w:ascii="Times New Roman" w:eastAsia="바탕" w:hAnsi="Times New Roman"/>
          <w:sz w:val="22"/>
        </w:rPr>
        <w:t>Ficoll</w:t>
      </w:r>
      <w:proofErr w:type="spellEnd"/>
      <w:r w:rsidRPr="00FF2869">
        <w:rPr>
          <w:rFonts w:ascii="Times New Roman" w:eastAsia="바탕" w:hAnsi="Times New Roman"/>
          <w:sz w:val="22"/>
        </w:rPr>
        <w:t xml:space="preserve"> </w:t>
      </w:r>
      <w:proofErr w:type="spellStart"/>
      <w:r w:rsidRPr="00FF2869">
        <w:rPr>
          <w:rFonts w:ascii="Times New Roman" w:eastAsia="바탕" w:hAnsi="Times New Roman"/>
          <w:sz w:val="22"/>
        </w:rPr>
        <w:t>Hypaque</w:t>
      </w:r>
      <w:proofErr w:type="spellEnd"/>
      <w:r w:rsidRPr="00FF2869">
        <w:rPr>
          <w:rFonts w:ascii="Times New Roman" w:eastAsia="바탕" w:hAnsi="Times New Roman"/>
          <w:sz w:val="22"/>
        </w:rPr>
        <w:t xml:space="preserve"> density gradients (</w:t>
      </w:r>
      <w:proofErr w:type="spellStart"/>
      <w:r w:rsidRPr="00FF2869">
        <w:rPr>
          <w:rFonts w:ascii="Times New Roman" w:eastAsia="바탕" w:hAnsi="Times New Roman"/>
          <w:sz w:val="22"/>
        </w:rPr>
        <w:t>Ficoll</w:t>
      </w:r>
      <w:proofErr w:type="spellEnd"/>
      <w:r w:rsidRPr="00FF2869">
        <w:rPr>
          <w:rFonts w:ascii="Times New Roman" w:eastAsia="바탕" w:hAnsi="Times New Roman"/>
          <w:sz w:val="22"/>
        </w:rPr>
        <w:t xml:space="preserve"> </w:t>
      </w:r>
      <w:proofErr w:type="spellStart"/>
      <w:r w:rsidRPr="00FF2869">
        <w:rPr>
          <w:rFonts w:ascii="Times New Roman" w:eastAsia="바탕" w:hAnsi="Times New Roman"/>
          <w:sz w:val="22"/>
        </w:rPr>
        <w:t>paque</w:t>
      </w:r>
      <w:r w:rsidRPr="00FF2869">
        <w:rPr>
          <w:rFonts w:ascii="Times New Roman" w:eastAsia="바탕" w:hAnsi="Times New Roman"/>
          <w:sz w:val="22"/>
          <w:vertAlign w:val="superscript"/>
        </w:rPr>
        <w:t>TIM</w:t>
      </w:r>
      <w:proofErr w:type="spellEnd"/>
      <w:r w:rsidRPr="00FF2869">
        <w:rPr>
          <w:rFonts w:ascii="Times New Roman" w:eastAsia="바탕" w:hAnsi="Times New Roman"/>
          <w:sz w:val="22"/>
        </w:rPr>
        <w:t xml:space="preserve"> plus, </w:t>
      </w:r>
      <w:proofErr w:type="spellStart"/>
      <w:r w:rsidRPr="00FF2869">
        <w:rPr>
          <w:rFonts w:ascii="Times New Roman" w:eastAsia="바탕" w:hAnsi="Times New Roman"/>
          <w:sz w:val="22"/>
        </w:rPr>
        <w:t>StemCell</w:t>
      </w:r>
      <w:proofErr w:type="spellEnd"/>
      <w:r w:rsidRPr="00FF2869">
        <w:rPr>
          <w:rFonts w:ascii="Times New Roman" w:eastAsia="바탕" w:hAnsi="Times New Roman"/>
          <w:sz w:val="22"/>
        </w:rPr>
        <w:t xml:space="preserve"> Technologies, Vancouver, BC, Canada). </w:t>
      </w:r>
      <w:r w:rsidRPr="00FF2869">
        <w:rPr>
          <w:rFonts w:ascii="Times New Roman" w:eastAsia="Times-Roman" w:hAnsi="Times New Roman"/>
          <w:kern w:val="0"/>
          <w:sz w:val="22"/>
          <w:lang w:bidi="he-IL"/>
        </w:rPr>
        <w:t xml:space="preserve">PBMCs were stimulated for 4 hours with </w:t>
      </w:r>
      <w:r w:rsidRPr="00FF2869">
        <w:rPr>
          <w:rFonts w:ascii="Times New Roman" w:hAnsi="Times New Roman"/>
          <w:kern w:val="0"/>
          <w:sz w:val="22"/>
          <w:lang w:bidi="he-IL"/>
        </w:rPr>
        <w:t>100 ng/ml lipopolysaccharide (LPS; Sigma-Aldrich)</w:t>
      </w:r>
      <w:r w:rsidRPr="00FF2869">
        <w:rPr>
          <w:rFonts w:ascii="Times New Roman" w:eastAsia="Times-Roman" w:hAnsi="Times New Roman"/>
          <w:kern w:val="0"/>
          <w:sz w:val="22"/>
          <w:lang w:bidi="he-IL"/>
        </w:rPr>
        <w:t xml:space="preserve">. After 4 hours, RPMI containing 1 </w:t>
      </w:r>
      <w:proofErr w:type="spellStart"/>
      <w:r w:rsidRPr="00FF2869">
        <w:rPr>
          <w:rFonts w:ascii="Times New Roman" w:eastAsia="Times-Roman" w:hAnsi="Times New Roman"/>
          <w:kern w:val="0"/>
          <w:sz w:val="22"/>
          <w:lang w:bidi="he-IL"/>
        </w:rPr>
        <w:t>mM</w:t>
      </w:r>
      <w:proofErr w:type="spellEnd"/>
      <w:r w:rsidRPr="00FF2869">
        <w:rPr>
          <w:rFonts w:ascii="Times New Roman" w:eastAsia="Times-Roman" w:hAnsi="Times New Roman"/>
          <w:kern w:val="0"/>
          <w:sz w:val="22"/>
          <w:lang w:bidi="he-IL"/>
        </w:rPr>
        <w:t xml:space="preserve"> </w:t>
      </w:r>
      <w:r w:rsidRPr="00FF2869">
        <w:rPr>
          <w:rFonts w:ascii="Times New Roman" w:eastAsia="바탕" w:hAnsi="Times New Roman"/>
          <w:sz w:val="22"/>
        </w:rPr>
        <w:t>adenosine 5-triphosphate (ATP;</w:t>
      </w:r>
      <w:r w:rsidRPr="00FF2869">
        <w:rPr>
          <w:rFonts w:ascii="Times New Roman" w:hAnsi="Times New Roman"/>
          <w:kern w:val="0"/>
          <w:sz w:val="22"/>
          <w:lang w:bidi="he-IL"/>
        </w:rPr>
        <w:t xml:space="preserve"> Sigma-Aldrich</w:t>
      </w:r>
      <w:r w:rsidRPr="00FF2869">
        <w:rPr>
          <w:rFonts w:ascii="Times New Roman" w:eastAsia="바탕" w:hAnsi="Times New Roman"/>
          <w:sz w:val="22"/>
        </w:rPr>
        <w:t>)</w:t>
      </w:r>
      <w:r w:rsidRPr="00FF2869">
        <w:rPr>
          <w:rFonts w:ascii="Times New Roman" w:eastAsia="Times-Roman" w:hAnsi="Times New Roman"/>
          <w:kern w:val="0"/>
          <w:sz w:val="22"/>
          <w:lang w:bidi="he-IL"/>
        </w:rPr>
        <w:t xml:space="preserve"> was added to the cells for another 15 minutes (LPS/ATP). In separate experiments, 20 </w:t>
      </w:r>
      <w:proofErr w:type="spellStart"/>
      <w:r w:rsidRPr="00FF2869">
        <w:rPr>
          <w:rFonts w:ascii="Times New Roman" w:eastAsia="Times-Roman" w:hAnsi="Times New Roman"/>
          <w:kern w:val="0"/>
          <w:sz w:val="22"/>
          <w:lang w:bidi="he-IL"/>
        </w:rPr>
        <w:t>uM</w:t>
      </w:r>
      <w:proofErr w:type="spellEnd"/>
      <w:r w:rsidRPr="00FF2869">
        <w:rPr>
          <w:rFonts w:ascii="Times New Roman" w:eastAsia="Times-Roman" w:hAnsi="Times New Roman"/>
          <w:kern w:val="0"/>
          <w:sz w:val="22"/>
          <w:lang w:bidi="he-IL"/>
        </w:rPr>
        <w:t xml:space="preserve"> </w:t>
      </w:r>
      <w:proofErr w:type="spellStart"/>
      <w:proofErr w:type="gramStart"/>
      <w:r w:rsidRPr="00FF2869">
        <w:rPr>
          <w:rFonts w:ascii="Times New Roman" w:eastAsia="바탕" w:hAnsi="Times New Roman"/>
          <w:kern w:val="0"/>
          <w:sz w:val="22"/>
          <w:lang w:bidi="he-IL"/>
        </w:rPr>
        <w:t>z</w:t>
      </w:r>
      <w:r w:rsidRPr="00FF2869">
        <w:rPr>
          <w:rFonts w:ascii="Times New Roman" w:eastAsia="Times-Roman" w:hAnsi="Times New Roman"/>
          <w:kern w:val="0"/>
          <w:sz w:val="22"/>
          <w:lang w:bidi="he-IL"/>
        </w:rPr>
        <w:t>YVAD</w:t>
      </w:r>
      <w:proofErr w:type="spellEnd"/>
      <w:r w:rsidRPr="00FF2869">
        <w:rPr>
          <w:rFonts w:ascii="Times New Roman" w:eastAsia="Times-Roman" w:hAnsi="Times New Roman"/>
          <w:kern w:val="0"/>
          <w:sz w:val="22"/>
          <w:lang w:bidi="he-IL"/>
        </w:rPr>
        <w:t>(</w:t>
      </w:r>
      <w:proofErr w:type="spellStart"/>
      <w:proofErr w:type="gramEnd"/>
      <w:r w:rsidRPr="00FF2869">
        <w:rPr>
          <w:rFonts w:ascii="Times New Roman" w:eastAsia="Times-Roman" w:hAnsi="Times New Roman"/>
          <w:kern w:val="0"/>
          <w:sz w:val="22"/>
          <w:lang w:bidi="he-IL"/>
        </w:rPr>
        <w:t>Ome</w:t>
      </w:r>
      <w:proofErr w:type="spellEnd"/>
      <w:r w:rsidRPr="00FF2869">
        <w:rPr>
          <w:rFonts w:ascii="Times New Roman" w:eastAsia="Times-Roman" w:hAnsi="Times New Roman"/>
          <w:kern w:val="0"/>
          <w:sz w:val="22"/>
          <w:lang w:bidi="he-IL"/>
        </w:rPr>
        <w:t>)-FMK an irreversible caspase-1 inhibitor (</w:t>
      </w:r>
      <w:proofErr w:type="spellStart"/>
      <w:r w:rsidRPr="00FF2869">
        <w:rPr>
          <w:rFonts w:ascii="Times New Roman" w:eastAsia="Times-Roman" w:hAnsi="Times New Roman"/>
          <w:kern w:val="0"/>
          <w:sz w:val="22"/>
          <w:lang w:bidi="he-IL"/>
        </w:rPr>
        <w:t>CaspI</w:t>
      </w:r>
      <w:proofErr w:type="spellEnd"/>
      <w:r w:rsidRPr="00FF2869">
        <w:rPr>
          <w:rFonts w:ascii="Times New Roman" w:eastAsia="Times-Roman" w:hAnsi="Times New Roman"/>
          <w:kern w:val="0"/>
          <w:sz w:val="22"/>
          <w:lang w:bidi="he-IL"/>
        </w:rPr>
        <w:t xml:space="preserve">; Enzo life science, </w:t>
      </w:r>
      <w:proofErr w:type="spellStart"/>
      <w:r w:rsidRPr="00FF2869">
        <w:rPr>
          <w:rFonts w:ascii="Times New Roman" w:eastAsia="Times-Roman" w:hAnsi="Times New Roman"/>
          <w:kern w:val="0"/>
          <w:sz w:val="22"/>
          <w:lang w:bidi="he-IL"/>
        </w:rPr>
        <w:t>PlymouthMeeting</w:t>
      </w:r>
      <w:proofErr w:type="spellEnd"/>
      <w:r w:rsidRPr="00FF2869">
        <w:rPr>
          <w:rFonts w:ascii="Times New Roman" w:eastAsia="Times-Roman" w:hAnsi="Times New Roman"/>
          <w:kern w:val="0"/>
          <w:sz w:val="22"/>
          <w:lang w:bidi="he-IL"/>
        </w:rPr>
        <w:t xml:space="preserve">, PA) was added. </w:t>
      </w:r>
    </w:p>
    <w:p w:rsidR="00901B31" w:rsidRDefault="00901B31" w:rsidP="00901B31">
      <w:pPr>
        <w:wordWrap/>
        <w:adjustRightInd w:val="0"/>
        <w:spacing w:line="480" w:lineRule="auto"/>
        <w:ind w:firstLine="800"/>
        <w:rPr>
          <w:rFonts w:ascii="Times New Roman" w:eastAsiaTheme="majorHAnsi" w:hAnsi="Times New Roman"/>
          <w:sz w:val="22"/>
        </w:rPr>
      </w:pPr>
      <w:r w:rsidRPr="00FF2869">
        <w:rPr>
          <w:rFonts w:ascii="Times New Roman" w:hAnsi="Times New Roman"/>
          <w:kern w:val="0"/>
          <w:sz w:val="22"/>
        </w:rPr>
        <w:t xml:space="preserve">Total RNA was extracted using </w:t>
      </w:r>
      <w:proofErr w:type="spellStart"/>
      <w:r w:rsidRPr="00FF2869">
        <w:rPr>
          <w:rFonts w:ascii="Times New Roman" w:eastAsiaTheme="majorHAnsi" w:hAnsi="Times New Roman"/>
          <w:sz w:val="22"/>
        </w:rPr>
        <w:t>Trizol</w:t>
      </w:r>
      <w:proofErr w:type="spellEnd"/>
      <w:r w:rsidRPr="00FF2869">
        <w:rPr>
          <w:rFonts w:ascii="Times New Roman" w:eastAsiaTheme="majorHAnsi" w:hAnsi="Times New Roman"/>
          <w:sz w:val="22"/>
          <w:vertAlign w:val="superscript"/>
        </w:rPr>
        <w:t>®</w:t>
      </w:r>
      <w:r w:rsidRPr="00FF2869">
        <w:rPr>
          <w:rFonts w:ascii="Times New Roman" w:eastAsiaTheme="majorHAnsi" w:hAnsi="Times New Roman"/>
          <w:sz w:val="22"/>
        </w:rPr>
        <w:t xml:space="preserve"> (Invitrogen, Carlsbad, CA, USA) </w:t>
      </w:r>
      <w:r w:rsidRPr="00FF2869">
        <w:rPr>
          <w:rFonts w:ascii="Times New Roman" w:hAnsi="Times New Roman"/>
          <w:kern w:val="0"/>
          <w:sz w:val="22"/>
        </w:rPr>
        <w:t xml:space="preserve">according to the manufacturer’s instructions. </w:t>
      </w:r>
      <w:r w:rsidRPr="00FF2869">
        <w:rPr>
          <w:rFonts w:ascii="Times New Roman" w:eastAsiaTheme="majorHAnsi" w:hAnsi="Times New Roman"/>
          <w:sz w:val="22"/>
        </w:rPr>
        <w:t xml:space="preserve">Reverse transcription of RNA was performed using </w:t>
      </w:r>
      <w:proofErr w:type="spellStart"/>
      <w:r w:rsidRPr="00FF2869">
        <w:rPr>
          <w:rFonts w:ascii="Times New Roman" w:eastAsiaTheme="majorHAnsi" w:hAnsi="Times New Roman"/>
          <w:sz w:val="22"/>
        </w:rPr>
        <w:t>dNTP</w:t>
      </w:r>
      <w:proofErr w:type="spellEnd"/>
      <w:r w:rsidRPr="00FF2869">
        <w:rPr>
          <w:rFonts w:ascii="Times New Roman" w:eastAsiaTheme="majorHAnsi" w:hAnsi="Times New Roman"/>
          <w:sz w:val="22"/>
        </w:rPr>
        <w:t xml:space="preserve"> and </w:t>
      </w:r>
      <w:proofErr w:type="spellStart"/>
      <w:proofErr w:type="gramStart"/>
      <w:r w:rsidRPr="00FF2869">
        <w:rPr>
          <w:rFonts w:ascii="Times New Roman" w:eastAsiaTheme="majorHAnsi" w:hAnsi="Times New Roman"/>
          <w:sz w:val="22"/>
        </w:rPr>
        <w:t>oligo</w:t>
      </w:r>
      <w:proofErr w:type="spellEnd"/>
      <w:r w:rsidRPr="00FF2869">
        <w:rPr>
          <w:rFonts w:ascii="Times New Roman" w:eastAsiaTheme="majorHAnsi" w:hAnsi="Times New Roman"/>
          <w:sz w:val="22"/>
        </w:rPr>
        <w:t>(</w:t>
      </w:r>
      <w:proofErr w:type="spellStart"/>
      <w:proofErr w:type="gramEnd"/>
      <w:r w:rsidRPr="00FF2869">
        <w:rPr>
          <w:rFonts w:ascii="Times New Roman" w:eastAsiaTheme="majorHAnsi" w:hAnsi="Times New Roman"/>
          <w:sz w:val="22"/>
        </w:rPr>
        <w:t>dT</w:t>
      </w:r>
      <w:proofErr w:type="spellEnd"/>
      <w:r w:rsidRPr="00FF2869">
        <w:rPr>
          <w:rFonts w:ascii="Times New Roman" w:eastAsiaTheme="majorHAnsi" w:hAnsi="Times New Roman"/>
          <w:sz w:val="22"/>
        </w:rPr>
        <w:t xml:space="preserve">) primers (Invitrogen, Carlsbad, CA, USA) and using Superscript™ III (Invitrogen, Carlsbad, CA, USA) following the recommendations of the manufacturer. Real-time PCR analysis was performed using primers and internal probes for </w:t>
      </w:r>
      <w:r w:rsidRPr="00FF2869">
        <w:rPr>
          <w:rFonts w:ascii="Times New Roman" w:hAnsi="Times New Roman"/>
          <w:kern w:val="0"/>
          <w:sz w:val="22"/>
        </w:rPr>
        <w:t>NLRP1 (Hs00248187_m1), NLRP3 (Hs00918082_m1), ASC (Hs00203118_m1), Caspase-1 (Hs00354836_m1), IL-1</w:t>
      </w:r>
      <w:r w:rsidRPr="00FF2869">
        <w:rPr>
          <w:rFonts w:ascii="Times New Roman" w:eastAsia="굴림" w:hAnsi="Times New Roman"/>
          <w:kern w:val="0"/>
          <w:sz w:val="22"/>
        </w:rPr>
        <w:t>β</w:t>
      </w:r>
      <w:r w:rsidRPr="00FF2869">
        <w:rPr>
          <w:rFonts w:ascii="Times New Roman" w:hAnsi="Times New Roman"/>
          <w:kern w:val="0"/>
          <w:sz w:val="22"/>
        </w:rPr>
        <w:t xml:space="preserve"> (Hs01555410_m1) and GAPDH (Hs99999905_m1), which were purchased as Assays on Demand primer-probe (</w:t>
      </w:r>
      <w:r w:rsidRPr="00FF2869">
        <w:rPr>
          <w:rFonts w:ascii="Times New Roman" w:eastAsiaTheme="minorEastAsia" w:hAnsi="Times New Roman"/>
          <w:kern w:val="0"/>
          <w:sz w:val="22"/>
        </w:rPr>
        <w:t xml:space="preserve">Applied </w:t>
      </w:r>
      <w:proofErr w:type="spellStart"/>
      <w:r w:rsidRPr="00FF2869">
        <w:rPr>
          <w:rFonts w:ascii="Times New Roman" w:eastAsiaTheme="minorEastAsia" w:hAnsi="Times New Roman"/>
          <w:kern w:val="0"/>
          <w:sz w:val="22"/>
        </w:rPr>
        <w:t>biosystems</w:t>
      </w:r>
      <w:proofErr w:type="spellEnd"/>
      <w:r w:rsidRPr="00FF2869">
        <w:rPr>
          <w:rFonts w:ascii="Times New Roman" w:eastAsiaTheme="minorEastAsia" w:hAnsi="Times New Roman"/>
          <w:kern w:val="0"/>
          <w:sz w:val="22"/>
        </w:rPr>
        <w:t>, Seoul, Korea)</w:t>
      </w:r>
      <w:r w:rsidRPr="00FF2869">
        <w:rPr>
          <w:rFonts w:ascii="Times New Roman" w:hAnsi="Times New Roman"/>
          <w:kern w:val="0"/>
          <w:sz w:val="22"/>
        </w:rPr>
        <w:t xml:space="preserve">. </w:t>
      </w:r>
      <w:r w:rsidRPr="00FF2869">
        <w:rPr>
          <w:rFonts w:ascii="Times New Roman" w:eastAsiaTheme="minorEastAsia" w:hAnsi="Times New Roman"/>
          <w:color w:val="2E2E2E"/>
          <w:sz w:val="22"/>
        </w:rPr>
        <w:t>Glyceraldehyde-3-phosphate dehydrogenase (GAPDH) was used as the reference gene to normalize the RNA expression levels.</w:t>
      </w:r>
      <w:r w:rsidRPr="00FF2869">
        <w:rPr>
          <w:rFonts w:ascii="Times New Roman" w:eastAsiaTheme="majorHAnsi" w:hAnsi="Times New Roman"/>
          <w:sz w:val="22"/>
        </w:rPr>
        <w:t xml:space="preserve"> Real-time PCR was performed on ABI Prism 7000 Sequence Detection System (Applied </w:t>
      </w:r>
      <w:proofErr w:type="spellStart"/>
      <w:r w:rsidRPr="00FF2869">
        <w:rPr>
          <w:rFonts w:ascii="Times New Roman" w:eastAsiaTheme="majorHAnsi" w:hAnsi="Times New Roman"/>
          <w:sz w:val="22"/>
        </w:rPr>
        <w:t>Biosystems</w:t>
      </w:r>
      <w:proofErr w:type="spellEnd"/>
      <w:r w:rsidRPr="00FF2869">
        <w:rPr>
          <w:rFonts w:ascii="Times New Roman" w:eastAsiaTheme="majorHAnsi" w:hAnsi="Times New Roman"/>
          <w:sz w:val="22"/>
        </w:rPr>
        <w:t xml:space="preserve">, Foster, CA, USA) using </w:t>
      </w:r>
      <w:proofErr w:type="spellStart"/>
      <w:r w:rsidRPr="00FF2869">
        <w:rPr>
          <w:rFonts w:ascii="Times New Roman" w:eastAsiaTheme="majorHAnsi" w:hAnsi="Times New Roman"/>
          <w:sz w:val="22"/>
        </w:rPr>
        <w:t>TaqMan</w:t>
      </w:r>
      <w:proofErr w:type="spellEnd"/>
      <w:r w:rsidRPr="00FF2869">
        <w:rPr>
          <w:rFonts w:ascii="Times New Roman" w:eastAsiaTheme="majorHAnsi" w:hAnsi="Times New Roman"/>
          <w:sz w:val="22"/>
        </w:rPr>
        <w:t xml:space="preserve">® Gene Expression Assays (Applied </w:t>
      </w:r>
      <w:proofErr w:type="spellStart"/>
      <w:r w:rsidRPr="00FF2869">
        <w:rPr>
          <w:rFonts w:ascii="Times New Roman" w:eastAsiaTheme="majorHAnsi" w:hAnsi="Times New Roman"/>
          <w:sz w:val="22"/>
        </w:rPr>
        <w:t>Biosystems</w:t>
      </w:r>
      <w:proofErr w:type="spellEnd"/>
      <w:r w:rsidRPr="00FF2869">
        <w:rPr>
          <w:rFonts w:ascii="Times New Roman" w:eastAsiaTheme="majorHAnsi" w:hAnsi="Times New Roman"/>
          <w:sz w:val="22"/>
        </w:rPr>
        <w:t xml:space="preserve">, Foster, CA, USA) according to the manufacturer’s instructions. </w:t>
      </w:r>
      <w:r w:rsidRPr="00FF2869">
        <w:rPr>
          <w:rFonts w:ascii="Times New Roman" w:eastAsiaTheme="minorEastAsia" w:hAnsi="Times New Roman"/>
          <w:color w:val="2E2E2E"/>
          <w:sz w:val="22"/>
        </w:rPr>
        <w:t>Subsequently, a Ct value was obtained for each sample. Quantification was done using the 2</w:t>
      </w:r>
      <w:r w:rsidRPr="00FF2869">
        <w:rPr>
          <w:rFonts w:ascii="Times New Roman" w:eastAsiaTheme="minorEastAsia" w:hAnsi="Times New Roman"/>
          <w:color w:val="2E2E2E"/>
          <w:sz w:val="22"/>
          <w:vertAlign w:val="superscript"/>
        </w:rPr>
        <w:t>−ΔΔCt</w:t>
      </w:r>
      <w:r w:rsidRPr="00FF2869">
        <w:rPr>
          <w:rFonts w:ascii="Times New Roman" w:eastAsiaTheme="minorEastAsia" w:hAnsi="Times New Roman"/>
          <w:color w:val="2E2E2E"/>
          <w:sz w:val="22"/>
        </w:rPr>
        <w:t xml:space="preserve"> method. The </w:t>
      </w:r>
      <w:proofErr w:type="spellStart"/>
      <w:r w:rsidRPr="00FF2869">
        <w:rPr>
          <w:rFonts w:ascii="Times New Roman" w:eastAsiaTheme="minorEastAsia" w:hAnsi="Times New Roman"/>
          <w:color w:val="2E2E2E"/>
          <w:sz w:val="22"/>
        </w:rPr>
        <w:t>ΔCt</w:t>
      </w:r>
      <w:proofErr w:type="spellEnd"/>
      <w:r w:rsidRPr="00FF2869">
        <w:rPr>
          <w:rFonts w:ascii="Times New Roman" w:eastAsiaTheme="minorEastAsia" w:hAnsi="Times New Roman"/>
          <w:color w:val="2E2E2E"/>
          <w:sz w:val="22"/>
        </w:rPr>
        <w:t xml:space="preserve"> values were calculated for each gene of interest as follows: </w:t>
      </w:r>
      <w:r w:rsidRPr="00FF2869">
        <w:rPr>
          <w:rFonts w:ascii="Times New Roman" w:eastAsia="바탕" w:hAnsi="Times New Roman"/>
          <w:sz w:val="22"/>
        </w:rPr>
        <w:t>∆</w:t>
      </w:r>
      <w:proofErr w:type="spellStart"/>
      <w:r w:rsidRPr="00FF2869">
        <w:rPr>
          <w:rFonts w:ascii="Times New Roman" w:eastAsiaTheme="majorHAnsi" w:hAnsi="Times New Roman"/>
          <w:sz w:val="22"/>
        </w:rPr>
        <w:t>Ct</w:t>
      </w:r>
      <w:r w:rsidRPr="00FF2869">
        <w:rPr>
          <w:rFonts w:ascii="Times New Roman" w:eastAsiaTheme="majorHAnsi" w:hAnsi="Times New Roman"/>
          <w:sz w:val="22"/>
          <w:vertAlign w:val="subscript"/>
        </w:rPr>
        <w:t>sample</w:t>
      </w:r>
      <w:proofErr w:type="spellEnd"/>
      <w:r w:rsidRPr="00FF2869">
        <w:rPr>
          <w:rFonts w:ascii="Times New Roman" w:eastAsiaTheme="majorHAnsi" w:hAnsi="Times New Roman"/>
          <w:sz w:val="22"/>
        </w:rPr>
        <w:t xml:space="preserve"> = (</w:t>
      </w:r>
      <w:proofErr w:type="spellStart"/>
      <w:r w:rsidRPr="00FF2869">
        <w:rPr>
          <w:rFonts w:ascii="Times New Roman" w:eastAsiaTheme="majorHAnsi" w:hAnsi="Times New Roman"/>
          <w:sz w:val="22"/>
        </w:rPr>
        <w:t>Ct</w:t>
      </w:r>
      <w:r w:rsidRPr="00FF2869">
        <w:rPr>
          <w:rFonts w:ascii="Times New Roman" w:eastAsiaTheme="majorHAnsi" w:hAnsi="Times New Roman"/>
          <w:sz w:val="22"/>
          <w:vertAlign w:val="subscript"/>
        </w:rPr>
        <w:t>sample</w:t>
      </w:r>
      <w:proofErr w:type="spellEnd"/>
      <w:r w:rsidRPr="00FF2869">
        <w:rPr>
          <w:rFonts w:ascii="Times New Roman" w:eastAsiaTheme="majorHAnsi" w:hAnsi="Times New Roman"/>
          <w:sz w:val="22"/>
        </w:rPr>
        <w:t xml:space="preserve"> </w:t>
      </w:r>
      <w:r w:rsidRPr="00FF2869">
        <w:rPr>
          <w:rFonts w:ascii="Times New Roman" w:eastAsia="바탕" w:hAnsi="Times New Roman"/>
          <w:sz w:val="22"/>
        </w:rPr>
        <w:t>−</w:t>
      </w:r>
      <w:r w:rsidRPr="00FF2869">
        <w:rPr>
          <w:rFonts w:ascii="Times New Roman" w:eastAsiaTheme="majorHAnsi" w:hAnsi="Times New Roman"/>
          <w:sz w:val="22"/>
        </w:rPr>
        <w:t xml:space="preserve"> </w:t>
      </w:r>
      <w:proofErr w:type="spellStart"/>
      <w:r w:rsidRPr="00FF2869">
        <w:rPr>
          <w:rFonts w:ascii="Times New Roman" w:eastAsiaTheme="majorHAnsi" w:hAnsi="Times New Roman"/>
          <w:sz w:val="22"/>
        </w:rPr>
        <w:t>Ct</w:t>
      </w:r>
      <w:r w:rsidRPr="00FF2869">
        <w:rPr>
          <w:rFonts w:ascii="Times New Roman" w:eastAsiaTheme="majorHAnsi" w:hAnsi="Times New Roman"/>
          <w:sz w:val="22"/>
          <w:vertAlign w:val="subscript"/>
        </w:rPr>
        <w:t>GAPDH</w:t>
      </w:r>
      <w:proofErr w:type="spellEnd"/>
      <w:r w:rsidRPr="00FF2869">
        <w:rPr>
          <w:rFonts w:ascii="Times New Roman" w:eastAsiaTheme="majorHAnsi" w:hAnsi="Times New Roman"/>
          <w:sz w:val="22"/>
        </w:rPr>
        <w:t>) Relative mRNA levels were calculated by the expression 2</w:t>
      </w:r>
      <w:r w:rsidRPr="00FF2869">
        <w:rPr>
          <w:rFonts w:ascii="Times New Roman" w:eastAsiaTheme="majorHAnsi" w:hAnsi="Times New Roman"/>
          <w:sz w:val="22"/>
          <w:vertAlign w:val="superscript"/>
        </w:rPr>
        <w:t>–</w:t>
      </w:r>
      <w:r w:rsidRPr="00FF2869">
        <w:rPr>
          <w:rFonts w:ascii="Times New Roman" w:eastAsia="바탕" w:hAnsi="Times New Roman"/>
          <w:sz w:val="22"/>
          <w:vertAlign w:val="superscript"/>
        </w:rPr>
        <w:t>∆∆</w:t>
      </w:r>
      <w:r w:rsidRPr="00FF2869">
        <w:rPr>
          <w:rFonts w:ascii="Times New Roman" w:eastAsiaTheme="majorHAnsi" w:hAnsi="Times New Roman"/>
          <w:sz w:val="22"/>
          <w:vertAlign w:val="superscript"/>
        </w:rPr>
        <w:t>Ct</w:t>
      </w:r>
      <w:r w:rsidRPr="00FF2869">
        <w:rPr>
          <w:rFonts w:ascii="Times New Roman" w:eastAsiaTheme="majorHAnsi" w:hAnsi="Times New Roman"/>
          <w:sz w:val="22"/>
        </w:rPr>
        <w:t xml:space="preserve">, where </w:t>
      </w:r>
      <w:r w:rsidRPr="00FF2869">
        <w:rPr>
          <w:rFonts w:ascii="Times New Roman" w:eastAsia="바탕" w:hAnsi="Times New Roman"/>
          <w:sz w:val="22"/>
        </w:rPr>
        <w:t>∆∆</w:t>
      </w:r>
      <w:r w:rsidRPr="00FF2869">
        <w:rPr>
          <w:rFonts w:ascii="Times New Roman" w:eastAsiaTheme="majorHAnsi" w:hAnsi="Times New Roman"/>
          <w:sz w:val="22"/>
        </w:rPr>
        <w:t>Ct</w:t>
      </w:r>
      <w:r w:rsidRPr="00FF2869">
        <w:rPr>
          <w:rFonts w:ascii="Times New Roman" w:eastAsiaTheme="majorHAnsi" w:hAnsi="Times New Roman"/>
          <w:sz w:val="22"/>
          <w:vertAlign w:val="superscript"/>
        </w:rPr>
        <w:t xml:space="preserve"> </w:t>
      </w:r>
      <w:r w:rsidRPr="00FF2869">
        <w:rPr>
          <w:rFonts w:ascii="Times New Roman" w:eastAsiaTheme="majorHAnsi" w:hAnsi="Times New Roman"/>
          <w:sz w:val="22"/>
        </w:rPr>
        <w:t>= (</w:t>
      </w:r>
      <w:r w:rsidRPr="00FF2869">
        <w:rPr>
          <w:rFonts w:ascii="Times New Roman" w:eastAsia="바탕" w:hAnsi="Times New Roman"/>
          <w:sz w:val="22"/>
        </w:rPr>
        <w:t>∆</w:t>
      </w:r>
      <w:proofErr w:type="spellStart"/>
      <w:r w:rsidRPr="00FF2869">
        <w:rPr>
          <w:rFonts w:ascii="Times New Roman" w:eastAsiaTheme="majorHAnsi" w:hAnsi="Times New Roman"/>
          <w:sz w:val="22"/>
        </w:rPr>
        <w:t>Ct</w:t>
      </w:r>
      <w:r w:rsidRPr="00FF2869">
        <w:rPr>
          <w:rFonts w:ascii="Times New Roman" w:eastAsiaTheme="majorHAnsi" w:hAnsi="Times New Roman"/>
          <w:sz w:val="22"/>
          <w:vertAlign w:val="subscript"/>
        </w:rPr>
        <w:t>sample</w:t>
      </w:r>
      <w:proofErr w:type="spellEnd"/>
      <w:r w:rsidRPr="00FF2869">
        <w:rPr>
          <w:rFonts w:ascii="Times New Roman" w:eastAsiaTheme="majorHAnsi" w:hAnsi="Times New Roman"/>
          <w:sz w:val="22"/>
        </w:rPr>
        <w:t xml:space="preserve"> </w:t>
      </w:r>
      <w:r w:rsidRPr="00FF2869">
        <w:rPr>
          <w:rFonts w:ascii="Times New Roman" w:eastAsia="바탕" w:hAnsi="Times New Roman"/>
          <w:sz w:val="22"/>
        </w:rPr>
        <w:t>−</w:t>
      </w:r>
      <w:r w:rsidRPr="00FF2869">
        <w:rPr>
          <w:rFonts w:ascii="Times New Roman" w:eastAsiaTheme="majorHAnsi" w:hAnsi="Times New Roman"/>
          <w:sz w:val="22"/>
        </w:rPr>
        <w:t xml:space="preserve"> </w:t>
      </w:r>
      <w:r w:rsidRPr="00FF2869">
        <w:rPr>
          <w:rFonts w:ascii="Times New Roman" w:eastAsia="바탕" w:hAnsi="Times New Roman"/>
          <w:sz w:val="22"/>
        </w:rPr>
        <w:t>∆</w:t>
      </w:r>
      <w:proofErr w:type="spellStart"/>
      <w:r w:rsidRPr="00FF2869">
        <w:rPr>
          <w:rFonts w:ascii="Times New Roman" w:eastAsiaTheme="majorHAnsi" w:hAnsi="Times New Roman"/>
          <w:sz w:val="22"/>
        </w:rPr>
        <w:t>Ct</w:t>
      </w:r>
      <w:r w:rsidRPr="00FF2869">
        <w:rPr>
          <w:rFonts w:ascii="Times New Roman" w:eastAsiaTheme="majorHAnsi" w:hAnsi="Times New Roman"/>
          <w:sz w:val="22"/>
          <w:vertAlign w:val="subscript"/>
        </w:rPr>
        <w:t>calibration</w:t>
      </w:r>
      <w:proofErr w:type="spellEnd"/>
      <w:r w:rsidRPr="00FF2869">
        <w:rPr>
          <w:rFonts w:ascii="Times New Roman" w:eastAsiaTheme="majorHAnsi" w:hAnsi="Times New Roman"/>
          <w:sz w:val="22"/>
        </w:rPr>
        <w:t>). The calibrator sample (</w:t>
      </w:r>
      <w:r w:rsidRPr="00FF2869">
        <w:rPr>
          <w:rFonts w:ascii="Times New Roman" w:eastAsia="바탕" w:hAnsi="Times New Roman"/>
          <w:sz w:val="22"/>
        </w:rPr>
        <w:t>∆</w:t>
      </w:r>
      <w:r w:rsidRPr="00FF2869">
        <w:rPr>
          <w:rFonts w:ascii="Times New Roman" w:eastAsiaTheme="majorHAnsi" w:hAnsi="Times New Roman"/>
          <w:sz w:val="22"/>
        </w:rPr>
        <w:t xml:space="preserve">Ct </w:t>
      </w:r>
      <w:r w:rsidRPr="00FF2869">
        <w:rPr>
          <w:rFonts w:ascii="Times New Roman" w:eastAsiaTheme="majorHAnsi" w:hAnsi="Times New Roman"/>
          <w:sz w:val="22"/>
          <w:vertAlign w:val="subscript"/>
        </w:rPr>
        <w:t>calibration</w:t>
      </w:r>
      <w:r w:rsidRPr="00FF2869">
        <w:rPr>
          <w:rFonts w:ascii="Times New Roman" w:eastAsiaTheme="majorHAnsi" w:hAnsi="Times New Roman"/>
          <w:sz w:val="22"/>
        </w:rPr>
        <w:t xml:space="preserve">) was assigned from the HC group. </w:t>
      </w:r>
    </w:p>
    <w:p w:rsidR="00901B31" w:rsidRPr="00FF2869" w:rsidRDefault="00901B31" w:rsidP="00901B31">
      <w:pPr>
        <w:wordWrap/>
        <w:adjustRightInd w:val="0"/>
        <w:spacing w:line="480" w:lineRule="auto"/>
        <w:ind w:firstLine="800"/>
        <w:rPr>
          <w:rFonts w:ascii="Times New Roman" w:eastAsiaTheme="majorHAnsi" w:hAnsi="Times New Roman"/>
          <w:strike/>
          <w:sz w:val="22"/>
        </w:rPr>
      </w:pPr>
    </w:p>
    <w:p w:rsidR="00901B31" w:rsidRPr="005A6BF1" w:rsidRDefault="00901B31" w:rsidP="00901B31">
      <w:pPr>
        <w:wordWrap/>
        <w:adjustRightInd w:val="0"/>
        <w:spacing w:line="480" w:lineRule="auto"/>
        <w:rPr>
          <w:rFonts w:ascii="Times New Roman" w:eastAsiaTheme="minorEastAsia" w:hAnsi="Times New Roman"/>
          <w:b/>
          <w:bCs/>
          <w:color w:val="000000"/>
          <w:kern w:val="0"/>
          <w:sz w:val="22"/>
        </w:rPr>
      </w:pPr>
      <w:r w:rsidRPr="005A6BF1">
        <w:rPr>
          <w:rFonts w:ascii="Times New Roman" w:eastAsiaTheme="minorEastAsia" w:hAnsi="Times New Roman"/>
          <w:b/>
          <w:bCs/>
          <w:color w:val="000000"/>
          <w:kern w:val="0"/>
          <w:sz w:val="22"/>
        </w:rPr>
        <w:t xml:space="preserve">Quantifying western blots </w:t>
      </w:r>
    </w:p>
    <w:p w:rsidR="00901B31" w:rsidRPr="005A6BF1" w:rsidRDefault="00901B31" w:rsidP="00901B31">
      <w:pPr>
        <w:wordWrap/>
        <w:adjustRightInd w:val="0"/>
        <w:spacing w:line="480" w:lineRule="auto"/>
        <w:rPr>
          <w:rFonts w:ascii="Times New Roman" w:eastAsia="Times-Roman" w:hAnsi="Times New Roman"/>
          <w:kern w:val="0"/>
          <w:sz w:val="22"/>
          <w:lang w:bidi="he-IL"/>
        </w:rPr>
      </w:pPr>
      <w:r w:rsidRPr="005A6BF1">
        <w:rPr>
          <w:rFonts w:ascii="Times New Roman" w:eastAsiaTheme="minorEastAsia" w:hAnsi="Times New Roman"/>
          <w:color w:val="000000"/>
          <w:kern w:val="0"/>
          <w:sz w:val="22"/>
        </w:rPr>
        <w:t xml:space="preserve">Western blots were quantified using </w:t>
      </w:r>
      <w:proofErr w:type="spellStart"/>
      <w:r w:rsidRPr="005A6BF1">
        <w:rPr>
          <w:rFonts w:ascii="Times New Roman" w:eastAsiaTheme="minorEastAsia" w:hAnsi="Times New Roman"/>
          <w:color w:val="000000"/>
          <w:kern w:val="0"/>
          <w:sz w:val="22"/>
        </w:rPr>
        <w:t>ImageJ</w:t>
      </w:r>
      <w:proofErr w:type="spellEnd"/>
      <w:r w:rsidRPr="005A6BF1">
        <w:rPr>
          <w:rFonts w:ascii="Times New Roman" w:eastAsiaTheme="minorEastAsia" w:hAnsi="Times New Roman"/>
          <w:color w:val="000000"/>
          <w:kern w:val="0"/>
          <w:sz w:val="22"/>
        </w:rPr>
        <w:t xml:space="preserve"> analysis. The images were set to grayscale 8-type bit and a rectangular box was drawn to enclose a single lane. The box was then selected as the first lane and the same process was repeated for the remaining of the lanes. The relative density of the contents of </w:t>
      </w:r>
      <w:r w:rsidRPr="005A6BF1">
        <w:rPr>
          <w:rFonts w:ascii="Times New Roman" w:eastAsiaTheme="minorEastAsia" w:hAnsi="Times New Roman"/>
          <w:color w:val="000000"/>
          <w:kern w:val="0"/>
          <w:sz w:val="22"/>
        </w:rPr>
        <w:lastRenderedPageBreak/>
        <w:t xml:space="preserve">each lane was then plotted as histograms and a straight line was drawn underneath where the peak ends to subtract any background. The wand tool was then used to get the measurements of each profile. </w:t>
      </w:r>
      <w:r w:rsidRPr="005A6BF1">
        <w:rPr>
          <w:rFonts w:ascii="Times New Roman" w:hAnsi="Times New Roman"/>
          <w:color w:val="2E2E2E"/>
          <w:sz w:val="22"/>
        </w:rPr>
        <w:t xml:space="preserve">Bands were normalized to β-actin by dividing the average intensity of the band by the average intensity of the β-actin band from the same sample labeled on the same gel. </w:t>
      </w:r>
    </w:p>
    <w:p w:rsidR="00515138" w:rsidRPr="00901B31" w:rsidRDefault="008B200A"/>
    <w:sectPr w:rsidR="00515138" w:rsidRPr="00901B3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-Roman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B31"/>
    <w:rsid w:val="005E0D07"/>
    <w:rsid w:val="008B200A"/>
    <w:rsid w:val="00901B31"/>
    <w:rsid w:val="00E5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EB2853-8B8E-44B0-AFFA-D8D6BF752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B31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CGH</dc:creator>
  <cp:keywords/>
  <dc:description/>
  <cp:lastModifiedBy>CGH</cp:lastModifiedBy>
  <cp:revision>2</cp:revision>
  <dcterms:created xsi:type="dcterms:W3CDTF">2015-04-09T01:07:00Z</dcterms:created>
  <dcterms:modified xsi:type="dcterms:W3CDTF">2015-04-09T10:20:00Z</dcterms:modified>
</cp:coreProperties>
</file>