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2C4" w:rsidRPr="00CD3BA5" w:rsidRDefault="00275DBD" w:rsidP="00275DBD">
      <w:pPr>
        <w:spacing w:after="0" w:line="360" w:lineRule="auto"/>
        <w:rPr>
          <w:rFonts w:ascii="Arial" w:hAnsi="Arial"/>
          <w:b/>
          <w:bCs/>
          <w:sz w:val="24"/>
          <w:szCs w:val="24"/>
          <w:u w:val="single"/>
        </w:rPr>
      </w:pPr>
      <w:r>
        <w:rPr>
          <w:rFonts w:ascii="Times New Roman" w:hAnsi="Times New Roman" w:cs="Times New Roman"/>
          <w:b/>
          <w:bCs/>
          <w:sz w:val="24"/>
          <w:szCs w:val="24"/>
          <w:u w:val="single"/>
        </w:rPr>
        <w:t>Synthesis a</w:t>
      </w:r>
      <w:bookmarkStart w:id="0" w:name="_GoBack"/>
      <w:bookmarkEnd w:id="0"/>
      <w:r>
        <w:rPr>
          <w:rFonts w:ascii="Times New Roman" w:hAnsi="Times New Roman" w:cs="Times New Roman"/>
          <w:b/>
          <w:bCs/>
          <w:sz w:val="24"/>
          <w:szCs w:val="24"/>
          <w:u w:val="single"/>
        </w:rPr>
        <w:t>nd characterization of the g</w:t>
      </w:r>
      <w:r w:rsidR="00BD52C4">
        <w:rPr>
          <w:rFonts w:ascii="Times New Roman" w:hAnsi="Times New Roman" w:cs="Times New Roman"/>
          <w:b/>
          <w:bCs/>
          <w:sz w:val="24"/>
          <w:szCs w:val="24"/>
          <w:u w:val="single"/>
        </w:rPr>
        <w:t>old nanoparticles</w:t>
      </w:r>
      <w:r>
        <w:rPr>
          <w:rFonts w:ascii="Times New Roman" w:hAnsi="Times New Roman" w:cs="Times New Roman"/>
          <w:b/>
          <w:bCs/>
          <w:sz w:val="24"/>
          <w:szCs w:val="24"/>
          <w:u w:val="single"/>
        </w:rPr>
        <w:t xml:space="preserve"> (AuNPs)</w:t>
      </w:r>
    </w:p>
    <w:p w:rsidR="00BD52C4" w:rsidRPr="00CD3BA5" w:rsidRDefault="00BD52C4" w:rsidP="00BD52C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permeability of gold nanoparticles, synthesized by different procedures, through the blood-brain barrier (BBB) into different regions of the brain (hippocampus, frontal cortex and hypothalamus) was examined. </w:t>
      </w:r>
    </w:p>
    <w:p w:rsidR="00BD52C4" w:rsidRPr="00CD3BA5" w:rsidRDefault="00BD52C4" w:rsidP="00BD52C4">
      <w:pPr>
        <w:spacing w:after="0" w:line="360" w:lineRule="auto"/>
        <w:rPr>
          <w:rFonts w:ascii="Arial" w:hAnsi="Arial"/>
          <w:sz w:val="24"/>
          <w:szCs w:val="24"/>
        </w:rPr>
      </w:pPr>
      <w:r>
        <w:rPr>
          <w:rFonts w:ascii="Times New Roman" w:hAnsi="Times New Roman" w:cs="Times New Roman"/>
          <w:sz w:val="24"/>
          <w:szCs w:val="24"/>
        </w:rPr>
        <w:t>Six different preparation procedures were used. First, a protocol based on sodium citrate as a reducing agent as suggested by G. Frens</w:t>
      </w:r>
      <w:r w:rsidR="00275DBD">
        <w:rPr>
          <w:rFonts w:ascii="Times New Roman" w:hAnsi="Times New Roman" w:cs="Times New Roman"/>
          <w:sz w:val="24"/>
          <w:szCs w:val="24"/>
        </w:rPr>
        <w:t xml:space="preserve"> [</w:t>
      </w:r>
      <w:r w:rsidR="00784B9B">
        <w:rPr>
          <w:rFonts w:ascii="Times New Roman" w:hAnsi="Times New Roman" w:cs="Times New Roman"/>
          <w:sz w:val="24"/>
          <w:szCs w:val="24"/>
        </w:rPr>
        <w:t>1</w:t>
      </w:r>
      <w:r w:rsidR="00275DBD">
        <w:rPr>
          <w:rFonts w:ascii="Times New Roman" w:hAnsi="Times New Roman" w:cs="Times New Roman"/>
          <w:sz w:val="24"/>
          <w:szCs w:val="24"/>
        </w:rPr>
        <w:t>]</w:t>
      </w:r>
      <w:r>
        <w:rPr>
          <w:rFonts w:ascii="Times New Roman" w:hAnsi="Times New Roman" w:cs="Times New Roman"/>
          <w:sz w:val="24"/>
          <w:szCs w:val="24"/>
        </w:rPr>
        <w:t xml:space="preserve"> ("Classic"). The second, third and fourth protocols, </w:t>
      </w:r>
      <w:r w:rsidR="008532EC">
        <w:rPr>
          <w:rFonts w:ascii="Times New Roman" w:hAnsi="Times New Roman" w:cs="Times New Roman"/>
          <w:sz w:val="24"/>
          <w:szCs w:val="24"/>
        </w:rPr>
        <w:t xml:space="preserve">were also </w:t>
      </w:r>
      <w:r>
        <w:rPr>
          <w:rFonts w:ascii="Times New Roman" w:hAnsi="Times New Roman" w:cs="Times New Roman"/>
          <w:sz w:val="24"/>
          <w:szCs w:val="24"/>
        </w:rPr>
        <w:t xml:space="preserve">based on G. Frens </w:t>
      </w:r>
      <w:r w:rsidR="00275DBD">
        <w:rPr>
          <w:rFonts w:ascii="Times New Roman" w:hAnsi="Times New Roman" w:cs="Times New Roman"/>
          <w:sz w:val="24"/>
          <w:szCs w:val="24"/>
        </w:rPr>
        <w:t>[2]</w:t>
      </w:r>
      <w:r>
        <w:rPr>
          <w:rFonts w:ascii="Times New Roman" w:hAnsi="Times New Roman" w:cs="Times New Roman"/>
          <w:sz w:val="24"/>
          <w:szCs w:val="24"/>
        </w:rPr>
        <w:t xml:space="preserve"> but using herbal extracts as reducing agents in the synthesis of the gold nanoparticles. Three types of extracts were used: from the Salvia, Rose Geranium and Aloysia plants and the produced particles </w:t>
      </w:r>
      <w:r w:rsidR="00275DBD">
        <w:rPr>
          <w:rFonts w:ascii="Times New Roman" w:hAnsi="Times New Roman" w:cs="Times New Roman"/>
          <w:sz w:val="24"/>
          <w:szCs w:val="24"/>
        </w:rPr>
        <w:t>were</w:t>
      </w:r>
      <w:r>
        <w:rPr>
          <w:rFonts w:ascii="Times New Roman" w:hAnsi="Times New Roman" w:cs="Times New Roman"/>
          <w:sz w:val="24"/>
          <w:szCs w:val="24"/>
        </w:rPr>
        <w:t xml:space="preserve"> referred to as "Salvia", "Geranium" and "Aloysia", respectively. The herbs were selected on the basis of their </w:t>
      </w:r>
      <w:r w:rsidR="00D927A7">
        <w:rPr>
          <w:rFonts w:ascii="Times New Roman" w:hAnsi="Times New Roman" w:cs="Times New Roman"/>
          <w:sz w:val="24"/>
          <w:szCs w:val="24"/>
        </w:rPr>
        <w:t>well-known</w:t>
      </w:r>
      <w:r>
        <w:rPr>
          <w:rFonts w:ascii="Times New Roman" w:hAnsi="Times New Roman" w:cs="Times New Roman"/>
          <w:sz w:val="24"/>
          <w:szCs w:val="24"/>
        </w:rPr>
        <w:t xml:space="preserve"> compatibility </w:t>
      </w:r>
      <w:r w:rsidR="005152E4">
        <w:rPr>
          <w:rFonts w:ascii="Times New Roman" w:hAnsi="Times New Roman" w:cs="Times New Roman"/>
          <w:sz w:val="24"/>
          <w:szCs w:val="24"/>
        </w:rPr>
        <w:t xml:space="preserve">with </w:t>
      </w:r>
      <w:r>
        <w:rPr>
          <w:rFonts w:ascii="Times New Roman" w:hAnsi="Times New Roman" w:cs="Times New Roman"/>
          <w:sz w:val="24"/>
          <w:szCs w:val="24"/>
        </w:rPr>
        <w:t xml:space="preserve">the human body since they </w:t>
      </w:r>
      <w:r w:rsidR="005152E4">
        <w:rPr>
          <w:rFonts w:ascii="Times New Roman" w:hAnsi="Times New Roman" w:cs="Times New Roman"/>
          <w:sz w:val="24"/>
          <w:szCs w:val="24"/>
        </w:rPr>
        <w:t xml:space="preserve">are </w:t>
      </w:r>
      <w:r>
        <w:rPr>
          <w:rFonts w:ascii="Times New Roman" w:hAnsi="Times New Roman" w:cs="Times New Roman"/>
          <w:sz w:val="24"/>
          <w:szCs w:val="24"/>
        </w:rPr>
        <w:t xml:space="preserve">all used </w:t>
      </w:r>
      <w:r w:rsidR="005152E4">
        <w:rPr>
          <w:rFonts w:ascii="Times New Roman" w:hAnsi="Times New Roman" w:cs="Times New Roman"/>
          <w:sz w:val="24"/>
          <w:szCs w:val="24"/>
        </w:rPr>
        <w:t xml:space="preserve">in </w:t>
      </w:r>
      <w:r>
        <w:rPr>
          <w:rFonts w:ascii="Times New Roman" w:hAnsi="Times New Roman" w:cs="Times New Roman"/>
          <w:sz w:val="24"/>
          <w:szCs w:val="24"/>
        </w:rPr>
        <w:t>herbal medicines. The fifth and sixth proto</w:t>
      </w:r>
      <w:r w:rsidR="00275DBD">
        <w:rPr>
          <w:rFonts w:ascii="Times New Roman" w:hAnsi="Times New Roman" w:cs="Times New Roman"/>
          <w:sz w:val="24"/>
          <w:szCs w:val="24"/>
        </w:rPr>
        <w:t>cols, based on functionalizing</w:t>
      </w:r>
      <w:r>
        <w:rPr>
          <w:rFonts w:ascii="Times New Roman" w:hAnsi="Times New Roman" w:cs="Times New Roman"/>
          <w:sz w:val="24"/>
          <w:szCs w:val="24"/>
        </w:rPr>
        <w:t xml:space="preserve"> the "Classic" particle surface using 11-Mercapto-undecanoic acid (MUDA) as a hydrophilic functional group, and  Perfluoro Decanethiol (PFDT) as a hydrophobic functional group.</w:t>
      </w:r>
      <w:r w:rsidR="00157BE5">
        <w:rPr>
          <w:rFonts w:ascii="Times New Roman" w:hAnsi="Times New Roman" w:cs="Times New Roman"/>
          <w:sz w:val="24"/>
          <w:szCs w:val="24"/>
        </w:rPr>
        <w:t xml:space="preserve"> </w:t>
      </w:r>
      <w:r w:rsidR="002B6F80" w:rsidRPr="002B6F80">
        <w:rPr>
          <w:rFonts w:ascii="Times New Roman" w:hAnsi="Times New Roman" w:cs="Times New Roman"/>
          <w:sz w:val="24"/>
          <w:szCs w:val="24"/>
        </w:rPr>
        <w:t xml:space="preserve">In order to examine the efficiency of gold nanoparticles penetration to the brain </w:t>
      </w:r>
      <w:r w:rsidR="00582DE4">
        <w:rPr>
          <w:rFonts w:ascii="Times New Roman" w:hAnsi="Times New Roman" w:cs="Times New Roman"/>
          <w:sz w:val="24"/>
          <w:szCs w:val="24"/>
        </w:rPr>
        <w:t>a</w:t>
      </w:r>
      <w:r w:rsidR="002B6F80" w:rsidRPr="002B6F80">
        <w:rPr>
          <w:rFonts w:ascii="Times New Roman" w:hAnsi="Times New Roman" w:cs="Times New Roman"/>
          <w:sz w:val="24"/>
          <w:szCs w:val="24"/>
        </w:rPr>
        <w:t xml:space="preserve"> perfusion procedure m</w:t>
      </w:r>
      <w:r w:rsidR="008532EC">
        <w:rPr>
          <w:rFonts w:ascii="Times New Roman" w:hAnsi="Times New Roman" w:cs="Times New Roman"/>
          <w:sz w:val="24"/>
          <w:szCs w:val="24"/>
        </w:rPr>
        <w:t>u</w:t>
      </w:r>
      <w:r w:rsidR="002B6F80" w:rsidRPr="002B6F80">
        <w:rPr>
          <w:rFonts w:ascii="Times New Roman" w:hAnsi="Times New Roman" w:cs="Times New Roman"/>
          <w:sz w:val="24"/>
          <w:szCs w:val="24"/>
        </w:rPr>
        <w:t>st be carried out. This procedure is complicated and time consuming</w:t>
      </w:r>
      <w:r w:rsidR="00582DE4">
        <w:rPr>
          <w:rFonts w:ascii="Times New Roman" w:hAnsi="Times New Roman" w:cs="Times New Roman"/>
          <w:sz w:val="24"/>
          <w:szCs w:val="24"/>
        </w:rPr>
        <w:t xml:space="preserve">, </w:t>
      </w:r>
      <w:r w:rsidR="001F69D5">
        <w:rPr>
          <w:rFonts w:ascii="Times New Roman" w:hAnsi="Times New Roman" w:cs="Times New Roman"/>
          <w:sz w:val="24"/>
          <w:szCs w:val="24"/>
        </w:rPr>
        <w:t>hence, it</w:t>
      </w:r>
      <w:r w:rsidR="00582DE4">
        <w:rPr>
          <w:rFonts w:ascii="Times New Roman" w:hAnsi="Times New Roman" w:cs="Times New Roman"/>
          <w:sz w:val="24"/>
          <w:szCs w:val="24"/>
        </w:rPr>
        <w:t xml:space="preserve"> was not performed in the </w:t>
      </w:r>
      <w:r w:rsidR="001F69D5">
        <w:rPr>
          <w:rFonts w:ascii="Times New Roman" w:hAnsi="Times New Roman" w:cs="Times New Roman"/>
          <w:sz w:val="24"/>
          <w:szCs w:val="24"/>
        </w:rPr>
        <w:t>preliminary</w:t>
      </w:r>
      <w:r w:rsidR="00582DE4">
        <w:rPr>
          <w:rFonts w:ascii="Times New Roman" w:hAnsi="Times New Roman" w:cs="Times New Roman"/>
          <w:sz w:val="24"/>
          <w:szCs w:val="24"/>
        </w:rPr>
        <w:t xml:space="preserve"> experiments </w:t>
      </w:r>
      <w:r w:rsidR="001F69D5">
        <w:rPr>
          <w:rFonts w:ascii="Times New Roman" w:hAnsi="Times New Roman" w:cs="Times New Roman"/>
          <w:sz w:val="24"/>
          <w:szCs w:val="24"/>
        </w:rPr>
        <w:t>whose results were</w:t>
      </w:r>
      <w:r w:rsidR="00582DE4">
        <w:rPr>
          <w:rFonts w:ascii="Times New Roman" w:hAnsi="Times New Roman" w:cs="Times New Roman"/>
          <w:sz w:val="24"/>
          <w:szCs w:val="24"/>
        </w:rPr>
        <w:t xml:space="preserve"> used to select the reducing agent</w:t>
      </w:r>
      <w:r w:rsidR="001F69D5">
        <w:rPr>
          <w:rFonts w:ascii="Times New Roman" w:hAnsi="Times New Roman" w:cs="Times New Roman"/>
          <w:sz w:val="24"/>
          <w:szCs w:val="24"/>
        </w:rPr>
        <w:t xml:space="preserve"> to be used in the study reported here</w:t>
      </w:r>
      <w:r w:rsidR="002B6F80" w:rsidRPr="002B6F80">
        <w:rPr>
          <w:rFonts w:ascii="Times New Roman" w:hAnsi="Times New Roman" w:cs="Times New Roman"/>
          <w:sz w:val="24"/>
          <w:szCs w:val="24"/>
        </w:rPr>
        <w:t xml:space="preserve">. </w:t>
      </w:r>
      <w:r w:rsidR="00582DE4">
        <w:rPr>
          <w:rFonts w:ascii="Arial" w:hAnsi="Arial"/>
          <w:sz w:val="24"/>
          <w:szCs w:val="24"/>
        </w:rPr>
        <w:t xml:space="preserve"> </w:t>
      </w:r>
    </w:p>
    <w:p w:rsidR="00031D09" w:rsidRDefault="00BD52C4" w:rsidP="005C3401">
      <w:pPr>
        <w:spacing w:after="0" w:line="360" w:lineRule="auto"/>
        <w:rPr>
          <w:rFonts w:ascii="Times New Roman" w:hAnsi="Times New Roman" w:cs="Times New Roman"/>
          <w:sz w:val="24"/>
          <w:szCs w:val="24"/>
        </w:rPr>
      </w:pPr>
      <w:r w:rsidRPr="00022E7C">
        <w:rPr>
          <w:rFonts w:ascii="Times New Roman" w:hAnsi="Times New Roman" w:cs="Times New Roman"/>
          <w:sz w:val="24"/>
          <w:szCs w:val="24"/>
        </w:rPr>
        <w:t xml:space="preserve">Figure </w:t>
      </w:r>
      <w:r w:rsidR="005152E4" w:rsidRPr="007C3E00">
        <w:rPr>
          <w:rFonts w:ascii="Times New Roman" w:hAnsi="Times New Roman" w:cs="Times New Roman"/>
          <w:sz w:val="24"/>
          <w:szCs w:val="24"/>
        </w:rPr>
        <w:t>2</w:t>
      </w:r>
      <w:r w:rsidR="005152E4">
        <w:rPr>
          <w:rFonts w:ascii="Times New Roman" w:hAnsi="Times New Roman" w:cs="Times New Roman"/>
          <w:sz w:val="24"/>
          <w:szCs w:val="24"/>
        </w:rPr>
        <w:t xml:space="preserve">S </w:t>
      </w:r>
      <w:r>
        <w:rPr>
          <w:rFonts w:ascii="Times New Roman" w:hAnsi="Times New Roman" w:cs="Times New Roman"/>
          <w:sz w:val="24"/>
          <w:szCs w:val="24"/>
        </w:rPr>
        <w:t xml:space="preserve">presents the amount of gold found in three different brain regions 24 hours after injection of the six different types of gold nanoparticles solutions. There is no clear pattern of the gold particles distribution in the different brain regions although the observed gold concentration in </w:t>
      </w:r>
      <w:r w:rsidR="00582DE4">
        <w:rPr>
          <w:rFonts w:ascii="Times New Roman" w:hAnsi="Times New Roman" w:cs="Times New Roman"/>
          <w:sz w:val="24"/>
          <w:szCs w:val="24"/>
        </w:rPr>
        <w:t>the</w:t>
      </w:r>
      <w:r w:rsidR="001F69D5">
        <w:rPr>
          <w:rFonts w:ascii="Times New Roman" w:hAnsi="Times New Roman" w:cs="Times New Roman"/>
          <w:sz w:val="24"/>
          <w:szCs w:val="24"/>
        </w:rPr>
        <w:t xml:space="preserve"> </w:t>
      </w:r>
      <w:r w:rsidR="000A7EE4">
        <w:rPr>
          <w:rFonts w:ascii="Times New Roman" w:hAnsi="Times New Roman" w:cs="Times New Roman"/>
          <w:sz w:val="24"/>
          <w:szCs w:val="24"/>
        </w:rPr>
        <w:t xml:space="preserve">hypothalamus </w:t>
      </w:r>
      <w:r>
        <w:rPr>
          <w:rFonts w:ascii="Times New Roman" w:hAnsi="Times New Roman" w:cs="Times New Roman"/>
          <w:sz w:val="24"/>
          <w:szCs w:val="24"/>
        </w:rPr>
        <w:t xml:space="preserve">is higher than in the other regions.  In general, </w:t>
      </w:r>
      <w:r w:rsidR="001F69D5">
        <w:rPr>
          <w:rFonts w:ascii="Times New Roman" w:hAnsi="Times New Roman" w:cs="Times New Roman"/>
          <w:sz w:val="24"/>
          <w:szCs w:val="24"/>
        </w:rPr>
        <w:t>examining</w:t>
      </w:r>
      <w:r w:rsidR="00FD3D0A">
        <w:rPr>
          <w:rFonts w:ascii="Times New Roman" w:hAnsi="Times New Roman" w:cs="Times New Roman"/>
          <w:sz w:val="24"/>
          <w:szCs w:val="24"/>
        </w:rPr>
        <w:t xml:space="preserve"> the overall penetration </w:t>
      </w:r>
      <w:r w:rsidR="001F69D5">
        <w:rPr>
          <w:rFonts w:ascii="Times New Roman" w:hAnsi="Times New Roman" w:cs="Times New Roman"/>
          <w:sz w:val="24"/>
          <w:szCs w:val="24"/>
        </w:rPr>
        <w:t xml:space="preserve">of AuNPs </w:t>
      </w:r>
      <w:r w:rsidR="00FD3D0A">
        <w:rPr>
          <w:rFonts w:ascii="Times New Roman" w:hAnsi="Times New Roman" w:cs="Times New Roman"/>
          <w:sz w:val="24"/>
          <w:szCs w:val="24"/>
        </w:rPr>
        <w:t xml:space="preserve">to the brain, </w:t>
      </w:r>
      <w:r>
        <w:rPr>
          <w:rFonts w:ascii="Times New Roman" w:hAnsi="Times New Roman" w:cs="Times New Roman"/>
          <w:sz w:val="24"/>
          <w:szCs w:val="24"/>
        </w:rPr>
        <w:t>the Classic, PFDT and MUDA types of particles appear to be less efficient in penetrating the BBB</w:t>
      </w:r>
      <w:r w:rsidR="00275DBD">
        <w:rPr>
          <w:rFonts w:ascii="Times New Roman" w:hAnsi="Times New Roman" w:cs="Times New Roman"/>
          <w:sz w:val="24"/>
          <w:szCs w:val="24"/>
        </w:rPr>
        <w:t>.</w:t>
      </w:r>
      <w:r>
        <w:rPr>
          <w:rFonts w:ascii="Times New Roman" w:hAnsi="Times New Roman" w:cs="Times New Roman"/>
          <w:sz w:val="24"/>
          <w:szCs w:val="24"/>
        </w:rPr>
        <w:t xml:space="preserve"> </w:t>
      </w:r>
      <w:r w:rsidR="007F7F18">
        <w:rPr>
          <w:rFonts w:ascii="Times New Roman" w:hAnsi="Times New Roman" w:cs="Times New Roman"/>
          <w:sz w:val="24"/>
          <w:szCs w:val="24"/>
        </w:rPr>
        <w:t xml:space="preserve">It </w:t>
      </w:r>
      <w:r>
        <w:rPr>
          <w:rFonts w:ascii="Times New Roman" w:hAnsi="Times New Roman" w:cs="Times New Roman"/>
          <w:sz w:val="24"/>
          <w:szCs w:val="24"/>
        </w:rPr>
        <w:t xml:space="preserve">is not surprising </w:t>
      </w:r>
      <w:r w:rsidR="007F7F18">
        <w:rPr>
          <w:rFonts w:ascii="Times New Roman" w:hAnsi="Times New Roman" w:cs="Times New Roman"/>
          <w:sz w:val="24"/>
          <w:szCs w:val="24"/>
        </w:rPr>
        <w:t xml:space="preserve">that the PFDT particles show the lowest degree of penetration </w:t>
      </w:r>
      <w:r>
        <w:rPr>
          <w:rFonts w:ascii="Times New Roman" w:hAnsi="Times New Roman" w:cs="Times New Roman"/>
          <w:sz w:val="24"/>
          <w:szCs w:val="24"/>
        </w:rPr>
        <w:t xml:space="preserve">since </w:t>
      </w:r>
      <w:r w:rsidR="007F7F18">
        <w:rPr>
          <w:rFonts w:ascii="Times New Roman" w:hAnsi="Times New Roman" w:cs="Times New Roman"/>
          <w:sz w:val="24"/>
          <w:szCs w:val="24"/>
        </w:rPr>
        <w:t>they</w:t>
      </w:r>
      <w:r>
        <w:rPr>
          <w:rFonts w:ascii="Times New Roman" w:hAnsi="Times New Roman" w:cs="Times New Roman"/>
          <w:sz w:val="24"/>
          <w:szCs w:val="24"/>
        </w:rPr>
        <w:t xml:space="preserve"> have </w:t>
      </w:r>
      <w:r w:rsidR="007F7F18">
        <w:rPr>
          <w:rFonts w:ascii="Times New Roman" w:hAnsi="Times New Roman" w:cs="Times New Roman"/>
          <w:sz w:val="24"/>
          <w:szCs w:val="24"/>
        </w:rPr>
        <w:t xml:space="preserve">a </w:t>
      </w:r>
      <w:r>
        <w:rPr>
          <w:rFonts w:ascii="Times New Roman" w:hAnsi="Times New Roman" w:cs="Times New Roman"/>
          <w:sz w:val="24"/>
          <w:szCs w:val="24"/>
        </w:rPr>
        <w:t xml:space="preserve">hydrophobic nature and </w:t>
      </w:r>
      <w:r w:rsidRPr="00C238C3">
        <w:rPr>
          <w:rFonts w:ascii="Times New Roman" w:hAnsi="Times New Roman" w:cs="Times New Roman"/>
          <w:sz w:val="24"/>
          <w:szCs w:val="24"/>
        </w:rPr>
        <w:t xml:space="preserve">the literature provides several examples of particle-cell interaction, </w:t>
      </w:r>
      <w:r w:rsidR="005152E4">
        <w:rPr>
          <w:rFonts w:ascii="Times New Roman" w:hAnsi="Times New Roman" w:cs="Times New Roman"/>
          <w:sz w:val="24"/>
          <w:szCs w:val="24"/>
        </w:rPr>
        <w:t>emphasiz</w:t>
      </w:r>
      <w:r w:rsidR="005152E4" w:rsidRPr="00C238C3">
        <w:rPr>
          <w:rFonts w:ascii="Times New Roman" w:hAnsi="Times New Roman" w:cs="Times New Roman"/>
          <w:sz w:val="24"/>
          <w:szCs w:val="24"/>
        </w:rPr>
        <w:t xml:space="preserve">ing </w:t>
      </w:r>
      <w:r w:rsidRPr="00C238C3">
        <w:rPr>
          <w:rFonts w:ascii="Times New Roman" w:hAnsi="Times New Roman" w:cs="Times New Roman"/>
          <w:sz w:val="24"/>
          <w:szCs w:val="24"/>
        </w:rPr>
        <w:t>the importance of parameters such as particle charge and hydrophilicity</w:t>
      </w:r>
      <w:r w:rsidR="007F7F18">
        <w:rPr>
          <w:rFonts w:ascii="Times New Roman" w:hAnsi="Times New Roman" w:cs="Times New Roman"/>
          <w:sz w:val="24"/>
          <w:szCs w:val="24"/>
        </w:rPr>
        <w:t xml:space="preserve"> [</w:t>
      </w:r>
      <w:r w:rsidR="00784B9B">
        <w:rPr>
          <w:rFonts w:ascii="Times New Roman" w:hAnsi="Times New Roman" w:cs="Times New Roman"/>
          <w:sz w:val="24"/>
          <w:szCs w:val="24"/>
        </w:rPr>
        <w:t>2-4</w:t>
      </w:r>
      <w:r w:rsidR="007F7F18">
        <w:rPr>
          <w:rFonts w:ascii="Times New Roman" w:hAnsi="Times New Roman" w:cs="Times New Roman"/>
          <w:sz w:val="24"/>
          <w:szCs w:val="24"/>
        </w:rPr>
        <w:t>].</w:t>
      </w:r>
      <w:r w:rsidRPr="00C238C3">
        <w:rPr>
          <w:rFonts w:ascii="Times New Roman" w:hAnsi="Times New Roman" w:cs="Times New Roman"/>
          <w:sz w:val="24"/>
          <w:szCs w:val="24"/>
        </w:rPr>
        <w:t xml:space="preserve"> </w:t>
      </w:r>
      <w:r w:rsidR="00260904">
        <w:rPr>
          <w:rFonts w:ascii="Times New Roman" w:hAnsi="Times New Roman" w:cs="Times New Roman"/>
          <w:sz w:val="24"/>
          <w:szCs w:val="24"/>
        </w:rPr>
        <w:t xml:space="preserve">Moreover, the hydrophobic nature of the PFDT functionalized particle limits the concentration of the AuNPs to small values. </w:t>
      </w:r>
      <w:r>
        <w:rPr>
          <w:rFonts w:ascii="Times New Roman" w:hAnsi="Times New Roman" w:cs="Times New Roman"/>
          <w:sz w:val="24"/>
          <w:szCs w:val="24"/>
        </w:rPr>
        <w:t>Higher BBB permeability is clearly associated with gold particles synthesized by the three green chemistry protocols</w:t>
      </w:r>
      <w:r w:rsidR="00FD3D0A">
        <w:rPr>
          <w:rFonts w:ascii="Times New Roman" w:hAnsi="Times New Roman" w:cs="Times New Roman"/>
          <w:sz w:val="24"/>
          <w:szCs w:val="24"/>
        </w:rPr>
        <w:t xml:space="preserve">. The </w:t>
      </w:r>
      <w:r w:rsidR="007E40B4">
        <w:rPr>
          <w:rFonts w:ascii="Times New Roman" w:hAnsi="Times New Roman" w:cs="Times New Roman"/>
          <w:sz w:val="24"/>
          <w:szCs w:val="24"/>
        </w:rPr>
        <w:t xml:space="preserve">AuNPs </w:t>
      </w:r>
      <w:r w:rsidR="007E40B4" w:rsidRPr="00260904">
        <w:rPr>
          <w:rFonts w:ascii="Times New Roman" w:hAnsi="Times New Roman" w:cs="Times New Roman"/>
          <w:sz w:val="24"/>
          <w:szCs w:val="24"/>
        </w:rPr>
        <w:t>prepared</w:t>
      </w:r>
      <w:r w:rsidR="007E40B4" w:rsidRPr="00D927A7">
        <w:rPr>
          <w:rFonts w:ascii="Times New Roman" w:hAnsi="Times New Roman" w:cs="Times New Roman"/>
          <w:sz w:val="24"/>
          <w:szCs w:val="24"/>
        </w:rPr>
        <w:t xml:space="preserve"> </w:t>
      </w:r>
      <w:r w:rsidR="00260904" w:rsidRPr="00D927A7">
        <w:rPr>
          <w:rFonts w:ascii="Times New Roman" w:hAnsi="Times New Roman" w:cs="Times New Roman"/>
          <w:sz w:val="24"/>
          <w:szCs w:val="24"/>
        </w:rPr>
        <w:t>using</w:t>
      </w:r>
      <w:r w:rsidR="00582DE4" w:rsidRPr="00D927A7">
        <w:rPr>
          <w:rFonts w:ascii="Times New Roman" w:hAnsi="Times New Roman" w:cs="Times New Roman"/>
          <w:sz w:val="24"/>
          <w:szCs w:val="24"/>
        </w:rPr>
        <w:t xml:space="preserve"> </w:t>
      </w:r>
      <w:r w:rsidRPr="00D927A7">
        <w:rPr>
          <w:rFonts w:ascii="Times New Roman" w:hAnsi="Times New Roman" w:cs="Times New Roman"/>
          <w:sz w:val="24"/>
          <w:szCs w:val="24"/>
        </w:rPr>
        <w:t xml:space="preserve">Geranium </w:t>
      </w:r>
      <w:r w:rsidR="00582DE4" w:rsidRPr="00D927A7">
        <w:rPr>
          <w:rFonts w:ascii="Times New Roman" w:hAnsi="Times New Roman" w:cs="Times New Roman"/>
          <w:sz w:val="24"/>
          <w:szCs w:val="24"/>
        </w:rPr>
        <w:t>extracts</w:t>
      </w:r>
      <w:r w:rsidR="000A7EE4" w:rsidRPr="00260904">
        <w:rPr>
          <w:rFonts w:ascii="Times New Roman" w:hAnsi="Times New Roman" w:cs="Times New Roman"/>
          <w:sz w:val="24"/>
          <w:szCs w:val="24"/>
        </w:rPr>
        <w:t xml:space="preserve">, </w:t>
      </w:r>
      <w:r w:rsidR="00260904">
        <w:rPr>
          <w:rFonts w:ascii="Times New Roman" w:hAnsi="Times New Roman" w:cs="Times New Roman"/>
          <w:sz w:val="24"/>
          <w:szCs w:val="24"/>
        </w:rPr>
        <w:t xml:space="preserve">were chosen </w:t>
      </w:r>
      <w:r w:rsidR="00D927A7">
        <w:rPr>
          <w:rFonts w:ascii="Times New Roman" w:hAnsi="Times New Roman" w:cs="Times New Roman"/>
          <w:sz w:val="24"/>
          <w:szCs w:val="24"/>
        </w:rPr>
        <w:t>to</w:t>
      </w:r>
      <w:r w:rsidR="00260904">
        <w:rPr>
          <w:rFonts w:ascii="Times New Roman" w:hAnsi="Times New Roman" w:cs="Times New Roman"/>
          <w:sz w:val="24"/>
          <w:szCs w:val="24"/>
        </w:rPr>
        <w:t xml:space="preserve"> be used in the present study </w:t>
      </w:r>
      <w:r w:rsidR="0014526B">
        <w:rPr>
          <w:rFonts w:ascii="Times New Roman" w:hAnsi="Times New Roman" w:cs="Times New Roman"/>
          <w:sz w:val="24"/>
          <w:szCs w:val="24"/>
        </w:rPr>
        <w:t xml:space="preserve">due to three reasons: </w:t>
      </w:r>
      <w:r w:rsidR="00D927A7">
        <w:rPr>
          <w:rFonts w:ascii="Times New Roman" w:hAnsi="Times New Roman" w:cs="Times New Roman"/>
          <w:sz w:val="24"/>
          <w:szCs w:val="24"/>
        </w:rPr>
        <w:t>its</w:t>
      </w:r>
      <w:r w:rsidR="00260904">
        <w:rPr>
          <w:rFonts w:ascii="Times New Roman" w:hAnsi="Times New Roman" w:cs="Times New Roman"/>
          <w:sz w:val="24"/>
          <w:szCs w:val="24"/>
        </w:rPr>
        <w:t xml:space="preserve"> ease of synthesis</w:t>
      </w:r>
      <w:r w:rsidR="0014526B">
        <w:rPr>
          <w:rFonts w:ascii="Times New Roman" w:hAnsi="Times New Roman" w:cs="Times New Roman"/>
          <w:sz w:val="24"/>
          <w:szCs w:val="24"/>
        </w:rPr>
        <w:t>, its</w:t>
      </w:r>
      <w:r w:rsidR="00260904">
        <w:rPr>
          <w:rFonts w:ascii="Times New Roman" w:hAnsi="Times New Roman" w:cs="Times New Roman"/>
          <w:sz w:val="24"/>
          <w:szCs w:val="24"/>
        </w:rPr>
        <w:t xml:space="preserve"> good </w:t>
      </w:r>
      <w:r w:rsidR="00D927A7">
        <w:rPr>
          <w:rFonts w:ascii="Times New Roman" w:hAnsi="Times New Roman" w:cs="Times New Roman"/>
          <w:sz w:val="24"/>
          <w:szCs w:val="24"/>
        </w:rPr>
        <w:t xml:space="preserve">overall </w:t>
      </w:r>
      <w:r w:rsidR="00260904">
        <w:rPr>
          <w:rFonts w:ascii="Times New Roman" w:hAnsi="Times New Roman" w:cs="Times New Roman"/>
          <w:sz w:val="24"/>
          <w:szCs w:val="24"/>
        </w:rPr>
        <w:t xml:space="preserve">performance as seen in Fig. </w:t>
      </w:r>
      <w:r w:rsidR="005C3401">
        <w:rPr>
          <w:rFonts w:ascii="Times New Roman" w:hAnsi="Times New Roman" w:cs="Times New Roman"/>
          <w:sz w:val="24"/>
          <w:szCs w:val="24"/>
        </w:rPr>
        <w:t>S1</w:t>
      </w:r>
      <w:r w:rsidR="0014526B">
        <w:rPr>
          <w:rFonts w:ascii="Times New Roman" w:hAnsi="Times New Roman" w:cs="Times New Roman"/>
          <w:sz w:val="24"/>
          <w:szCs w:val="24"/>
        </w:rPr>
        <w:t xml:space="preserve"> and its smallest diameter as observed in the DLS measurements[18]</w:t>
      </w:r>
      <w:r w:rsidR="00260904">
        <w:rPr>
          <w:rFonts w:ascii="Times New Roman" w:hAnsi="Times New Roman" w:cs="Times New Roman"/>
          <w:sz w:val="24"/>
          <w:szCs w:val="24"/>
        </w:rPr>
        <w:t>.</w:t>
      </w:r>
      <w:r>
        <w:rPr>
          <w:rFonts w:ascii="Times New Roman" w:hAnsi="Times New Roman" w:cs="Times New Roman"/>
          <w:sz w:val="24"/>
          <w:szCs w:val="24"/>
        </w:rPr>
        <w:t xml:space="preserve">  </w:t>
      </w:r>
    </w:p>
    <w:p w:rsidR="00BD52C4" w:rsidRDefault="00BD52C4" w:rsidP="00BD52C4">
      <w:pPr>
        <w:spacing w:after="0" w:line="360" w:lineRule="auto"/>
        <w:rPr>
          <w:rFonts w:ascii="Times New Roman" w:hAnsi="Times New Roman" w:cs="Times New Roman"/>
          <w:sz w:val="24"/>
          <w:szCs w:val="24"/>
        </w:rPr>
      </w:pPr>
    </w:p>
    <w:p w:rsidR="00BD52C4" w:rsidRDefault="00BD52C4" w:rsidP="00BD52C4">
      <w:pPr>
        <w:spacing w:after="0" w:line="360" w:lineRule="auto"/>
        <w:rPr>
          <w:rFonts w:ascii="Arial" w:hAnsi="Arial"/>
          <w:sz w:val="24"/>
          <w:szCs w:val="24"/>
        </w:rPr>
      </w:pPr>
    </w:p>
    <w:p w:rsidR="00BD52C4" w:rsidRPr="009F247B" w:rsidRDefault="00BD52C4" w:rsidP="00BD52C4">
      <w:pPr>
        <w:spacing w:after="0" w:line="360" w:lineRule="auto"/>
        <w:rPr>
          <w:rFonts w:ascii="Arial" w:hAnsi="Arial"/>
          <w:sz w:val="24"/>
          <w:szCs w:val="24"/>
        </w:rPr>
      </w:pPr>
    </w:p>
    <w:p w:rsidR="00BD52C4" w:rsidRPr="009F247B" w:rsidRDefault="00314E72" w:rsidP="00BD52C4">
      <w:pPr>
        <w:spacing w:after="0" w:line="360" w:lineRule="auto"/>
        <w:jc w:val="center"/>
        <w:rPr>
          <w:rFonts w:ascii="Arial" w:hAnsi="Arial"/>
          <w:sz w:val="24"/>
          <w:szCs w:val="24"/>
        </w:rPr>
      </w:pPr>
      <w:r>
        <w:object w:dxaOrig="7187" w:dyaOrig="5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317.4pt" o:ole="">
            <v:imagedata r:id="rId6" o:title=""/>
          </v:shape>
          <o:OLEObject Type="Embed" ProgID="Origin50.Graph" ShapeID="_x0000_i1025" DrawAspect="Content" ObjectID="_1506582628" r:id="rId7"/>
        </w:object>
      </w:r>
    </w:p>
    <w:p w:rsidR="00BD52C4" w:rsidRPr="009F247B" w:rsidRDefault="00BD52C4" w:rsidP="00BD52C4">
      <w:pPr>
        <w:spacing w:after="0" w:line="360" w:lineRule="auto"/>
        <w:rPr>
          <w:rFonts w:ascii="Arial" w:hAnsi="Arial"/>
          <w:sz w:val="24"/>
          <w:szCs w:val="24"/>
        </w:rPr>
      </w:pPr>
    </w:p>
    <w:p w:rsidR="00BD52C4" w:rsidRPr="007C3E00" w:rsidRDefault="00BD52C4" w:rsidP="005C3401">
      <w:pPr>
        <w:spacing w:line="360" w:lineRule="auto"/>
        <w:rPr>
          <w:rFonts w:ascii="Times New Roman" w:hAnsi="Times New Roman" w:cs="Times New Roman"/>
          <w:sz w:val="24"/>
          <w:szCs w:val="24"/>
        </w:rPr>
      </w:pPr>
      <w:r w:rsidRPr="00802B96">
        <w:rPr>
          <w:rFonts w:ascii="Times New Roman" w:hAnsi="Times New Roman" w:cs="Times New Roman"/>
          <w:b/>
          <w:bCs/>
          <w:sz w:val="24"/>
          <w:szCs w:val="24"/>
        </w:rPr>
        <w:t xml:space="preserve">Figure </w:t>
      </w:r>
      <w:r w:rsidR="00D92C73">
        <w:rPr>
          <w:rFonts w:ascii="Times New Roman" w:hAnsi="Times New Roman" w:cs="Times New Roman"/>
          <w:b/>
          <w:bCs/>
          <w:sz w:val="24"/>
          <w:szCs w:val="24"/>
        </w:rPr>
        <w:t>S</w:t>
      </w:r>
      <w:r w:rsidR="005C3401">
        <w:rPr>
          <w:rFonts w:ascii="Times New Roman" w:hAnsi="Times New Roman" w:cs="Times New Roman"/>
          <w:b/>
          <w:bCs/>
          <w:sz w:val="24"/>
          <w:szCs w:val="24"/>
        </w:rPr>
        <w:t>1</w:t>
      </w:r>
      <w:r w:rsidRPr="00802B96">
        <w:rPr>
          <w:rFonts w:ascii="Times New Roman" w:hAnsi="Times New Roman" w:cs="Times New Roman"/>
          <w:b/>
          <w:bCs/>
          <w:sz w:val="24"/>
          <w:szCs w:val="24"/>
        </w:rPr>
        <w:t xml:space="preserve">: </w:t>
      </w:r>
      <w:r w:rsidRPr="00022E7C">
        <w:rPr>
          <w:rFonts w:ascii="Times New Roman" w:hAnsi="Times New Roman" w:cs="Times New Roman"/>
          <w:sz w:val="24"/>
          <w:szCs w:val="24"/>
        </w:rPr>
        <w:t>Gold distribution in three brain regions for gold nanoparticles obtained by the six preparations</w:t>
      </w:r>
      <w:r w:rsidR="007F7F18">
        <w:rPr>
          <w:rFonts w:ascii="Times New Roman" w:hAnsi="Times New Roman" w:cs="Times New Roman"/>
          <w:sz w:val="24"/>
          <w:szCs w:val="24"/>
        </w:rPr>
        <w:t xml:space="preserve"> described in the text</w:t>
      </w:r>
      <w:r w:rsidRPr="00022E7C">
        <w:rPr>
          <w:rFonts w:ascii="Times New Roman" w:hAnsi="Times New Roman" w:cs="Times New Roman"/>
          <w:sz w:val="24"/>
          <w:szCs w:val="24"/>
        </w:rPr>
        <w:t>.</w:t>
      </w:r>
    </w:p>
    <w:p w:rsidR="00440218" w:rsidRDefault="00440218" w:rsidP="00440218">
      <w:pPr>
        <w:autoSpaceDE w:val="0"/>
        <w:autoSpaceDN w:val="0"/>
        <w:adjustRightInd w:val="0"/>
        <w:rPr>
          <w:rFonts w:ascii="Times New Roman" w:hAnsi="Times New Roman" w:cs="Times New Roman"/>
          <w:sz w:val="24"/>
          <w:szCs w:val="24"/>
        </w:rPr>
      </w:pPr>
    </w:p>
    <w:p w:rsidR="00440218" w:rsidRPr="002E71F4" w:rsidRDefault="00440218" w:rsidP="00784B9B">
      <w:pPr>
        <w:spacing w:after="120" w:line="360" w:lineRule="auto"/>
        <w:rPr>
          <w:rFonts w:ascii="Times New Roman" w:hAnsi="Times New Roman" w:cs="Times New Roman"/>
          <w:sz w:val="24"/>
          <w:szCs w:val="24"/>
        </w:rPr>
      </w:pPr>
      <w:r>
        <w:rPr>
          <w:rFonts w:ascii="Times New Roman" w:hAnsi="Times New Roman" w:cs="Times New Roman"/>
          <w:sz w:val="24"/>
          <w:szCs w:val="24"/>
        </w:rPr>
        <w:t>(</w:t>
      </w:r>
      <w:r w:rsidR="00784B9B">
        <w:rPr>
          <w:rFonts w:ascii="Times New Roman" w:hAnsi="Times New Roman" w:cs="Times New Roman"/>
          <w:sz w:val="24"/>
          <w:szCs w:val="24"/>
        </w:rPr>
        <w:t>1</w:t>
      </w:r>
      <w:r>
        <w:rPr>
          <w:rFonts w:ascii="Times New Roman" w:hAnsi="Times New Roman" w:cs="Times New Roman"/>
          <w:sz w:val="24"/>
          <w:szCs w:val="24"/>
        </w:rPr>
        <w:t>)</w:t>
      </w:r>
      <w:r w:rsidRPr="0087019B">
        <w:rPr>
          <w:rFonts w:ascii="Times New Roman" w:hAnsi="Times New Roman" w:cs="Times New Roman"/>
          <w:sz w:val="24"/>
          <w:szCs w:val="24"/>
        </w:rPr>
        <w:t xml:space="preserve"> </w:t>
      </w:r>
      <w:r w:rsidRPr="002E71F4">
        <w:rPr>
          <w:rFonts w:ascii="Times New Roman" w:hAnsi="Times New Roman" w:cs="Times New Roman"/>
          <w:sz w:val="24"/>
          <w:szCs w:val="24"/>
        </w:rPr>
        <w:t>Frens G</w:t>
      </w:r>
      <w:r w:rsidR="004324CE">
        <w:rPr>
          <w:rFonts w:ascii="Times New Roman" w:hAnsi="Times New Roman" w:cs="Times New Roman"/>
          <w:sz w:val="24"/>
          <w:szCs w:val="24"/>
        </w:rPr>
        <w:t>.</w:t>
      </w:r>
      <w:r w:rsidRPr="002E71F4">
        <w:rPr>
          <w:rFonts w:ascii="Times New Roman" w:hAnsi="Times New Roman" w:cs="Times New Roman"/>
          <w:sz w:val="24"/>
          <w:szCs w:val="24"/>
        </w:rPr>
        <w:t xml:space="preserve"> Controlled nucleation for the regulation of the particle size in monodisperse gold </w:t>
      </w:r>
      <w:r w:rsidRPr="0031219A">
        <w:rPr>
          <w:rFonts w:ascii="Times New Roman" w:hAnsi="Times New Roman" w:cs="Times New Roman"/>
          <w:sz w:val="24"/>
          <w:szCs w:val="24"/>
        </w:rPr>
        <w:t xml:space="preserve">solutions. </w:t>
      </w:r>
      <w:r w:rsidRPr="004324CE">
        <w:rPr>
          <w:rFonts w:ascii="Times New Roman" w:hAnsi="Times New Roman" w:cs="Times New Roman"/>
          <w:i/>
          <w:iCs/>
          <w:sz w:val="24"/>
          <w:szCs w:val="24"/>
        </w:rPr>
        <w:t>Nat.Phys.Sci.</w:t>
      </w:r>
      <w:r w:rsidRPr="0031219A">
        <w:rPr>
          <w:rFonts w:ascii="Times New Roman" w:hAnsi="Times New Roman" w:cs="Times New Roman"/>
          <w:sz w:val="24"/>
          <w:szCs w:val="24"/>
        </w:rPr>
        <w:t xml:space="preserve"> 241, 20-22 (1973).</w:t>
      </w:r>
    </w:p>
    <w:p w:rsidR="00440218" w:rsidRDefault="00440218" w:rsidP="00784B9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00784B9B">
        <w:rPr>
          <w:rFonts w:ascii="Times New Roman" w:hAnsi="Times New Roman" w:cs="Times New Roman"/>
          <w:sz w:val="24"/>
          <w:szCs w:val="24"/>
        </w:rPr>
        <w:t>2</w:t>
      </w:r>
      <w:r>
        <w:rPr>
          <w:rFonts w:ascii="Times New Roman" w:hAnsi="Times New Roman" w:cs="Times New Roman"/>
          <w:sz w:val="24"/>
          <w:szCs w:val="24"/>
        </w:rPr>
        <w:t>)</w:t>
      </w:r>
      <w:r w:rsidRPr="0087019B">
        <w:rPr>
          <w:rFonts w:ascii="Times New Roman" w:hAnsi="Times New Roman" w:cs="Times New Roman"/>
          <w:sz w:val="24"/>
          <w:szCs w:val="24"/>
        </w:rPr>
        <w:t xml:space="preserve"> Sun X</w:t>
      </w:r>
      <w:r>
        <w:rPr>
          <w:rFonts w:ascii="Times New Roman" w:hAnsi="Times New Roman" w:cs="Times New Roman"/>
          <w:sz w:val="24"/>
          <w:szCs w:val="24"/>
        </w:rPr>
        <w:t>,</w:t>
      </w:r>
      <w:r w:rsidRPr="0087019B">
        <w:rPr>
          <w:rFonts w:ascii="Times New Roman" w:hAnsi="Times New Roman" w:cs="Times New Roman"/>
          <w:sz w:val="24"/>
          <w:szCs w:val="24"/>
        </w:rPr>
        <w:t xml:space="preserve"> Rossin R</w:t>
      </w:r>
      <w:r>
        <w:rPr>
          <w:rFonts w:ascii="Times New Roman" w:hAnsi="Times New Roman" w:cs="Times New Roman"/>
          <w:sz w:val="24"/>
          <w:szCs w:val="24"/>
        </w:rPr>
        <w:t>,</w:t>
      </w:r>
      <w:r w:rsidRPr="0087019B">
        <w:rPr>
          <w:rFonts w:ascii="Times New Roman" w:hAnsi="Times New Roman" w:cs="Times New Roman"/>
          <w:sz w:val="24"/>
          <w:szCs w:val="24"/>
        </w:rPr>
        <w:t xml:space="preserve"> Turner J.</w:t>
      </w:r>
      <w:r>
        <w:rPr>
          <w:rFonts w:ascii="Times New Roman" w:hAnsi="Times New Roman" w:cs="Times New Roman"/>
          <w:sz w:val="24"/>
          <w:szCs w:val="24"/>
        </w:rPr>
        <w:t>,</w:t>
      </w:r>
      <w:r w:rsidRPr="0087019B">
        <w:rPr>
          <w:rFonts w:ascii="Times New Roman" w:hAnsi="Times New Roman" w:cs="Times New Roman"/>
          <w:sz w:val="24"/>
          <w:szCs w:val="24"/>
        </w:rPr>
        <w:t xml:space="preserve"> </w:t>
      </w:r>
      <w:r>
        <w:rPr>
          <w:rFonts w:ascii="Times New Roman" w:hAnsi="Times New Roman" w:cs="Times New Roman"/>
          <w:sz w:val="24"/>
          <w:szCs w:val="24"/>
        </w:rPr>
        <w:t>et al.</w:t>
      </w:r>
      <w:r w:rsidRPr="0087019B">
        <w:rPr>
          <w:rFonts w:ascii="Times New Roman" w:hAnsi="Times New Roman" w:cs="Times New Roman"/>
          <w:sz w:val="24"/>
          <w:szCs w:val="24"/>
        </w:rPr>
        <w:t xml:space="preserve"> An assessment of the effects of shell cross-linked nanoparticle size, core composition, and surface PEGylation on in vivo biodistribution</w:t>
      </w:r>
      <w:r>
        <w:rPr>
          <w:rFonts w:ascii="Times New Roman" w:hAnsi="Times New Roman" w:cs="Times New Roman"/>
          <w:sz w:val="24"/>
          <w:szCs w:val="24"/>
        </w:rPr>
        <w:t>.</w:t>
      </w:r>
      <w:r w:rsidRPr="0087019B">
        <w:rPr>
          <w:rFonts w:ascii="Times New Roman" w:hAnsi="Times New Roman" w:cs="Times New Roman"/>
          <w:sz w:val="24"/>
          <w:szCs w:val="24"/>
        </w:rPr>
        <w:t xml:space="preserve"> </w:t>
      </w:r>
      <w:r w:rsidRPr="004324CE">
        <w:rPr>
          <w:rFonts w:ascii="Times New Roman" w:hAnsi="Times New Roman" w:cs="Times New Roman"/>
          <w:i/>
          <w:iCs/>
          <w:sz w:val="24"/>
          <w:szCs w:val="24"/>
        </w:rPr>
        <w:t>Biomacromolecule</w:t>
      </w:r>
      <w:r w:rsidR="004324CE">
        <w:rPr>
          <w:rFonts w:ascii="Times New Roman" w:hAnsi="Times New Roman" w:cs="Times New Roman"/>
          <w:i/>
          <w:iCs/>
          <w:sz w:val="24"/>
          <w:szCs w:val="24"/>
        </w:rPr>
        <w:t>s.</w:t>
      </w:r>
      <w:r>
        <w:rPr>
          <w:rFonts w:ascii="Times New Roman" w:hAnsi="Times New Roman" w:cs="Times New Roman"/>
          <w:sz w:val="24"/>
          <w:szCs w:val="24"/>
        </w:rPr>
        <w:t xml:space="preserve"> 6,</w:t>
      </w:r>
      <w:r w:rsidRPr="00A424A2">
        <w:rPr>
          <w:rFonts w:ascii="Times New Roman" w:hAnsi="Times New Roman" w:cs="Times New Roman"/>
          <w:sz w:val="24"/>
          <w:szCs w:val="24"/>
        </w:rPr>
        <w:t xml:space="preserve"> 2541–2554</w:t>
      </w:r>
      <w:r>
        <w:rPr>
          <w:rFonts w:ascii="Times New Roman" w:hAnsi="Times New Roman" w:cs="Times New Roman"/>
          <w:sz w:val="24"/>
          <w:szCs w:val="24"/>
        </w:rPr>
        <w:t xml:space="preserve"> (2005)</w:t>
      </w:r>
      <w:r w:rsidRPr="00A424A2">
        <w:rPr>
          <w:rFonts w:ascii="Times New Roman" w:hAnsi="Times New Roman" w:cs="Times New Roman"/>
          <w:sz w:val="24"/>
          <w:szCs w:val="24"/>
        </w:rPr>
        <w:t>.</w:t>
      </w:r>
    </w:p>
    <w:p w:rsidR="00440218" w:rsidRPr="0087019B" w:rsidRDefault="00440218" w:rsidP="00440218">
      <w:pPr>
        <w:autoSpaceDE w:val="0"/>
        <w:autoSpaceDN w:val="0"/>
        <w:adjustRightInd w:val="0"/>
        <w:spacing w:after="0" w:line="240" w:lineRule="auto"/>
        <w:rPr>
          <w:rFonts w:ascii="Times New Roman" w:hAnsi="Times New Roman" w:cs="Times New Roman"/>
          <w:i/>
          <w:iCs/>
          <w:sz w:val="24"/>
          <w:szCs w:val="24"/>
        </w:rPr>
      </w:pPr>
    </w:p>
    <w:p w:rsidR="00440218" w:rsidRPr="001E7F8F" w:rsidRDefault="00440218" w:rsidP="00784B9B">
      <w:pPr>
        <w:autoSpaceDE w:val="0"/>
        <w:autoSpaceDN w:val="0"/>
        <w:adjustRightInd w:val="0"/>
        <w:spacing w:after="0" w:line="240" w:lineRule="auto"/>
        <w:rPr>
          <w:rFonts w:ascii="Times New Roman" w:hAnsi="Times New Roman" w:cs="Times New Roman"/>
          <w:sz w:val="24"/>
          <w:szCs w:val="24"/>
        </w:rPr>
      </w:pPr>
      <w:r w:rsidRPr="0087019B" w:rsidDel="001E7F8F">
        <w:rPr>
          <w:rFonts w:ascii="Times New Roman" w:hAnsi="Times New Roman" w:cs="Times New Roman"/>
          <w:sz w:val="24"/>
          <w:szCs w:val="24"/>
        </w:rPr>
        <w:t xml:space="preserve"> </w:t>
      </w:r>
      <w:r>
        <w:rPr>
          <w:rFonts w:ascii="Times New Roman" w:hAnsi="Times New Roman" w:cs="Times New Roman"/>
          <w:sz w:val="24"/>
          <w:szCs w:val="24"/>
        </w:rPr>
        <w:t>(</w:t>
      </w:r>
      <w:r w:rsidR="00784B9B">
        <w:rPr>
          <w:rFonts w:ascii="Times New Roman" w:hAnsi="Times New Roman" w:cs="Times New Roman"/>
          <w:sz w:val="24"/>
          <w:szCs w:val="24"/>
        </w:rPr>
        <w:t>3</w:t>
      </w:r>
      <w:r>
        <w:rPr>
          <w:rFonts w:ascii="Times New Roman" w:hAnsi="Times New Roman" w:cs="Times New Roman"/>
          <w:sz w:val="24"/>
          <w:szCs w:val="24"/>
        </w:rPr>
        <w:t>)</w:t>
      </w:r>
      <w:r w:rsidRPr="0087019B">
        <w:rPr>
          <w:rFonts w:ascii="Times New Roman" w:hAnsi="Times New Roman" w:cs="Times New Roman"/>
          <w:sz w:val="24"/>
          <w:szCs w:val="24"/>
        </w:rPr>
        <w:t xml:space="preserve"> Avgoustakis K</w:t>
      </w:r>
      <w:r>
        <w:rPr>
          <w:rFonts w:ascii="Times New Roman" w:hAnsi="Times New Roman" w:cs="Times New Roman"/>
          <w:sz w:val="24"/>
          <w:szCs w:val="24"/>
        </w:rPr>
        <w:t>,</w:t>
      </w:r>
      <w:r w:rsidRPr="0087019B">
        <w:rPr>
          <w:rFonts w:ascii="Times New Roman" w:hAnsi="Times New Roman" w:cs="Times New Roman"/>
          <w:sz w:val="24"/>
          <w:szCs w:val="24"/>
        </w:rPr>
        <w:t xml:space="preserve"> Beletsi A</w:t>
      </w:r>
      <w:r>
        <w:rPr>
          <w:rFonts w:ascii="Times New Roman" w:hAnsi="Times New Roman" w:cs="Times New Roman"/>
          <w:sz w:val="24"/>
          <w:szCs w:val="24"/>
        </w:rPr>
        <w:t>,</w:t>
      </w:r>
      <w:r w:rsidRPr="0087019B">
        <w:rPr>
          <w:rFonts w:ascii="Times New Roman" w:hAnsi="Times New Roman" w:cs="Times New Roman"/>
          <w:sz w:val="24"/>
          <w:szCs w:val="24"/>
        </w:rPr>
        <w:t xml:space="preserve"> Panagi Z</w:t>
      </w:r>
      <w:r>
        <w:rPr>
          <w:rFonts w:ascii="Times New Roman" w:hAnsi="Times New Roman" w:cs="Times New Roman"/>
          <w:sz w:val="24"/>
          <w:szCs w:val="24"/>
        </w:rPr>
        <w:t>,</w:t>
      </w:r>
      <w:r w:rsidRPr="0087019B">
        <w:rPr>
          <w:rFonts w:ascii="Times New Roman" w:hAnsi="Times New Roman" w:cs="Times New Roman"/>
          <w:sz w:val="24"/>
          <w:szCs w:val="24"/>
        </w:rPr>
        <w:t xml:space="preserve"> </w:t>
      </w:r>
      <w:r>
        <w:rPr>
          <w:rFonts w:ascii="Times New Roman" w:hAnsi="Times New Roman" w:cs="Times New Roman"/>
          <w:sz w:val="24"/>
          <w:szCs w:val="24"/>
        </w:rPr>
        <w:t>et al.</w:t>
      </w:r>
      <w:r w:rsidRPr="0087019B">
        <w:rPr>
          <w:rFonts w:ascii="Times New Roman" w:hAnsi="Times New Roman" w:cs="Times New Roman"/>
          <w:sz w:val="24"/>
          <w:szCs w:val="24"/>
        </w:rPr>
        <w:t xml:space="preserve"> Effect of copolymer composition on the physicochemical characteristics, in vitro stability, and biodistribution of </w:t>
      </w:r>
      <w:r w:rsidRPr="0087019B">
        <w:rPr>
          <w:rFonts w:ascii="Times New Roman" w:hAnsi="Times New Roman" w:cs="Times New Roman"/>
          <w:sz w:val="24"/>
          <w:szCs w:val="24"/>
          <w:lang w:val="fr-FR"/>
        </w:rPr>
        <w:t>PLGA–mPEG</w:t>
      </w:r>
      <w:r>
        <w:rPr>
          <w:rFonts w:ascii="Times New Roman" w:hAnsi="Times New Roman" w:cs="Times New Roman"/>
          <w:sz w:val="24"/>
          <w:szCs w:val="24"/>
          <w:lang w:val="fr-FR"/>
        </w:rPr>
        <w:t xml:space="preserve"> nanoparticles.</w:t>
      </w:r>
      <w:r w:rsidRPr="0087019B">
        <w:rPr>
          <w:rFonts w:ascii="Times New Roman" w:hAnsi="Times New Roman" w:cs="Times New Roman"/>
          <w:sz w:val="24"/>
          <w:szCs w:val="24"/>
          <w:lang w:val="fr-FR"/>
        </w:rPr>
        <w:t xml:space="preserve"> </w:t>
      </w:r>
      <w:r w:rsidRPr="004324CE">
        <w:rPr>
          <w:rFonts w:ascii="Times New Roman" w:hAnsi="Times New Roman" w:cs="Times New Roman"/>
          <w:i/>
          <w:iCs/>
          <w:sz w:val="24"/>
          <w:szCs w:val="24"/>
          <w:lang w:val="fr-FR"/>
        </w:rPr>
        <w:t>Int. J. Pharm.</w:t>
      </w:r>
      <w:r w:rsidRPr="001E7F8F">
        <w:rPr>
          <w:rFonts w:ascii="Times New Roman" w:hAnsi="Times New Roman" w:cs="Times New Roman"/>
          <w:sz w:val="24"/>
          <w:szCs w:val="24"/>
          <w:lang w:val="fr-FR"/>
        </w:rPr>
        <w:t xml:space="preserve"> </w:t>
      </w:r>
      <w:r w:rsidRPr="001E7F8F">
        <w:rPr>
          <w:rFonts w:ascii="Times New Roman" w:hAnsi="Times New Roman" w:cs="Times New Roman"/>
          <w:sz w:val="24"/>
          <w:szCs w:val="24"/>
        </w:rPr>
        <w:t>259</w:t>
      </w:r>
      <w:r>
        <w:rPr>
          <w:rFonts w:ascii="Times New Roman" w:hAnsi="Times New Roman" w:cs="Times New Roman"/>
          <w:sz w:val="24"/>
          <w:szCs w:val="24"/>
        </w:rPr>
        <w:t xml:space="preserve">, </w:t>
      </w:r>
      <w:r w:rsidRPr="001E7F8F">
        <w:rPr>
          <w:rFonts w:ascii="Times New Roman" w:hAnsi="Times New Roman" w:cs="Times New Roman"/>
          <w:sz w:val="24"/>
          <w:szCs w:val="24"/>
        </w:rPr>
        <w:t>115–127</w:t>
      </w:r>
      <w:r>
        <w:rPr>
          <w:rFonts w:ascii="Times New Roman" w:hAnsi="Times New Roman" w:cs="Times New Roman"/>
          <w:sz w:val="24"/>
          <w:szCs w:val="24"/>
        </w:rPr>
        <w:t xml:space="preserve"> (2003)</w:t>
      </w:r>
      <w:r w:rsidRPr="001E7F8F">
        <w:rPr>
          <w:rFonts w:ascii="Times New Roman" w:hAnsi="Times New Roman" w:cs="Times New Roman"/>
          <w:sz w:val="24"/>
          <w:szCs w:val="24"/>
        </w:rPr>
        <w:t>.</w:t>
      </w:r>
    </w:p>
    <w:p w:rsidR="00440218" w:rsidRPr="0087019B" w:rsidRDefault="00440218" w:rsidP="00440218">
      <w:pPr>
        <w:autoSpaceDE w:val="0"/>
        <w:autoSpaceDN w:val="0"/>
        <w:adjustRightInd w:val="0"/>
        <w:spacing w:after="0" w:line="240" w:lineRule="auto"/>
        <w:rPr>
          <w:rFonts w:ascii="Times New Roman" w:hAnsi="Times New Roman" w:cs="Times New Roman"/>
          <w:sz w:val="24"/>
          <w:szCs w:val="24"/>
        </w:rPr>
      </w:pPr>
    </w:p>
    <w:p w:rsidR="00440218" w:rsidRPr="0087019B" w:rsidRDefault="00440218" w:rsidP="00784B9B">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lastRenderedPageBreak/>
        <w:t>(</w:t>
      </w:r>
      <w:r w:rsidR="00784B9B">
        <w:rPr>
          <w:rFonts w:ascii="Times New Roman" w:hAnsi="Times New Roman" w:cs="Times New Roman"/>
          <w:sz w:val="24"/>
          <w:szCs w:val="24"/>
        </w:rPr>
        <w:t>4</w:t>
      </w:r>
      <w:r>
        <w:rPr>
          <w:rFonts w:ascii="Times New Roman" w:hAnsi="Times New Roman" w:cs="Times New Roman"/>
          <w:sz w:val="24"/>
          <w:szCs w:val="24"/>
        </w:rPr>
        <w:t>)</w:t>
      </w:r>
      <w:r w:rsidRPr="0087019B">
        <w:rPr>
          <w:rFonts w:ascii="Times New Roman" w:hAnsi="Times New Roman" w:cs="Times New Roman"/>
          <w:sz w:val="24"/>
          <w:szCs w:val="24"/>
        </w:rPr>
        <w:t xml:space="preserve"> Illum L</w:t>
      </w:r>
      <w:r>
        <w:rPr>
          <w:rFonts w:ascii="Times New Roman" w:hAnsi="Times New Roman" w:cs="Times New Roman"/>
          <w:sz w:val="24"/>
          <w:szCs w:val="24"/>
        </w:rPr>
        <w:t>,</w:t>
      </w:r>
      <w:r w:rsidRPr="0087019B">
        <w:rPr>
          <w:rFonts w:ascii="Times New Roman" w:hAnsi="Times New Roman" w:cs="Times New Roman"/>
          <w:sz w:val="24"/>
          <w:szCs w:val="24"/>
        </w:rPr>
        <w:t xml:space="preserve"> Davis SS</w:t>
      </w:r>
      <w:r>
        <w:rPr>
          <w:rFonts w:ascii="Times New Roman" w:hAnsi="Times New Roman" w:cs="Times New Roman"/>
          <w:sz w:val="24"/>
          <w:szCs w:val="24"/>
        </w:rPr>
        <w:t>,</w:t>
      </w:r>
      <w:r w:rsidRPr="0087019B">
        <w:rPr>
          <w:rFonts w:ascii="Times New Roman" w:hAnsi="Times New Roman" w:cs="Times New Roman"/>
          <w:sz w:val="24"/>
          <w:szCs w:val="24"/>
        </w:rPr>
        <w:t xml:space="preserve"> Muller R.H</w:t>
      </w:r>
      <w:r>
        <w:rPr>
          <w:rFonts w:ascii="Times New Roman" w:hAnsi="Times New Roman" w:cs="Times New Roman"/>
          <w:sz w:val="24"/>
          <w:szCs w:val="24"/>
        </w:rPr>
        <w:t>,</w:t>
      </w:r>
      <w:r w:rsidRPr="0087019B">
        <w:rPr>
          <w:rFonts w:ascii="Times New Roman" w:hAnsi="Times New Roman" w:cs="Times New Roman"/>
          <w:sz w:val="24"/>
          <w:szCs w:val="24"/>
        </w:rPr>
        <w:t xml:space="preserve"> Mak E</w:t>
      </w:r>
      <w:r>
        <w:rPr>
          <w:rFonts w:ascii="Times New Roman" w:hAnsi="Times New Roman" w:cs="Times New Roman"/>
          <w:sz w:val="24"/>
          <w:szCs w:val="24"/>
        </w:rPr>
        <w:t xml:space="preserve">, </w:t>
      </w:r>
      <w:r w:rsidRPr="0087019B">
        <w:rPr>
          <w:rFonts w:ascii="Times New Roman" w:hAnsi="Times New Roman" w:cs="Times New Roman"/>
          <w:sz w:val="24"/>
          <w:szCs w:val="24"/>
        </w:rPr>
        <w:t>West P</w:t>
      </w:r>
      <w:r>
        <w:rPr>
          <w:rFonts w:ascii="Times New Roman" w:hAnsi="Times New Roman" w:cs="Times New Roman"/>
          <w:sz w:val="24"/>
          <w:szCs w:val="24"/>
        </w:rPr>
        <w:t>,</w:t>
      </w:r>
      <w:r w:rsidRPr="0087019B">
        <w:rPr>
          <w:rFonts w:ascii="Times New Roman" w:hAnsi="Times New Roman" w:cs="Times New Roman"/>
          <w:sz w:val="24"/>
          <w:szCs w:val="24"/>
        </w:rPr>
        <w:t xml:space="preserve"> The organ distribution and circulation time of intravenously injected colloidal carriers sterically stabilized with a b</w:t>
      </w:r>
      <w:r>
        <w:rPr>
          <w:rFonts w:ascii="Times New Roman" w:hAnsi="Times New Roman" w:cs="Times New Roman"/>
          <w:sz w:val="24"/>
          <w:szCs w:val="24"/>
        </w:rPr>
        <w:t>lock copolymer – poloxamine 908.</w:t>
      </w:r>
      <w:r w:rsidRPr="0087019B">
        <w:rPr>
          <w:rFonts w:ascii="Times New Roman" w:hAnsi="Times New Roman" w:cs="Times New Roman"/>
          <w:sz w:val="24"/>
          <w:szCs w:val="24"/>
        </w:rPr>
        <w:t xml:space="preserve"> </w:t>
      </w:r>
      <w:r>
        <w:rPr>
          <w:rFonts w:ascii="Times New Roman" w:hAnsi="Times New Roman" w:cs="Times New Roman"/>
          <w:sz w:val="24"/>
          <w:szCs w:val="24"/>
        </w:rPr>
        <w:t>Life Sci. 40,</w:t>
      </w:r>
      <w:r w:rsidRPr="00DE6F2B">
        <w:rPr>
          <w:rFonts w:ascii="Times New Roman" w:hAnsi="Times New Roman" w:cs="Times New Roman"/>
          <w:sz w:val="24"/>
          <w:szCs w:val="24"/>
        </w:rPr>
        <w:t xml:space="preserve"> 367–374</w:t>
      </w:r>
      <w:r>
        <w:rPr>
          <w:rFonts w:ascii="Times New Roman" w:hAnsi="Times New Roman" w:cs="Times New Roman"/>
          <w:sz w:val="24"/>
          <w:szCs w:val="24"/>
        </w:rPr>
        <w:t xml:space="preserve"> (1987)</w:t>
      </w:r>
      <w:r w:rsidRPr="0087019B">
        <w:rPr>
          <w:rFonts w:ascii="Times New Roman" w:hAnsi="Times New Roman" w:cs="Times New Roman"/>
          <w:i/>
          <w:iCs/>
          <w:sz w:val="24"/>
          <w:szCs w:val="24"/>
        </w:rPr>
        <w:t>.</w:t>
      </w:r>
    </w:p>
    <w:p w:rsidR="007F7F18" w:rsidRDefault="007F7F18" w:rsidP="00440218">
      <w:pPr>
        <w:shd w:val="clear" w:color="auto" w:fill="FFFFFF"/>
        <w:spacing w:after="0" w:line="240" w:lineRule="auto"/>
        <w:jc w:val="both"/>
        <w:rPr>
          <w:rFonts w:ascii="Times New Roman" w:hAnsi="Times New Roman" w:cs="Times New Roman"/>
          <w:color w:val="292526"/>
          <w:sz w:val="24"/>
          <w:szCs w:val="24"/>
        </w:rPr>
      </w:pPr>
    </w:p>
    <w:sectPr w:rsidR="007F7F18" w:rsidSect="00FB2CC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D06" w:rsidRDefault="00056D06" w:rsidP="00B74B0B">
      <w:pPr>
        <w:spacing w:after="0" w:line="240" w:lineRule="auto"/>
      </w:pPr>
      <w:r>
        <w:separator/>
      </w:r>
    </w:p>
  </w:endnote>
  <w:endnote w:type="continuationSeparator" w:id="0">
    <w:p w:rsidR="00056D06" w:rsidRDefault="00056D06" w:rsidP="00B74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1263438"/>
      <w:docPartObj>
        <w:docPartGallery w:val="Page Numbers (Bottom of Page)"/>
        <w:docPartUnique/>
      </w:docPartObj>
    </w:sdtPr>
    <w:sdtEndPr>
      <w:rPr>
        <w:noProof/>
      </w:rPr>
    </w:sdtEndPr>
    <w:sdtContent>
      <w:p w:rsidR="003501D7" w:rsidRDefault="001E745A">
        <w:pPr>
          <w:pStyle w:val="a4"/>
          <w:jc w:val="center"/>
        </w:pPr>
        <w:r>
          <w:fldChar w:fldCharType="begin"/>
        </w:r>
        <w:r w:rsidR="00BD52C4">
          <w:instrText xml:space="preserve"> PAGE   \* MERGEFORMAT </w:instrText>
        </w:r>
        <w:r>
          <w:fldChar w:fldCharType="separate"/>
        </w:r>
        <w:r w:rsidR="00523E49">
          <w:rPr>
            <w:noProof/>
          </w:rPr>
          <w:t>1</w:t>
        </w:r>
        <w:r>
          <w:rPr>
            <w:noProof/>
          </w:rPr>
          <w:fldChar w:fldCharType="end"/>
        </w:r>
      </w:p>
    </w:sdtContent>
  </w:sdt>
  <w:p w:rsidR="003501D7" w:rsidRDefault="00056D0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D06" w:rsidRDefault="00056D06" w:rsidP="00B74B0B">
      <w:pPr>
        <w:spacing w:after="0" w:line="240" w:lineRule="auto"/>
      </w:pPr>
      <w:r>
        <w:separator/>
      </w:r>
    </w:p>
  </w:footnote>
  <w:footnote w:type="continuationSeparator" w:id="0">
    <w:p w:rsidR="00056D06" w:rsidRDefault="00056D06" w:rsidP="00B74B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2C4"/>
    <w:rsid w:val="00021062"/>
    <w:rsid w:val="00031D09"/>
    <w:rsid w:val="0005269B"/>
    <w:rsid w:val="00056D06"/>
    <w:rsid w:val="000A7EE4"/>
    <w:rsid w:val="000D23ED"/>
    <w:rsid w:val="0014526B"/>
    <w:rsid w:val="00157BE5"/>
    <w:rsid w:val="001B64DF"/>
    <w:rsid w:val="001D1D9E"/>
    <w:rsid w:val="001E745A"/>
    <w:rsid w:val="001F69D5"/>
    <w:rsid w:val="00204CD8"/>
    <w:rsid w:val="00247EC9"/>
    <w:rsid w:val="00260904"/>
    <w:rsid w:val="00270D37"/>
    <w:rsid w:val="00275DBD"/>
    <w:rsid w:val="002B6F80"/>
    <w:rsid w:val="002D5251"/>
    <w:rsid w:val="00314E72"/>
    <w:rsid w:val="00317338"/>
    <w:rsid w:val="00373365"/>
    <w:rsid w:val="003B3F74"/>
    <w:rsid w:val="003C6327"/>
    <w:rsid w:val="004324CE"/>
    <w:rsid w:val="00440218"/>
    <w:rsid w:val="004E351D"/>
    <w:rsid w:val="004F1AC8"/>
    <w:rsid w:val="005152E4"/>
    <w:rsid w:val="00523E49"/>
    <w:rsid w:val="00582DE4"/>
    <w:rsid w:val="0059317F"/>
    <w:rsid w:val="005B0747"/>
    <w:rsid w:val="005C3401"/>
    <w:rsid w:val="005D5179"/>
    <w:rsid w:val="006038A1"/>
    <w:rsid w:val="00605B3E"/>
    <w:rsid w:val="006125D8"/>
    <w:rsid w:val="00615743"/>
    <w:rsid w:val="007407B2"/>
    <w:rsid w:val="00776620"/>
    <w:rsid w:val="00784B9B"/>
    <w:rsid w:val="007E40B4"/>
    <w:rsid w:val="007F2E97"/>
    <w:rsid w:val="007F7F18"/>
    <w:rsid w:val="008271F4"/>
    <w:rsid w:val="00830AD0"/>
    <w:rsid w:val="00832559"/>
    <w:rsid w:val="008532EC"/>
    <w:rsid w:val="008C064A"/>
    <w:rsid w:val="0092632C"/>
    <w:rsid w:val="009476B5"/>
    <w:rsid w:val="00966269"/>
    <w:rsid w:val="009D0FD8"/>
    <w:rsid w:val="009F766C"/>
    <w:rsid w:val="00A4248F"/>
    <w:rsid w:val="00A70008"/>
    <w:rsid w:val="00AA0E7E"/>
    <w:rsid w:val="00AA5AE6"/>
    <w:rsid w:val="00AD00DC"/>
    <w:rsid w:val="00B25249"/>
    <w:rsid w:val="00B34F29"/>
    <w:rsid w:val="00B6469D"/>
    <w:rsid w:val="00B66C37"/>
    <w:rsid w:val="00B74B0B"/>
    <w:rsid w:val="00B77A53"/>
    <w:rsid w:val="00BB1365"/>
    <w:rsid w:val="00BC1F05"/>
    <w:rsid w:val="00BD52C4"/>
    <w:rsid w:val="00BE5F7E"/>
    <w:rsid w:val="00C8172E"/>
    <w:rsid w:val="00D13DA2"/>
    <w:rsid w:val="00D24DE1"/>
    <w:rsid w:val="00D5392C"/>
    <w:rsid w:val="00D927A7"/>
    <w:rsid w:val="00D92C73"/>
    <w:rsid w:val="00D94199"/>
    <w:rsid w:val="00DD4F35"/>
    <w:rsid w:val="00E05891"/>
    <w:rsid w:val="00E60293"/>
    <w:rsid w:val="00E729C1"/>
    <w:rsid w:val="00EC6C36"/>
    <w:rsid w:val="00EF2818"/>
    <w:rsid w:val="00F555FC"/>
    <w:rsid w:val="00FA5FA3"/>
    <w:rsid w:val="00FB6DD5"/>
    <w:rsid w:val="00FD3D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705093-B979-4E1B-A4FC-C229113B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2C4"/>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52C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er"/>
    <w:basedOn w:val="a"/>
    <w:link w:val="a5"/>
    <w:uiPriority w:val="99"/>
    <w:unhideWhenUsed/>
    <w:rsid w:val="00BD52C4"/>
    <w:pPr>
      <w:tabs>
        <w:tab w:val="center" w:pos="4680"/>
        <w:tab w:val="right" w:pos="9360"/>
      </w:tabs>
    </w:pPr>
  </w:style>
  <w:style w:type="character" w:customStyle="1" w:styleId="a5">
    <w:name w:val="כותרת תחתונה תו"/>
    <w:basedOn w:val="a0"/>
    <w:link w:val="a4"/>
    <w:uiPriority w:val="99"/>
    <w:rsid w:val="00BD52C4"/>
    <w:rPr>
      <w:rFonts w:ascii="Calibri" w:eastAsia="Calibri" w:hAnsi="Calibri" w:cs="Arial"/>
    </w:rPr>
  </w:style>
  <w:style w:type="paragraph" w:styleId="a6">
    <w:name w:val="Balloon Text"/>
    <w:basedOn w:val="a"/>
    <w:link w:val="a7"/>
    <w:uiPriority w:val="99"/>
    <w:semiHidden/>
    <w:unhideWhenUsed/>
    <w:rsid w:val="00DD4F35"/>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DD4F35"/>
    <w:rPr>
      <w:rFonts w:ascii="Tahoma" w:eastAsia="Calibri" w:hAnsi="Tahoma" w:cs="Tahoma"/>
      <w:sz w:val="16"/>
      <w:szCs w:val="16"/>
    </w:rPr>
  </w:style>
  <w:style w:type="character" w:styleId="a8">
    <w:name w:val="annotation reference"/>
    <w:basedOn w:val="a0"/>
    <w:uiPriority w:val="99"/>
    <w:semiHidden/>
    <w:unhideWhenUsed/>
    <w:rsid w:val="005152E4"/>
    <w:rPr>
      <w:sz w:val="16"/>
      <w:szCs w:val="16"/>
    </w:rPr>
  </w:style>
  <w:style w:type="paragraph" w:styleId="a9">
    <w:name w:val="annotation text"/>
    <w:basedOn w:val="a"/>
    <w:link w:val="aa"/>
    <w:uiPriority w:val="99"/>
    <w:semiHidden/>
    <w:unhideWhenUsed/>
    <w:rsid w:val="005152E4"/>
    <w:pPr>
      <w:spacing w:line="240" w:lineRule="auto"/>
    </w:pPr>
    <w:rPr>
      <w:sz w:val="20"/>
      <w:szCs w:val="20"/>
    </w:rPr>
  </w:style>
  <w:style w:type="character" w:customStyle="1" w:styleId="aa">
    <w:name w:val="טקסט הערה תו"/>
    <w:basedOn w:val="a0"/>
    <w:link w:val="a9"/>
    <w:uiPriority w:val="99"/>
    <w:semiHidden/>
    <w:rsid w:val="005152E4"/>
    <w:rPr>
      <w:rFonts w:ascii="Calibri" w:eastAsia="Calibri" w:hAnsi="Calibri" w:cs="Arial"/>
      <w:sz w:val="20"/>
      <w:szCs w:val="20"/>
    </w:rPr>
  </w:style>
  <w:style w:type="paragraph" w:styleId="ab">
    <w:name w:val="annotation subject"/>
    <w:basedOn w:val="a9"/>
    <w:next w:val="a9"/>
    <w:link w:val="ac"/>
    <w:uiPriority w:val="99"/>
    <w:semiHidden/>
    <w:unhideWhenUsed/>
    <w:rsid w:val="005152E4"/>
    <w:rPr>
      <w:b/>
      <w:bCs/>
    </w:rPr>
  </w:style>
  <w:style w:type="character" w:customStyle="1" w:styleId="ac">
    <w:name w:val="נושא הערה תו"/>
    <w:basedOn w:val="aa"/>
    <w:link w:val="ab"/>
    <w:uiPriority w:val="99"/>
    <w:semiHidden/>
    <w:rsid w:val="005152E4"/>
    <w:rPr>
      <w:rFonts w:ascii="Calibri" w:eastAsia="Calibri" w:hAnsi="Calibri" w:cs="Arial"/>
      <w:b/>
      <w:bCs/>
      <w:sz w:val="20"/>
      <w:szCs w:val="20"/>
    </w:rPr>
  </w:style>
  <w:style w:type="paragraph" w:styleId="ad">
    <w:name w:val="Revision"/>
    <w:hidden/>
    <w:uiPriority w:val="99"/>
    <w:semiHidden/>
    <w:rsid w:val="005152E4"/>
    <w:pPr>
      <w:spacing w:after="0" w:line="240" w:lineRule="auto"/>
    </w:pPr>
    <w:rPr>
      <w:rFonts w:ascii="Calibri" w:eastAsia="Calibri" w:hAnsi="Calibri" w:cs="Arial"/>
    </w:rPr>
  </w:style>
  <w:style w:type="character" w:customStyle="1" w:styleId="hps">
    <w:name w:val="hps"/>
    <w:basedOn w:val="a0"/>
    <w:rsid w:val="00827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624</Words>
  <Characters>3123</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2015-10-17T07:24:00Z</dcterms:created>
  <dcterms:modified xsi:type="dcterms:W3CDTF">2015-10-17T07:24:00Z</dcterms:modified>
</cp:coreProperties>
</file>