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93ACF8" w14:textId="2EFF89A9" w:rsidR="002C3E9F" w:rsidRPr="00973051" w:rsidRDefault="004E3883" w:rsidP="004E3883">
      <w:pPr>
        <w:spacing w:after="0"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ADDITIONAL FILE 1</w:t>
      </w:r>
    </w:p>
    <w:p w14:paraId="58D15A28" w14:textId="77777777" w:rsidR="0035437F" w:rsidRPr="00973051" w:rsidRDefault="0035437F" w:rsidP="004E3883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0B306875" w14:textId="49A85732" w:rsidR="00FE0FAC" w:rsidRPr="00973051" w:rsidRDefault="00CE0BCD" w:rsidP="00CE0BCD">
      <w:pPr>
        <w:spacing w:after="0" w:line="480" w:lineRule="auto"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GB"/>
        </w:rPr>
        <w:t>Magnetic targeting of adoptively transferred tumour-specific nanoparticle-loaded CD8</w:t>
      </w: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perscript"/>
          <w:lang w:val="en-GB"/>
        </w:rPr>
        <w:t>+</w:t>
      </w: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GB"/>
        </w:rPr>
        <w:t xml:space="preserve"> T cells does not improve their tumour infiltration in a mouse model of cancer but promotes the retention of these cells in tumour-draining lymph nodes</w:t>
      </w:r>
    </w:p>
    <w:p w14:paraId="7E2FF04A" w14:textId="77777777" w:rsidR="00CE0BCD" w:rsidRPr="00973051" w:rsidRDefault="00CE0BCD" w:rsidP="004E3883">
      <w:pPr>
        <w:spacing w:after="0" w:line="48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val="en-US"/>
        </w:rPr>
      </w:pPr>
    </w:p>
    <w:p w14:paraId="5B241583" w14:textId="5A25FB8B" w:rsidR="00FE0FAC" w:rsidRPr="00973051" w:rsidRDefault="00FE0FAC" w:rsidP="004E3883">
      <w:pPr>
        <w:spacing w:after="0" w:line="48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perscript"/>
        </w:rPr>
      </w:pP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Laura Sanz-</w:t>
      </w:r>
      <w:proofErr w:type="spellStart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Ortega</w:t>
      </w: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perscript"/>
        </w:rPr>
        <w:t>a</w:t>
      </w:r>
      <w:proofErr w:type="spellEnd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, </w:t>
      </w:r>
      <w:proofErr w:type="spellStart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Yadileiny</w:t>
      </w:r>
      <w:proofErr w:type="spellEnd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 </w:t>
      </w:r>
      <w:proofErr w:type="spellStart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Portilla</w:t>
      </w: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perscript"/>
        </w:rPr>
        <w:t>a</w:t>
      </w:r>
      <w:proofErr w:type="spellEnd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, Sonia Pérez-</w:t>
      </w:r>
      <w:proofErr w:type="spellStart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Yagüe</w:t>
      </w: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perscript"/>
        </w:rPr>
        <w:t>a</w:t>
      </w:r>
      <w:proofErr w:type="spellEnd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 xml:space="preserve">, Domingo F. </w:t>
      </w:r>
      <w:proofErr w:type="gramStart"/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Barber</w:t>
      </w: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perscript"/>
        </w:rPr>
        <w:t>a,</w:t>
      </w:r>
      <w:r w:rsidRPr="00973051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vertAlign w:val="superscript"/>
        </w:rPr>
        <w:footnoteReference w:customMarkFollows="1" w:id="1"/>
        <w:t>*</w:t>
      </w:r>
      <w:proofErr w:type="gramEnd"/>
    </w:p>
    <w:p w14:paraId="125A2799" w14:textId="77777777" w:rsidR="00FE0FAC" w:rsidRPr="00973051" w:rsidRDefault="00FE0FAC" w:rsidP="004E3883">
      <w:pPr>
        <w:spacing w:after="0" w:line="48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7ADC65D" w14:textId="77777777" w:rsidR="00FE0FAC" w:rsidRPr="00973051" w:rsidRDefault="00FE0FAC" w:rsidP="004E3883">
      <w:pPr>
        <w:spacing w:after="0" w:line="48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</w:pPr>
      <w:proofErr w:type="spellStart"/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vertAlign w:val="superscript"/>
          <w:lang w:val="en-GB"/>
        </w:rPr>
        <w:t>a</w:t>
      </w:r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Department</w:t>
      </w:r>
      <w:proofErr w:type="spellEnd"/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of Immunology and Oncology, and </w:t>
      </w:r>
      <w:proofErr w:type="spellStart"/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NanoBiomedicine</w:t>
      </w:r>
      <w:proofErr w:type="spellEnd"/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Initiative, Centro Nacional de </w:t>
      </w:r>
      <w:proofErr w:type="spellStart"/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Biotecnología</w:t>
      </w:r>
      <w:proofErr w:type="spellEnd"/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 (CNB)-CSIC, Darwin 3, </w:t>
      </w:r>
      <w:proofErr w:type="spellStart"/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Cantoblanco</w:t>
      </w:r>
      <w:proofErr w:type="spellEnd"/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>, 28049 Madrid, Spain</w:t>
      </w:r>
    </w:p>
    <w:p w14:paraId="2D2BBDFA" w14:textId="509FB6F3" w:rsidR="0035437F" w:rsidRPr="00973051" w:rsidRDefault="00FE0FAC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lang w:val="en-GB"/>
        </w:rPr>
        <w:t xml:space="preserve">*Address correspondence to </w:t>
      </w:r>
      <w:r w:rsidR="00214222" w:rsidRPr="00973051">
        <w:rPr>
          <w:color w:val="000000" w:themeColor="text1"/>
        </w:rPr>
        <w:fldChar w:fldCharType="begin"/>
      </w:r>
      <w:r w:rsidR="00214222" w:rsidRPr="00973051">
        <w:rPr>
          <w:color w:val="000000" w:themeColor="text1"/>
          <w:lang w:val="en-US"/>
        </w:rPr>
        <w:instrText xml:space="preserve"> HYPERLINK "mailto:dfbarber@cnb.csic.es" </w:instrText>
      </w:r>
      <w:r w:rsidR="00214222" w:rsidRPr="00973051">
        <w:rPr>
          <w:color w:val="000000" w:themeColor="text1"/>
        </w:rPr>
        <w:fldChar w:fldCharType="separate"/>
      </w:r>
      <w:r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GB"/>
        </w:rPr>
        <w:t>dfbarber@cnb.csic.es</w:t>
      </w:r>
      <w:r w:rsidR="00214222" w:rsidRPr="00973051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val="en-GB"/>
        </w:rPr>
        <w:fldChar w:fldCharType="end"/>
      </w:r>
    </w:p>
    <w:p w14:paraId="727C856A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2E171CB5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47B5267E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0B928858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0F853FE9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05F17A02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1BE24039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51C6859A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480035F1" w14:textId="77777777" w:rsidR="0035437F" w:rsidRPr="00973051" w:rsidRDefault="0035437F" w:rsidP="004E3883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09472A68" w14:textId="6308F538" w:rsidR="0035437F" w:rsidRPr="00973051" w:rsidRDefault="00FE0FAC" w:rsidP="004E3883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</w:p>
    <w:p w14:paraId="7812EF85" w14:textId="7BC8DD33" w:rsidR="00C237F3" w:rsidRPr="00973051" w:rsidRDefault="00F04C5E" w:rsidP="004E3883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GB"/>
        </w:rPr>
      </w:pP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SUPPLEMENTARY FIGURES</w:t>
      </w:r>
    </w:p>
    <w:p w14:paraId="097BB3BC" w14:textId="3BEED612" w:rsidR="00CE6C84" w:rsidRPr="00973051" w:rsidRDefault="00125253" w:rsidP="004E3883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 w:eastAsia="es-ES"/>
        </w:rPr>
        <w:drawing>
          <wp:inline distT="0" distB="0" distL="0" distR="0" wp14:anchorId="33E87758" wp14:editId="261CDA48">
            <wp:extent cx="5391785" cy="3096895"/>
            <wp:effectExtent l="0" t="0" r="0" b="825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09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D33F3" w14:textId="04443EDD" w:rsidR="00FE0FAC" w:rsidRPr="00973051" w:rsidRDefault="00FE0FAC" w:rsidP="004E38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D94743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S1. Phenotyping of blood </w:t>
      </w:r>
      <w:r w:rsidR="004439D7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obtained from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the transgenic </w:t>
      </w:r>
      <w:r w:rsidR="004439D7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mouse 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strain OT-I</w:t>
      </w: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 xml:space="preserve">.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Representative graphs, obtained </w:t>
      </w:r>
      <w:r w:rsidR="004439D7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using </w:t>
      </w:r>
      <w:proofErr w:type="spellStart"/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FlowJo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software, showing presence of V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>α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2 in CD8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cells</w:t>
      </w:r>
      <w:r w:rsidR="004439D7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 within the population of mature T cells (CD90.2</w:t>
      </w:r>
      <w:r w:rsidR="004439D7"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GB"/>
        </w:rPr>
        <w:t>+</w:t>
      </w:r>
      <w:r w:rsidR="004439D7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>)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. The upper panel shows the results obtained in a transgenic </w:t>
      </w:r>
      <w:r w:rsidR="004439D7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mouse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while the lower panel </w:t>
      </w:r>
      <w:r w:rsidR="004439D7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displays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GB"/>
        </w:rPr>
        <w:t xml:space="preserve">the results in a mouse that has lost the transgene. </w:t>
      </w:r>
      <w:proofErr w:type="spellStart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>Shaded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39D7"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grey </w:t>
      </w:r>
      <w:proofErr w:type="spellStart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>histogram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</w:t>
      </w:r>
      <w:proofErr w:type="spellStart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>isotype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control; blue line: </w:t>
      </w:r>
      <w:proofErr w:type="spellStart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>corresponding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>antibody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90EB82C" w14:textId="77777777" w:rsidR="00FE0FAC" w:rsidRPr="00973051" w:rsidRDefault="00FE0FAC" w:rsidP="004E3883">
      <w:pPr>
        <w:spacing w:after="0"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73051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1F2E45A" w14:textId="149BE054" w:rsidR="00FE0FAC" w:rsidRPr="00973051" w:rsidRDefault="00125253" w:rsidP="004E3883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7305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s-ES"/>
        </w:rPr>
        <w:lastRenderedPageBreak/>
        <w:drawing>
          <wp:inline distT="0" distB="0" distL="0" distR="0" wp14:anchorId="395798FC" wp14:editId="5CDFE688">
            <wp:extent cx="5219065" cy="4822190"/>
            <wp:effectExtent l="0" t="0" r="63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65" cy="4822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4DB59" w14:textId="68ECEAD0" w:rsidR="00FE0FAC" w:rsidRPr="00973051" w:rsidRDefault="00FE0FAC" w:rsidP="004E3883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</w:t>
      </w:r>
      <w:r w:rsidR="00D94743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S2. OT-I </w:t>
      </w:r>
      <w:r w:rsidR="00491219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>CD8</w:t>
      </w:r>
      <w:r w:rsidR="00491219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GB"/>
        </w:rPr>
        <w:t>+</w:t>
      </w:r>
      <w:r w:rsidR="00491219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 T</w:t>
      </w:r>
      <w:r w:rsidR="00491219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cell purification and expansion.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Representative graphs obtained </w:t>
      </w:r>
      <w:r w:rsidR="00E82686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using </w:t>
      </w:r>
      <w:proofErr w:type="spellStart"/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FlowJo</w:t>
      </w:r>
      <w:proofErr w:type="spellEnd"/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software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from the different populations at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A) day 0, after spleen and </w:t>
      </w:r>
      <w:r w:rsidR="0049121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LN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processing, and at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B) day 5,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following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activation with</w:t>
      </w:r>
      <w:r w:rsidR="00E82686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OVA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257-264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peptide and subsequent IL-2 expansion. The percentage of CD8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cells and their activation profile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were </w:t>
      </w:r>
      <w:proofErr w:type="spellStart"/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analysed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using the surface markers CD69 and CD25. Shaded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grey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histogram: isotype control; blue line: corresponding antibody.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C) Representative graphs of the culture, at day 5, in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absence of the different stimuli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(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OVA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  <w:lang w:val="en-US"/>
        </w:rPr>
        <w:t>257-264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or IL-2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.</w:t>
      </w:r>
    </w:p>
    <w:p w14:paraId="645DDA73" w14:textId="07A156CD" w:rsidR="00FE0FAC" w:rsidRPr="00973051" w:rsidRDefault="00FE0FAC" w:rsidP="004E3883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</w:p>
    <w:p w14:paraId="538BAB4C" w14:textId="6067DE39" w:rsidR="00FE0FAC" w:rsidRPr="00973051" w:rsidRDefault="00125253" w:rsidP="004E3883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s-ES"/>
        </w:rPr>
        <w:lastRenderedPageBreak/>
        <w:drawing>
          <wp:inline distT="0" distB="0" distL="0" distR="0" wp14:anchorId="2F1C4DF2" wp14:editId="42C02568">
            <wp:extent cx="4744720" cy="3260725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4720" cy="326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E506FB" w14:textId="4FB9F2BF" w:rsidR="00FE0FAC" w:rsidRPr="00973051" w:rsidRDefault="00FE0FAC" w:rsidP="004E3883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</w:t>
      </w:r>
      <w:r w:rsidR="00D94743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S3. Analysis of CD8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Vα2/Vβ5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T cell</w:t>
      </w:r>
      <w:r w:rsidR="00AD3590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infiltration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in the </w:t>
      </w:r>
      <w:proofErr w:type="spellStart"/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tumour</w:t>
      </w:r>
      <w:proofErr w:type="spellEnd"/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-draining and distal LNs and in spleens.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Gating strategy followed for the analysis of the percentage of CD8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Vα2 / Vβ5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AD3590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 cells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present in the </w:t>
      </w:r>
      <w:proofErr w:type="spellStart"/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tumour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-draining and distal LNs and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in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spleens.</w:t>
      </w:r>
    </w:p>
    <w:p w14:paraId="228F7539" w14:textId="6BB8F610" w:rsidR="00D97DD3" w:rsidRPr="00973051" w:rsidRDefault="00D97DD3" w:rsidP="004E3883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</w:p>
    <w:p w14:paraId="31C4C66A" w14:textId="2427EFBC" w:rsidR="00FE0FAC" w:rsidRPr="00973051" w:rsidRDefault="00125253" w:rsidP="004E3883">
      <w:pPr>
        <w:spacing w:line="48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es-ES"/>
        </w:rPr>
        <w:lastRenderedPageBreak/>
        <w:drawing>
          <wp:inline distT="0" distB="0" distL="0" distR="0" wp14:anchorId="64C54F32" wp14:editId="323486E6">
            <wp:extent cx="5391785" cy="364045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64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97ED5" w14:textId="44DFD8DB" w:rsidR="00D97DD3" w:rsidRPr="00973051" w:rsidRDefault="00D97DD3" w:rsidP="004E38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</w:t>
      </w:r>
      <w:r w:rsidR="00D94743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.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S4. CD8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Vα2/Vβ5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T cell</w:t>
      </w:r>
      <w:r w:rsidR="007F10F9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infiltration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</w:t>
      </w:r>
      <w:r w:rsidR="004562D5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of 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a distal </w:t>
      </w:r>
      <w:r w:rsidR="00AD3590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LN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in the different </w:t>
      </w:r>
      <w:r w:rsidR="004562D5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treatment 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groups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A) </w:t>
      </w:r>
      <w:r w:rsidR="0088110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Representative d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ot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plots </w:t>
      </w:r>
      <w:r w:rsidR="0088110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showing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percentage of Vα2/Vβ5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cells </w:t>
      </w:r>
      <w:r w:rsidR="00AD47E2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within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liv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ing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CD3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CD8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="0088110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cell</w:t>
      </w:r>
      <w:r w:rsidR="0088110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population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B) Percentage of CD8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Vα2/Vβ5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 cells with</w:t>
      </w:r>
      <w:r w:rsidR="00AD47E2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in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living</w:t>
      </w:r>
      <w:r w:rsidR="00AD47E2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CD45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="0088110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cells in a distal </w:t>
      </w:r>
      <w:r w:rsidR="00AD3590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LN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for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the different treatment groups.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C) Percentage of CD8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Vα2/Vβ5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CD69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 CD25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,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and CD69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CD25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 cells in a distal L</w:t>
      </w:r>
      <w:r w:rsidR="0088110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N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for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different treatment groups.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(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D) Percentage of CD8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Vα2/Vβ5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IFN-</w:t>
      </w:r>
      <w:r w:rsidR="0049121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γ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 cells in a distal </w:t>
      </w:r>
      <w:r w:rsidR="00AD3590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LN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for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the different 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treatment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groups. The results shown (mean ± SD) correspond to 4</w:t>
      </w:r>
      <w:r w:rsidR="004562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or 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5 mice / group, * p &lt;0.05, ** p &lt;0.01, *** p &lt;0.001.</w:t>
      </w:r>
    </w:p>
    <w:p w14:paraId="5A8F1F46" w14:textId="3FAFB8D7" w:rsidR="00EF1452" w:rsidRPr="00973051" w:rsidRDefault="00EF1452" w:rsidP="004E38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352E5F9" w14:textId="2E4D6171" w:rsidR="00EF1452" w:rsidRPr="00973051" w:rsidRDefault="00EF1452" w:rsidP="004E38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99FF9AD" w14:textId="393A4295" w:rsidR="00EF1452" w:rsidRPr="00973051" w:rsidRDefault="00EF1452" w:rsidP="004E38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0B1914B7" w14:textId="5C3C6800" w:rsidR="00EF1452" w:rsidRPr="00973051" w:rsidRDefault="00EF1452" w:rsidP="004E3883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0" w:name="_GoBack"/>
      <w:bookmarkEnd w:id="0"/>
    </w:p>
    <w:p w14:paraId="146EB8B2" w14:textId="24A56CF6" w:rsidR="00EF1452" w:rsidRPr="00973051" w:rsidRDefault="000B3559" w:rsidP="00EF1452">
      <w:pPr>
        <w:spacing w:line="48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val="en-GB"/>
        </w:rPr>
        <w:lastRenderedPageBreak/>
        <w:drawing>
          <wp:inline distT="0" distB="0" distL="0" distR="0" wp14:anchorId="7164505F" wp14:editId="68630549">
            <wp:extent cx="3750617" cy="3628064"/>
            <wp:effectExtent l="0" t="0" r="254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508" cy="364053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162B86" w14:textId="6C97F416" w:rsidR="00EF1452" w:rsidRPr="00973051" w:rsidRDefault="00EF1452" w:rsidP="00EF145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bookmarkStart w:id="1" w:name="_Hlk13783129"/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Fig. S5. </w:t>
      </w:r>
      <w:r w:rsidR="000E0156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Cell aggregation after MNP treatment</w:t>
      </w:r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</w:t>
      </w:r>
      <w:r w:rsidR="00AE5C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Representative images, showing cell aggregation due to MNP presence</w:t>
      </w:r>
      <w:r w:rsidR="007468CB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after </w:t>
      </w:r>
      <w:proofErr w:type="gramStart"/>
      <w:r w:rsidR="007468CB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2 hour</w:t>
      </w:r>
      <w:proofErr w:type="gramEnd"/>
      <w:r w:rsidR="007468CB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treatment</w:t>
      </w:r>
      <w:r w:rsidR="00AE5C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, acquired using (A) Prussian blue staining and neutral red counterstain </w:t>
      </w:r>
      <w:bookmarkEnd w:id="1"/>
      <w:r w:rsidR="00AE5C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of OT-I </w:t>
      </w:r>
      <w:r w:rsidR="00AE5CD5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CD8</w:t>
      </w:r>
      <w:r w:rsidR="00AE5CD5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GB"/>
        </w:rPr>
        <w:t>+</w:t>
      </w:r>
      <w:r w:rsidR="00AE5CD5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T</w:t>
      </w:r>
      <w:r w:rsidR="00AE5C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cells after association with the MNPs (</w:t>
      </w:r>
      <w:r w:rsidR="000B355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scale = 10 </w:t>
      </w:r>
      <w:proofErr w:type="spellStart"/>
      <w:r w:rsidR="000B3559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μm</w:t>
      </w:r>
      <w:proofErr w:type="spellEnd"/>
      <w:r w:rsidR="00AE5C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) or (B) confocal microscopy of the OT-I </w:t>
      </w:r>
      <w:r w:rsidR="00AE5CD5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CD8</w:t>
      </w:r>
      <w:r w:rsidR="00AE5CD5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vertAlign w:val="superscript"/>
          <w:lang w:val="en-GB"/>
        </w:rPr>
        <w:t>+</w:t>
      </w:r>
      <w:r w:rsidR="00AE5CD5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T</w:t>
      </w:r>
      <w:r w:rsidR="00AE5C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cells after treatment with APS-MNPs (cell membrane (red), MNPs (grey), and core (blue)) (scale = 10 </w:t>
      </w:r>
      <w:proofErr w:type="spellStart"/>
      <w:r w:rsidR="00AE5C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μm</w:t>
      </w:r>
      <w:proofErr w:type="spellEnd"/>
      <w:r w:rsidR="00AE5CD5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 The arrows indicate the cell aggregation.</w:t>
      </w:r>
    </w:p>
    <w:p w14:paraId="1C7BDA18" w14:textId="566A85FC" w:rsidR="00E27563" w:rsidRPr="00973051" w:rsidRDefault="00E27563" w:rsidP="00EF145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FA30863" w14:textId="3C8590C3" w:rsidR="00E27563" w:rsidRPr="00973051" w:rsidRDefault="00E27563" w:rsidP="00EF145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6B0F57A9" w14:textId="46A2F1E5" w:rsidR="00E27563" w:rsidRPr="00973051" w:rsidRDefault="00E27563" w:rsidP="00EF145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7426AFA3" w14:textId="0B2CEB11" w:rsidR="00E27563" w:rsidRPr="00973051" w:rsidRDefault="00E27563" w:rsidP="00EF145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55429F8D" w14:textId="77EFBCC9" w:rsidR="00E27563" w:rsidRPr="00973051" w:rsidRDefault="00E27563" w:rsidP="00EF145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432A5FAF" w14:textId="4BA58F5F" w:rsidR="00E27563" w:rsidRPr="00973051" w:rsidRDefault="00E27563" w:rsidP="00EF145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p w14:paraId="291679BB" w14:textId="2D58BFAD" w:rsidR="00E27563" w:rsidRPr="00973051" w:rsidRDefault="00E27563" w:rsidP="00E27563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973051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val="en-US"/>
        </w:rPr>
        <w:lastRenderedPageBreak/>
        <w:drawing>
          <wp:inline distT="0" distB="0" distL="0" distR="0" wp14:anchorId="08450215" wp14:editId="4B31FB18">
            <wp:extent cx="4636551" cy="387096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350" cy="38749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979FE57" w14:textId="1EDF7A90" w:rsidR="00E27563" w:rsidRPr="00973051" w:rsidRDefault="00E27563" w:rsidP="00EF1452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Fig. S6. Immunohistochemi</w:t>
      </w:r>
      <w:r w:rsidR="003555CC"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cal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analysis of CD8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vertAlign w:val="superscript"/>
          <w:lang w:val="en-US"/>
        </w:rPr>
        <w:t>+</w:t>
      </w:r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T cell infiltration in </w:t>
      </w:r>
      <w:proofErr w:type="spellStart"/>
      <w:r w:rsidRPr="00973051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>tumours</w:t>
      </w:r>
      <w:proofErr w:type="spellEnd"/>
      <w:r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.  </w:t>
      </w:r>
      <w:r w:rsidR="003555CC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Immunohistochemical analysis of CD8</w:t>
      </w:r>
      <w:r w:rsidR="003555CC" w:rsidRPr="0097305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  <w:lang w:val="en-US"/>
        </w:rPr>
        <w:t xml:space="preserve">+ </w:t>
      </w:r>
      <w:r w:rsidR="003555CC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T cell infiltration in the </w:t>
      </w:r>
      <w:proofErr w:type="spellStart"/>
      <w:r w:rsidR="003555CC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tumours</w:t>
      </w:r>
      <w:proofErr w:type="spellEnd"/>
      <w:r w:rsidR="003555CC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from mice transferred with OT-I cells, MNP-loaded OT-I cells and MNP-loaded OT-I cells together with EMF-exposition. Representative images are shown (×</w:t>
      </w:r>
      <w:r w:rsidR="00676406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10</w:t>
      </w:r>
      <w:r w:rsidR="003555CC" w:rsidRPr="00973051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).</w:t>
      </w:r>
    </w:p>
    <w:p w14:paraId="7E6DABC4" w14:textId="3F85FCF3" w:rsidR="00E13C5C" w:rsidRPr="00973051" w:rsidRDefault="00E13C5C" w:rsidP="00EF1452">
      <w:pPr>
        <w:spacing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p w14:paraId="1245DEF5" w14:textId="77777777" w:rsidR="00E13C5C" w:rsidRPr="00973051" w:rsidRDefault="00E13C5C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br w:type="page"/>
      </w:r>
    </w:p>
    <w:p w14:paraId="1D8706F7" w14:textId="204BADA6" w:rsidR="00E13C5C" w:rsidRPr="00973051" w:rsidRDefault="00E13C5C" w:rsidP="00E13C5C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GB"/>
        </w:rPr>
      </w:pP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lastRenderedPageBreak/>
        <w:t>SUPPLEMENTARY METHODS</w:t>
      </w:r>
    </w:p>
    <w:p w14:paraId="1625B463" w14:textId="3725EE32" w:rsidR="00E13C5C" w:rsidRPr="00973051" w:rsidRDefault="00E13C5C" w:rsidP="00E13C5C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  <w:t>Immunohistochemistry</w:t>
      </w:r>
    </w:p>
    <w:p w14:paraId="452FD293" w14:textId="2D83CB94" w:rsidR="00E13C5C" w:rsidRPr="00973051" w:rsidRDefault="00E13C5C" w:rsidP="00E13C5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T</w:t>
      </w:r>
      <w:r w:rsidR="002C0C77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umours were removed and</w:t>
      </w:r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frozen in tissue-freezing medium (Jung). Immunohistochemical analyses were performed as previously </w:t>
      </w:r>
      <w:r w:rsidR="00146E1A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described</w:t>
      </w:r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[1].</w:t>
      </w:r>
      <w:r w:rsidR="002C0C77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</w:t>
      </w:r>
      <w:r w:rsidR="007030EB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Briefly, </w:t>
      </w:r>
      <w:r w:rsidR="00CE502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sections were fixed</w:t>
      </w:r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, </w:t>
      </w:r>
      <w:r w:rsidR="00CE502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endogenous peroxidase</w:t>
      </w:r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was blocked</w:t>
      </w:r>
      <w:r w:rsidR="00CE502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, </w:t>
      </w:r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and slides </w:t>
      </w:r>
      <w:r w:rsidR="00CE502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incubated with anti-mouse CD8 </w:t>
      </w:r>
      <w:r w:rsidR="0089092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primary </w:t>
      </w:r>
      <w:r w:rsidR="00CE502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antibody</w:t>
      </w:r>
      <w:r w:rsidR="00FA2146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(</w:t>
      </w:r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YTS169.4, 1/100; </w:t>
      </w:r>
      <w:proofErr w:type="spellStart"/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abcam</w:t>
      </w:r>
      <w:proofErr w:type="spellEnd"/>
      <w:r w:rsidR="00FA2146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)</w:t>
      </w:r>
      <w:r w:rsidR="0089092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,</w:t>
      </w:r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followed by rat </w:t>
      </w:r>
      <w:proofErr w:type="spellStart"/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Histofine</w:t>
      </w:r>
      <w:proofErr w:type="spellEnd"/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Simple Stain kits (Nichirei Biosciences), </w:t>
      </w:r>
      <w:r w:rsidR="007B25F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and finally </w:t>
      </w:r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stained with AEC+ substrate chromogen solution (</w:t>
      </w:r>
      <w:proofErr w:type="spellStart"/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Dako</w:t>
      </w:r>
      <w:proofErr w:type="spellEnd"/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) and </w:t>
      </w:r>
      <w:proofErr w:type="spellStart"/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hematoxylin</w:t>
      </w:r>
      <w:proofErr w:type="spellEnd"/>
      <w:r w:rsidR="00BA638F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-counterstained</w:t>
      </w:r>
      <w:r w:rsidR="007B25F1"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.</w:t>
      </w:r>
    </w:p>
    <w:p w14:paraId="5A0BBD9F" w14:textId="0F765C00" w:rsidR="00E13C5C" w:rsidRPr="00973051" w:rsidRDefault="00E13C5C" w:rsidP="00E13C5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</w:p>
    <w:p w14:paraId="4AB41A4E" w14:textId="3116F18B" w:rsidR="00E13C5C" w:rsidRPr="00973051" w:rsidRDefault="00E13C5C" w:rsidP="00E13C5C">
      <w:pPr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</w:pPr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[1] Spada R, Rojas JM, Pérez-</w:t>
      </w:r>
      <w:proofErr w:type="spellStart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Yagüe</w:t>
      </w:r>
      <w:proofErr w:type="spellEnd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S, </w:t>
      </w:r>
      <w:proofErr w:type="spellStart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Mulens</w:t>
      </w:r>
      <w:proofErr w:type="spellEnd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V, </w:t>
      </w:r>
      <w:proofErr w:type="spellStart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Cannata</w:t>
      </w:r>
      <w:proofErr w:type="spellEnd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-Ortiz P, </w:t>
      </w:r>
      <w:proofErr w:type="spellStart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>Bragado</w:t>
      </w:r>
      <w:proofErr w:type="spellEnd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R and Barber DF: NKG2D ligand overexpression in lupus nephritis correlates with increased NK cell activity and differentiation in kidneys but not in the periphery. </w:t>
      </w:r>
      <w:r w:rsidRPr="0097305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/>
        </w:rPr>
        <w:t xml:space="preserve">J </w:t>
      </w:r>
      <w:proofErr w:type="spellStart"/>
      <w:r w:rsidRPr="0097305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/>
        </w:rPr>
        <w:t>Leukoc</w:t>
      </w:r>
      <w:proofErr w:type="spellEnd"/>
      <w:r w:rsidRPr="0097305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973051">
        <w:rPr>
          <w:rFonts w:ascii="Times New Roman" w:hAnsi="Times New Roman" w:cs="Times New Roman"/>
          <w:bCs/>
          <w:i/>
          <w:iCs/>
          <w:color w:val="000000" w:themeColor="text1"/>
          <w:sz w:val="24"/>
          <w:szCs w:val="24"/>
          <w:lang w:val="en-GB"/>
        </w:rPr>
        <w:t>Biol</w:t>
      </w:r>
      <w:proofErr w:type="spellEnd"/>
      <w:r w:rsidRPr="00973051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GB"/>
        </w:rPr>
        <w:t xml:space="preserve"> 2015 Mar; 97(3): 583–598.</w:t>
      </w:r>
    </w:p>
    <w:p w14:paraId="2F5CB9A3" w14:textId="77777777" w:rsidR="00D97DD3" w:rsidRPr="00973051" w:rsidRDefault="00D97DD3" w:rsidP="004E3883">
      <w:pPr>
        <w:spacing w:line="480" w:lineRule="auto"/>
        <w:ind w:left="-56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lang w:val="en-GB"/>
        </w:rPr>
      </w:pPr>
    </w:p>
    <w:sectPr w:rsidR="00D97DD3" w:rsidRPr="00973051" w:rsidSect="00C72F91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109DF5" w14:textId="77777777" w:rsidR="00214222" w:rsidRDefault="00214222" w:rsidP="00A77D48">
      <w:pPr>
        <w:spacing w:after="0" w:line="240" w:lineRule="auto"/>
      </w:pPr>
      <w:r>
        <w:separator/>
      </w:r>
    </w:p>
  </w:endnote>
  <w:endnote w:type="continuationSeparator" w:id="0">
    <w:p w14:paraId="559A1B20" w14:textId="77777777" w:rsidR="00214222" w:rsidRDefault="00214222" w:rsidP="00A7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6CA682" w14:textId="77777777" w:rsidR="00214222" w:rsidRDefault="00214222" w:rsidP="00A77D48">
      <w:pPr>
        <w:spacing w:after="0" w:line="240" w:lineRule="auto"/>
      </w:pPr>
      <w:r>
        <w:separator/>
      </w:r>
    </w:p>
  </w:footnote>
  <w:footnote w:type="continuationSeparator" w:id="0">
    <w:p w14:paraId="437024FF" w14:textId="77777777" w:rsidR="00214222" w:rsidRDefault="00214222" w:rsidP="00A77D48">
      <w:pPr>
        <w:spacing w:after="0" w:line="240" w:lineRule="auto"/>
      </w:pPr>
      <w:r>
        <w:continuationSeparator/>
      </w:r>
    </w:p>
  </w:footnote>
  <w:footnote w:id="1">
    <w:p w14:paraId="1A3A67F7" w14:textId="77777777" w:rsidR="00F3690B" w:rsidRPr="003E61DD" w:rsidRDefault="00F3690B" w:rsidP="00FE0FAC">
      <w:pPr>
        <w:pStyle w:val="Textonotapie"/>
        <w:rPr>
          <w:lang w:val="en-US"/>
        </w:rPr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7F3"/>
    <w:rsid w:val="000338A7"/>
    <w:rsid w:val="00071226"/>
    <w:rsid w:val="000B3559"/>
    <w:rsid w:val="000B54EC"/>
    <w:rsid w:val="000E0156"/>
    <w:rsid w:val="000E6EF6"/>
    <w:rsid w:val="000E703D"/>
    <w:rsid w:val="000F4B9E"/>
    <w:rsid w:val="00125253"/>
    <w:rsid w:val="00137E63"/>
    <w:rsid w:val="00144DC8"/>
    <w:rsid w:val="00146E1A"/>
    <w:rsid w:val="00182FAC"/>
    <w:rsid w:val="00196010"/>
    <w:rsid w:val="0020356A"/>
    <w:rsid w:val="00214222"/>
    <w:rsid w:val="0023470E"/>
    <w:rsid w:val="00244AFE"/>
    <w:rsid w:val="002527A5"/>
    <w:rsid w:val="002C0C77"/>
    <w:rsid w:val="002C3E9F"/>
    <w:rsid w:val="00303180"/>
    <w:rsid w:val="00313E7F"/>
    <w:rsid w:val="00324392"/>
    <w:rsid w:val="0035437F"/>
    <w:rsid w:val="003555CC"/>
    <w:rsid w:val="00436B7C"/>
    <w:rsid w:val="004439D7"/>
    <w:rsid w:val="004562D5"/>
    <w:rsid w:val="00472017"/>
    <w:rsid w:val="00491219"/>
    <w:rsid w:val="004B125B"/>
    <w:rsid w:val="004B3C5C"/>
    <w:rsid w:val="004C08B2"/>
    <w:rsid w:val="004E0FF6"/>
    <w:rsid w:val="004E3883"/>
    <w:rsid w:val="00513955"/>
    <w:rsid w:val="00561B55"/>
    <w:rsid w:val="005A4DC2"/>
    <w:rsid w:val="0060542D"/>
    <w:rsid w:val="00617E55"/>
    <w:rsid w:val="006729AB"/>
    <w:rsid w:val="00676406"/>
    <w:rsid w:val="0069542E"/>
    <w:rsid w:val="006B2635"/>
    <w:rsid w:val="006E47AE"/>
    <w:rsid w:val="006F4B8A"/>
    <w:rsid w:val="007030EB"/>
    <w:rsid w:val="007444BB"/>
    <w:rsid w:val="007468CB"/>
    <w:rsid w:val="00752C3C"/>
    <w:rsid w:val="00760113"/>
    <w:rsid w:val="0077764E"/>
    <w:rsid w:val="00780FBF"/>
    <w:rsid w:val="007B25F1"/>
    <w:rsid w:val="007D1125"/>
    <w:rsid w:val="007E1253"/>
    <w:rsid w:val="007F10F9"/>
    <w:rsid w:val="00881109"/>
    <w:rsid w:val="00890921"/>
    <w:rsid w:val="008F5E60"/>
    <w:rsid w:val="00903407"/>
    <w:rsid w:val="00923350"/>
    <w:rsid w:val="00925632"/>
    <w:rsid w:val="009670C9"/>
    <w:rsid w:val="00973051"/>
    <w:rsid w:val="009B30C9"/>
    <w:rsid w:val="009D7845"/>
    <w:rsid w:val="00A32B68"/>
    <w:rsid w:val="00A61804"/>
    <w:rsid w:val="00A77BDA"/>
    <w:rsid w:val="00A77D48"/>
    <w:rsid w:val="00AC7AF1"/>
    <w:rsid w:val="00AD3590"/>
    <w:rsid w:val="00AD47E2"/>
    <w:rsid w:val="00AE5CD5"/>
    <w:rsid w:val="00B25DDF"/>
    <w:rsid w:val="00BA0B06"/>
    <w:rsid w:val="00BA638F"/>
    <w:rsid w:val="00BC0B46"/>
    <w:rsid w:val="00BE5BB8"/>
    <w:rsid w:val="00C13603"/>
    <w:rsid w:val="00C237F3"/>
    <w:rsid w:val="00C24C41"/>
    <w:rsid w:val="00C72F91"/>
    <w:rsid w:val="00CC7A93"/>
    <w:rsid w:val="00CE0BCD"/>
    <w:rsid w:val="00CE5021"/>
    <w:rsid w:val="00CE6C84"/>
    <w:rsid w:val="00D4026F"/>
    <w:rsid w:val="00D87A88"/>
    <w:rsid w:val="00D929C8"/>
    <w:rsid w:val="00D94743"/>
    <w:rsid w:val="00D97DD3"/>
    <w:rsid w:val="00E13C5C"/>
    <w:rsid w:val="00E2730D"/>
    <w:rsid w:val="00E27563"/>
    <w:rsid w:val="00E6585F"/>
    <w:rsid w:val="00E82686"/>
    <w:rsid w:val="00EB40B4"/>
    <w:rsid w:val="00EF1452"/>
    <w:rsid w:val="00F04C5E"/>
    <w:rsid w:val="00F17CCB"/>
    <w:rsid w:val="00F3690B"/>
    <w:rsid w:val="00F91DB9"/>
    <w:rsid w:val="00FA2146"/>
    <w:rsid w:val="00FB6A52"/>
    <w:rsid w:val="00FE0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621BA"/>
  <w14:defaultImageDpi w14:val="300"/>
  <w15:docId w15:val="{16027BFA-6C0D-4124-B33A-0A4E9DCB1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237F3"/>
    <w:pPr>
      <w:spacing w:after="200" w:line="276" w:lineRule="auto"/>
    </w:pPr>
    <w:rPr>
      <w:rFonts w:eastAsiaTheme="minorHAnsi"/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E6C84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E6C84"/>
    <w:rPr>
      <w:rFonts w:ascii="Lucida Grande" w:eastAsiaTheme="minorHAnsi" w:hAnsi="Lucida Grande" w:cs="Lucida Grande"/>
      <w:sz w:val="18"/>
      <w:szCs w:val="18"/>
      <w:lang w:val="es-ES" w:eastAsia="en-US"/>
    </w:rPr>
  </w:style>
  <w:style w:type="character" w:styleId="Hipervnculo">
    <w:name w:val="Hyperlink"/>
    <w:basedOn w:val="Fuentedeprrafopredeter"/>
    <w:uiPriority w:val="99"/>
    <w:unhideWhenUsed/>
    <w:rsid w:val="00A77D48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A77D48"/>
    <w:pPr>
      <w:spacing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A77D48"/>
    <w:rPr>
      <w:rFonts w:eastAsiaTheme="minorHAnsi"/>
      <w:lang w:val="es-ES" w:eastAsia="en-US"/>
    </w:rPr>
  </w:style>
  <w:style w:type="character" w:styleId="Textodelmarcadordeposicin">
    <w:name w:val="Placeholder Text"/>
    <w:basedOn w:val="Fuentedeprrafopredeter"/>
    <w:uiPriority w:val="99"/>
    <w:semiHidden/>
    <w:rsid w:val="00491219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AC7AF1"/>
    <w:rPr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C7AF1"/>
    <w:pPr>
      <w:spacing w:line="240" w:lineRule="auto"/>
    </w:pPr>
    <w:rPr>
      <w:sz w:val="24"/>
      <w:szCs w:val="24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C7AF1"/>
    <w:rPr>
      <w:rFonts w:eastAsiaTheme="minorHAns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C7AF1"/>
    <w:rPr>
      <w:b/>
      <w:bCs/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C7AF1"/>
    <w:rPr>
      <w:rFonts w:eastAsiaTheme="minorHAnsi"/>
      <w:b/>
      <w:bCs/>
      <w:sz w:val="20"/>
      <w:szCs w:val="20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78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636</Words>
  <Characters>3504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Sanz</dc:creator>
  <cp:keywords/>
  <dc:description/>
  <cp:lastModifiedBy>Domingo F. Barber</cp:lastModifiedBy>
  <cp:revision>2</cp:revision>
  <cp:lastPrinted>2018-07-20T15:02:00Z</cp:lastPrinted>
  <dcterms:created xsi:type="dcterms:W3CDTF">2019-07-17T08:14:00Z</dcterms:created>
  <dcterms:modified xsi:type="dcterms:W3CDTF">2019-07-17T08:14:00Z</dcterms:modified>
</cp:coreProperties>
</file>