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96B" w:rsidRDefault="0099496B" w:rsidP="0099496B">
      <w:bookmarkStart w:id="0" w:name="_GoBack"/>
      <w:bookmarkEnd w:id="0"/>
      <w:r w:rsidRPr="00BD6C22">
        <w:rPr>
          <w:b/>
        </w:rPr>
        <w:t>Table S1</w:t>
      </w:r>
      <w:r>
        <w:t xml:space="preserve"> - </w:t>
      </w:r>
      <w:r w:rsidRPr="006A48FA">
        <w:t xml:space="preserve">Assignment of FTIR spectrum of </w:t>
      </w:r>
      <w:proofErr w:type="spellStart"/>
      <w:r>
        <w:t>Compritol</w:t>
      </w:r>
      <w:proofErr w:type="spellEnd"/>
      <w:r>
        <w:t xml:space="preserve">, </w:t>
      </w:r>
      <w:proofErr w:type="spellStart"/>
      <w:r>
        <w:t>Pluronic</w:t>
      </w:r>
      <w:proofErr w:type="spellEnd"/>
      <w:r>
        <w:t xml:space="preserve">, Span 80 docetaxel, solid lipid nanoparticles (blank-SLN) and docetaxel-loaded </w:t>
      </w:r>
      <w:r w:rsidRPr="006A48FA">
        <w:t xml:space="preserve">solid lipid </w:t>
      </w:r>
      <w:r>
        <w:t xml:space="preserve">nanoparticles (SLN-DTX). </w:t>
      </w:r>
    </w:p>
    <w:tbl>
      <w:tblPr>
        <w:tblpPr w:leftFromText="142" w:rightFromText="142" w:vertAnchor="text" w:horzAnchor="margin" w:tblpXSpec="center" w:tblpY="-41"/>
        <w:tblW w:w="8636" w:type="dxa"/>
        <w:tblBorders>
          <w:top w:val="single" w:sz="4" w:space="0" w:color="auto"/>
          <w:bottom w:val="single" w:sz="4" w:space="0" w:color="auto"/>
          <w:insideV w:val="single" w:sz="4" w:space="0" w:color="auto"/>
        </w:tblBorders>
        <w:tblLayout w:type="fixed"/>
        <w:tblLook w:val="0600" w:firstRow="0" w:lastRow="0" w:firstColumn="0" w:lastColumn="0" w:noHBand="1" w:noVBand="1"/>
      </w:tblPr>
      <w:tblGrid>
        <w:gridCol w:w="1119"/>
        <w:gridCol w:w="1119"/>
        <w:gridCol w:w="1119"/>
        <w:gridCol w:w="1279"/>
        <w:gridCol w:w="1274"/>
        <w:gridCol w:w="1122"/>
        <w:gridCol w:w="1604"/>
      </w:tblGrid>
      <w:tr w:rsidR="0097511E" w:rsidRPr="0065313A" w:rsidTr="00807030">
        <w:trPr>
          <w:trHeight w:val="415"/>
        </w:trPr>
        <w:tc>
          <w:tcPr>
            <w:tcW w:w="7032" w:type="dxa"/>
            <w:gridSpan w:val="6"/>
            <w:tcBorders>
              <w:top w:val="single" w:sz="4" w:space="0" w:color="auto"/>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b/>
                <w:szCs w:val="24"/>
                <w:lang w:val="pt-BR"/>
              </w:rPr>
            </w:pPr>
            <w:r w:rsidRPr="0095435F">
              <w:rPr>
                <w:b/>
                <w:szCs w:val="24"/>
              </w:rPr>
              <w:t>Infrared peaks</w:t>
            </w:r>
            <w:r>
              <w:rPr>
                <w:b/>
                <w:szCs w:val="24"/>
              </w:rPr>
              <w:t xml:space="preserve"> (cm</w:t>
            </w:r>
            <w:r w:rsidRPr="006A48FA">
              <w:rPr>
                <w:b/>
                <w:szCs w:val="24"/>
                <w:vertAlign w:val="superscript"/>
              </w:rPr>
              <w:t>-1</w:t>
            </w:r>
            <w:r>
              <w:rPr>
                <w:b/>
                <w:szCs w:val="24"/>
              </w:rPr>
              <w:t>)</w:t>
            </w:r>
          </w:p>
        </w:tc>
        <w:tc>
          <w:tcPr>
            <w:tcW w:w="1604" w:type="dxa"/>
            <w:vMerge w:val="restart"/>
            <w:tcBorders>
              <w:top w:val="single" w:sz="4" w:space="0" w:color="auto"/>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b/>
                <w:szCs w:val="24"/>
                <w:lang w:val="pt-BR"/>
              </w:rPr>
            </w:pPr>
            <w:r w:rsidRPr="0095435F">
              <w:rPr>
                <w:b/>
                <w:szCs w:val="24"/>
              </w:rPr>
              <w:t>Functional groups</w:t>
            </w:r>
          </w:p>
        </w:tc>
      </w:tr>
      <w:tr w:rsidR="0097511E" w:rsidRPr="0065313A" w:rsidTr="00807030">
        <w:trPr>
          <w:trHeight w:val="982"/>
        </w:trPr>
        <w:tc>
          <w:tcPr>
            <w:tcW w:w="1119" w:type="dxa"/>
            <w:tcBorders>
              <w:top w:val="single" w:sz="4" w:space="0" w:color="auto"/>
              <w:bottom w:val="single" w:sz="4" w:space="0" w:color="auto"/>
              <w:right w:val="nil"/>
            </w:tcBorders>
            <w:shd w:val="clear" w:color="auto" w:fill="auto"/>
            <w:vAlign w:val="center"/>
          </w:tcPr>
          <w:p w:rsidR="0097511E" w:rsidRPr="0065313A" w:rsidRDefault="0097511E" w:rsidP="00807030">
            <w:pPr>
              <w:spacing w:after="200" w:line="276" w:lineRule="auto"/>
              <w:jc w:val="center"/>
              <w:rPr>
                <w:rFonts w:ascii="Arial Narrow" w:eastAsia="Calibri" w:hAnsi="Arial Narrow" w:cs="Times New Roman"/>
                <w:b/>
                <w:sz w:val="20"/>
                <w:szCs w:val="20"/>
              </w:rPr>
            </w:pPr>
          </w:p>
          <w:p w:rsidR="0097511E" w:rsidRPr="0065313A" w:rsidRDefault="0097511E" w:rsidP="00807030">
            <w:pPr>
              <w:spacing w:after="200" w:line="276" w:lineRule="auto"/>
              <w:jc w:val="center"/>
              <w:rPr>
                <w:rFonts w:ascii="Arial Narrow" w:eastAsia="Calibri" w:hAnsi="Arial Narrow" w:cs="Times New Roman"/>
                <w:b/>
                <w:sz w:val="20"/>
                <w:szCs w:val="20"/>
                <w:lang w:val="pt-BR"/>
              </w:rPr>
            </w:pPr>
            <w:proofErr w:type="spellStart"/>
            <w:r w:rsidRPr="0065313A">
              <w:rPr>
                <w:rFonts w:ascii="Arial Narrow" w:eastAsia="Calibri" w:hAnsi="Arial Narrow" w:cs="Times New Roman"/>
                <w:b/>
                <w:sz w:val="20"/>
                <w:szCs w:val="20"/>
              </w:rPr>
              <w:t>Compritol</w:t>
            </w:r>
            <w:proofErr w:type="spellEnd"/>
            <w:r>
              <w:rPr>
                <w:rFonts w:ascii="Arial Narrow" w:eastAsia="Calibri" w:hAnsi="Arial Narrow" w:cs="Times New Roman"/>
                <w:b/>
                <w:sz w:val="20"/>
                <w:szCs w:val="20"/>
              </w:rPr>
              <w:t xml:space="preserve"> </w:t>
            </w:r>
            <w:r>
              <w:rPr>
                <w:rFonts w:ascii="Arial Narrow" w:eastAsia="Calibri" w:hAnsi="Arial Narrow" w:cs="Times New Roman"/>
                <w:b/>
                <w:sz w:val="20"/>
                <w:szCs w:val="20"/>
              </w:rPr>
              <w:fldChar w:fldCharType="begin" w:fldLock="1"/>
            </w:r>
            <w:r>
              <w:rPr>
                <w:rFonts w:ascii="Arial Narrow" w:eastAsia="Calibri" w:hAnsi="Arial Narrow" w:cs="Times New Roman"/>
                <w:b/>
                <w:sz w:val="20"/>
                <w:szCs w:val="20"/>
              </w:rPr>
              <w:instrText>ADDIN CSL_CITATION {"citationItems":[{"id":"ITEM-1","itemData":{"DOI":"10.4103/0975-1483.83758","ISBN":"1229-6929","ISSN":"09751483","PMID":"21897658","abstract":"Metformin hydrochloride (MET) sustained-release solid dispersions (SD) were prepared by the solvent evaporation and closed melt method, using compritol 888 ATO as the polymer with five different drug-carrier ratios. Characterization of solid dispersion was carried out by Fourier Transform Infrared (FTIR) spectroscopy, ultraviolet (UV) spectroscopy, Differential scanning calorimetry (DSC), X-ray powder diffraction (XRPD). The FTIR and UV studies suggested that no bond formation had occurred between the polymer and the drug. DSC and XPRD results ruled out any interaction or complex formation between the drug and the polymer. The formulated SD had acceptable physicochemical characters and SD with a 1 : 4 drug : Polymer ratio, which released the drug over an extended period of eight-to-ten hours. The data obtained from the in vitro release studies were fitted with various kinetic models and were found to follow the Korsmeyer-Peppas equation. The prepared SD showed good stability over the studied time period. The solvent evaporation method was found to be more helpful than the closed melt method, giving the sustained release action. The SD with a 1 : 4 ratio of drug to polymer, by the solvent evaporation method, was selected as the most effective candidate for the subsequent development of a well-timed, sustained-release dosage form of the drug.","author":[{"dropping-particle":"","family":"Jagdale","given":"S.C.","non-dropping-particle":"","parse-names":false,"suffix":""},{"dropping-particle":"","family":"Patil","given":"S.A.","non-dropping-particle":"","parse-names":false,"suffix":""},{"dropping-particle":"","family":"Kuchekar","given":"B.S.","non-dropping-particle":"","parse-names":false,"suffix":""},{"dropping-particle":"","family":"Chabukswar","given":"A.R.","non-dropping-particle":"","parse-names":false,"suffix":""}],"container-title":"Journal of Young Pharmacists","id":"ITEM-1","issue":"3","issued":{"date-parts":[["2011"]]},"page":"197-204","title":"Preparation and Characterization of Metformin Hydrochloride − Compritol 888 ATO Solid Dispersion","type":"article-journal","volume":"3"},"uris":["http://www.mendeley.com/documents/?uuid=92c4cb36-ee29-4cb0-a95e-a67d1549fa33"]}],"mendeley":{"formattedCitation":"[27]","plainTextFormattedCitation":"[27]","previouslyFormattedCitation":"[27]"},"properties":{"noteIndex":0},"schema":"https://github.com/citation-style-language/schema/raw/master/csl-citation.json"}</w:instrText>
            </w:r>
            <w:r>
              <w:rPr>
                <w:rFonts w:ascii="Arial Narrow" w:eastAsia="Calibri" w:hAnsi="Arial Narrow" w:cs="Times New Roman"/>
                <w:b/>
                <w:sz w:val="20"/>
                <w:szCs w:val="20"/>
              </w:rPr>
              <w:fldChar w:fldCharType="separate"/>
            </w:r>
            <w:r w:rsidRPr="00B8757F">
              <w:rPr>
                <w:rFonts w:ascii="Arial Narrow" w:eastAsia="Calibri" w:hAnsi="Arial Narrow" w:cs="Times New Roman"/>
                <w:noProof/>
                <w:sz w:val="20"/>
                <w:szCs w:val="20"/>
              </w:rPr>
              <w:t>[27]</w:t>
            </w:r>
            <w:r>
              <w:rPr>
                <w:rFonts w:ascii="Arial Narrow" w:eastAsia="Calibri" w:hAnsi="Arial Narrow" w:cs="Times New Roman"/>
                <w:b/>
                <w:sz w:val="20"/>
                <w:szCs w:val="20"/>
              </w:rPr>
              <w:fldChar w:fldCharType="end"/>
            </w:r>
          </w:p>
        </w:tc>
        <w:tc>
          <w:tcPr>
            <w:tcW w:w="1119" w:type="dxa"/>
            <w:tcBorders>
              <w:top w:val="single" w:sz="4" w:space="0" w:color="auto"/>
              <w:left w:val="nil"/>
              <w:bottom w:val="single" w:sz="4" w:space="0" w:color="auto"/>
              <w:right w:val="nil"/>
            </w:tcBorders>
            <w:shd w:val="clear" w:color="auto" w:fill="auto"/>
            <w:vAlign w:val="center"/>
          </w:tcPr>
          <w:p w:rsidR="0097511E" w:rsidRDefault="0097511E" w:rsidP="00807030">
            <w:pPr>
              <w:spacing w:after="0" w:line="240" w:lineRule="auto"/>
              <w:jc w:val="center"/>
              <w:rPr>
                <w:rFonts w:ascii="Arial Narrow" w:eastAsia="Calibri" w:hAnsi="Arial Narrow" w:cs="Times New Roman"/>
                <w:b/>
                <w:sz w:val="20"/>
                <w:szCs w:val="20"/>
              </w:rPr>
            </w:pPr>
          </w:p>
          <w:p w:rsidR="0097511E" w:rsidRDefault="0097511E" w:rsidP="00807030">
            <w:pPr>
              <w:spacing w:after="0" w:line="240" w:lineRule="auto"/>
              <w:jc w:val="center"/>
              <w:rPr>
                <w:rFonts w:ascii="Arial Narrow" w:eastAsia="Calibri" w:hAnsi="Arial Narrow" w:cs="Times New Roman"/>
                <w:b/>
                <w:sz w:val="20"/>
                <w:szCs w:val="20"/>
              </w:rPr>
            </w:pPr>
          </w:p>
          <w:p w:rsidR="0097511E" w:rsidRDefault="0097511E" w:rsidP="00807030">
            <w:pPr>
              <w:spacing w:after="0" w:line="240" w:lineRule="auto"/>
              <w:jc w:val="center"/>
              <w:rPr>
                <w:rFonts w:ascii="Arial Narrow" w:eastAsia="Calibri" w:hAnsi="Arial Narrow" w:cs="Times New Roman"/>
                <w:b/>
                <w:sz w:val="20"/>
                <w:szCs w:val="20"/>
              </w:rPr>
            </w:pPr>
            <w:proofErr w:type="spellStart"/>
            <w:r w:rsidRPr="0065313A">
              <w:rPr>
                <w:rFonts w:ascii="Arial Narrow" w:eastAsia="Calibri" w:hAnsi="Arial Narrow" w:cs="Times New Roman"/>
                <w:b/>
                <w:sz w:val="20"/>
                <w:szCs w:val="20"/>
              </w:rPr>
              <w:t>Pluronic</w:t>
            </w:r>
            <w:proofErr w:type="spellEnd"/>
            <w:r w:rsidRPr="0065313A">
              <w:rPr>
                <w:rFonts w:ascii="Arial Narrow" w:eastAsia="Calibri" w:hAnsi="Arial Narrow" w:cs="Times New Roman"/>
                <w:b/>
                <w:sz w:val="20"/>
                <w:szCs w:val="20"/>
              </w:rPr>
              <w:t xml:space="preserve"> </w:t>
            </w:r>
            <w:r>
              <w:rPr>
                <w:rFonts w:ascii="Arial Narrow" w:eastAsia="Calibri" w:hAnsi="Arial Narrow" w:cs="Times New Roman"/>
                <w:b/>
                <w:sz w:val="20"/>
                <w:szCs w:val="20"/>
              </w:rPr>
              <w:fldChar w:fldCharType="begin" w:fldLock="1"/>
            </w:r>
            <w:r>
              <w:rPr>
                <w:rFonts w:ascii="Arial Narrow" w:eastAsia="Calibri" w:hAnsi="Arial Narrow" w:cs="Times New Roman"/>
                <w:b/>
                <w:sz w:val="20"/>
                <w:szCs w:val="20"/>
              </w:rPr>
              <w:instrText>ADDIN CSL_CITATION {"citationItems":[{"id":"ITEM-1","itemData":{"DOI":"10.1016/j.colsurfb.2018.11.077","ISSN":"09277765","author":[{"dropping-particle":"","family":"Albano","given":"Juan M.R","non-dropping-particle":"","parse-names":false,"suffix":""},{"dropping-particle":"","family":"Ribeiro","given":"Lígia Nunes de Morais","non-dropping-particle":"","parse-names":false,"suffix":""},{"dropping-particle":"","family":"Couto","given":"Verônica Muniz","non-dropping-particle":"","parse-names":false,"suffix":""},{"dropping-particle":"","family":"Barbosa Messias","given":"Mariana","non-dropping-particle":"","parse-names":false,"suffix":""},{"dropping-particle":"","family":"Rodrigues da Silva","given":"Gustavo Henrique","non-dropping-particle":"","parse-names":false,"suffix":""},{"dropping-particle":"","family":"Breitkreitz","given":"Márcia Cristina","non-dropping-particle":"","parse-names":false,"suffix":""},{"dropping-particle":"","family":"Paula","given":"Eneida","non-dropping-particle":"de","parse-names":false,"suffix":""},{"dropping-particle":"","family":"Pickholz","given":"Monica","non-dropping-particle":"","parse-names":false,"suffix":""}],"container-title":"Colloids and Surfaces B: Biointerfaces","id":"ITEM-1","issued":{"date-parts":[["2019"]]},"page":"56-64","publisher":"Elsevier B.V.","title":"Rational design of polymer-lipid nanoparticles for docetaxel delivery","type":"article-journal","volume":"175"},"uris":["http://www.mendeley.com/documents/?uuid=43dfc757-5407-4170-b803-94e6a7ccdacd"]}],"mendeley":{"formattedCitation":"[25]","plainTextFormattedCitation":"[25]","previouslyFormattedCitation":"[25]"},"properties":{"noteIndex":0},"schema":"https://github.com/citation-style-language/schema/raw/master/csl-citation.json"}</w:instrText>
            </w:r>
            <w:r>
              <w:rPr>
                <w:rFonts w:ascii="Arial Narrow" w:eastAsia="Calibri" w:hAnsi="Arial Narrow" w:cs="Times New Roman"/>
                <w:b/>
                <w:sz w:val="20"/>
                <w:szCs w:val="20"/>
              </w:rPr>
              <w:fldChar w:fldCharType="separate"/>
            </w:r>
            <w:r w:rsidRPr="00B8757F">
              <w:rPr>
                <w:rFonts w:ascii="Arial Narrow" w:eastAsia="Calibri" w:hAnsi="Arial Narrow" w:cs="Times New Roman"/>
                <w:noProof/>
                <w:sz w:val="20"/>
                <w:szCs w:val="20"/>
              </w:rPr>
              <w:t>[25]</w:t>
            </w:r>
            <w:r>
              <w:rPr>
                <w:rFonts w:ascii="Arial Narrow" w:eastAsia="Calibri" w:hAnsi="Arial Narrow" w:cs="Times New Roman"/>
                <w:b/>
                <w:sz w:val="20"/>
                <w:szCs w:val="20"/>
              </w:rPr>
              <w:fldChar w:fldCharType="end"/>
            </w:r>
          </w:p>
          <w:p w:rsidR="0097511E" w:rsidRPr="0065313A" w:rsidRDefault="0097511E" w:rsidP="00807030">
            <w:pPr>
              <w:spacing w:after="0" w:line="240" w:lineRule="auto"/>
              <w:rPr>
                <w:rFonts w:ascii="Arial Narrow" w:eastAsia="Calibri" w:hAnsi="Arial Narrow" w:cs="Times New Roman"/>
                <w:b/>
                <w:sz w:val="20"/>
                <w:szCs w:val="20"/>
              </w:rPr>
            </w:pPr>
          </w:p>
        </w:tc>
        <w:tc>
          <w:tcPr>
            <w:tcW w:w="1119" w:type="dxa"/>
            <w:tcBorders>
              <w:top w:val="single" w:sz="4" w:space="0" w:color="auto"/>
              <w:left w:val="nil"/>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b/>
                <w:sz w:val="20"/>
                <w:szCs w:val="20"/>
              </w:rPr>
            </w:pPr>
          </w:p>
          <w:p w:rsidR="0097511E" w:rsidRPr="0065313A" w:rsidRDefault="0097511E" w:rsidP="00807030">
            <w:pPr>
              <w:spacing w:after="0" w:line="240" w:lineRule="auto"/>
              <w:jc w:val="center"/>
              <w:rPr>
                <w:rFonts w:ascii="Arial Narrow" w:eastAsia="Calibri" w:hAnsi="Arial Narrow" w:cs="Times New Roman"/>
                <w:b/>
                <w:sz w:val="20"/>
                <w:szCs w:val="20"/>
              </w:rPr>
            </w:pPr>
            <w:r w:rsidRPr="0065313A">
              <w:rPr>
                <w:rFonts w:ascii="Arial Narrow" w:eastAsia="Calibri" w:hAnsi="Arial Narrow" w:cs="Times New Roman"/>
                <w:b/>
                <w:sz w:val="20"/>
                <w:szCs w:val="20"/>
              </w:rPr>
              <w:t>Span 80</w:t>
            </w:r>
            <w:r>
              <w:rPr>
                <w:rFonts w:ascii="Arial Narrow" w:eastAsia="Calibri" w:hAnsi="Arial Narrow" w:cs="Times New Roman"/>
                <w:b/>
                <w:sz w:val="20"/>
                <w:szCs w:val="20"/>
              </w:rPr>
              <w:t xml:space="preserve"> </w:t>
            </w:r>
            <w:r>
              <w:rPr>
                <w:rFonts w:ascii="Arial Narrow" w:eastAsia="Calibri" w:hAnsi="Arial Narrow" w:cs="Times New Roman"/>
                <w:b/>
                <w:sz w:val="20"/>
                <w:szCs w:val="20"/>
              </w:rPr>
              <w:fldChar w:fldCharType="begin" w:fldLock="1"/>
            </w:r>
            <w:r>
              <w:rPr>
                <w:rFonts w:ascii="Arial Narrow" w:eastAsia="Calibri" w:hAnsi="Arial Narrow" w:cs="Times New Roman"/>
                <w:b/>
                <w:sz w:val="20"/>
                <w:szCs w:val="20"/>
              </w:rPr>
              <w:instrText>ADDIN CSL_CITATION {"citationItems":[{"id":"ITEM-1","itemData":{"DOI":"10.1039/c5ra11842e","ISBN":"2046-2069","ISSN":"20462069","abstract":"&lt;p&gt;Polyurethane polymers were synthesized as novel solid–solid phase change materials (SSPCMs) by bulk polyaddition in the absence of organic solvents using Span 80 and Tween 80 as crosslinking agents for the first time.&lt;/p&gt;","author":[{"dropping-particle":"","family":"Fu","given":"Xiaowei","non-dropping-particle":"","parse-names":false,"suffix":""},{"dropping-particle":"","family":"Kong","given":"Weibo","non-dropping-particle":"","parse-names":false,"suffix":""},{"dropping-particle":"","family":"Zhang","given":"Yanyan","non-dropping-particle":"","parse-names":false,"suffix":""},{"dropping-particle":"","family":"Jiang","given":"Liang","non-dropping-particle":"","parse-names":false,"suffix":""},{"dropping-particle":"","family":"Wang","given":"Jiliang","non-dropping-particle":"","parse-names":false,"suffix":""},{"dropping-particle":"","family":"Lei","given":"Jingxin","non-dropping-particle":"","parse-names":false,"suffix":""}],"container-title":"RSC Advances","id":"ITEM-1","issue":"84","issued":{"date-parts":[["2015"]]},"page":"68881-68889","title":"Novel solid-solid phase change materials with biodegradable trihydroxy surfactants for thermal energy storage","type":"article-journal","volume":"5"},"uris":["http://www.mendeley.com/documents/?uuid=6835d96a-0029-486f-ae5a-1eb1f02b65da"]}],"mendeley":{"formattedCitation":"[28]","plainTextFormattedCitation":"[28]","previouslyFormattedCitation":"[28]"},"properties":{"noteIndex":0},"schema":"https://github.com/citation-style-language/schema/raw/master/csl-citation.json"}</w:instrText>
            </w:r>
            <w:r>
              <w:rPr>
                <w:rFonts w:ascii="Arial Narrow" w:eastAsia="Calibri" w:hAnsi="Arial Narrow" w:cs="Times New Roman"/>
                <w:b/>
                <w:sz w:val="20"/>
                <w:szCs w:val="20"/>
              </w:rPr>
              <w:fldChar w:fldCharType="separate"/>
            </w:r>
            <w:r w:rsidRPr="00B8757F">
              <w:rPr>
                <w:rFonts w:ascii="Arial Narrow" w:eastAsia="Calibri" w:hAnsi="Arial Narrow" w:cs="Times New Roman"/>
                <w:noProof/>
                <w:sz w:val="20"/>
                <w:szCs w:val="20"/>
              </w:rPr>
              <w:t>[28]</w:t>
            </w:r>
            <w:r>
              <w:rPr>
                <w:rFonts w:ascii="Arial Narrow" w:eastAsia="Calibri" w:hAnsi="Arial Narrow" w:cs="Times New Roman"/>
                <w:b/>
                <w:sz w:val="20"/>
                <w:szCs w:val="20"/>
              </w:rPr>
              <w:fldChar w:fldCharType="end"/>
            </w:r>
          </w:p>
        </w:tc>
        <w:tc>
          <w:tcPr>
            <w:tcW w:w="1279" w:type="dxa"/>
            <w:tcBorders>
              <w:top w:val="single" w:sz="4" w:space="0" w:color="auto"/>
              <w:left w:val="nil"/>
              <w:bottom w:val="single" w:sz="4" w:space="0" w:color="auto"/>
              <w:right w:val="nil"/>
            </w:tcBorders>
            <w:shd w:val="clear" w:color="auto" w:fill="auto"/>
            <w:vAlign w:val="center"/>
          </w:tcPr>
          <w:p w:rsidR="0097511E" w:rsidRDefault="0097511E" w:rsidP="00807030">
            <w:pPr>
              <w:spacing w:after="0" w:line="240" w:lineRule="auto"/>
              <w:jc w:val="center"/>
              <w:rPr>
                <w:rFonts w:ascii="Arial Narrow" w:eastAsia="Calibri" w:hAnsi="Arial Narrow" w:cs="Times New Roman"/>
                <w:b/>
                <w:sz w:val="20"/>
                <w:szCs w:val="20"/>
              </w:rPr>
            </w:pPr>
          </w:p>
          <w:p w:rsidR="0097511E" w:rsidRPr="0065313A" w:rsidRDefault="0097511E" w:rsidP="00807030">
            <w:pPr>
              <w:spacing w:after="0" w:line="240" w:lineRule="auto"/>
              <w:jc w:val="center"/>
              <w:rPr>
                <w:rFonts w:ascii="Arial Narrow" w:eastAsia="Calibri" w:hAnsi="Arial Narrow" w:cs="Times New Roman"/>
                <w:b/>
                <w:sz w:val="20"/>
                <w:szCs w:val="20"/>
              </w:rPr>
            </w:pPr>
            <w:r w:rsidRPr="0065313A">
              <w:rPr>
                <w:rFonts w:ascii="Arial Narrow" w:eastAsia="Calibri" w:hAnsi="Arial Narrow" w:cs="Times New Roman"/>
                <w:b/>
                <w:sz w:val="20"/>
                <w:szCs w:val="20"/>
              </w:rPr>
              <w:t>Docetaxel</w:t>
            </w:r>
            <w:r>
              <w:rPr>
                <w:rFonts w:ascii="Arial Narrow" w:eastAsia="Calibri" w:hAnsi="Arial Narrow" w:cs="Times New Roman"/>
                <w:b/>
                <w:sz w:val="20"/>
                <w:szCs w:val="20"/>
              </w:rPr>
              <w:t xml:space="preserve"> </w:t>
            </w:r>
            <w:r>
              <w:rPr>
                <w:rFonts w:ascii="Arial Narrow" w:eastAsia="Calibri" w:hAnsi="Arial Narrow" w:cs="Times New Roman"/>
                <w:b/>
                <w:sz w:val="20"/>
                <w:szCs w:val="20"/>
              </w:rPr>
              <w:fldChar w:fldCharType="begin" w:fldLock="1"/>
            </w:r>
            <w:r>
              <w:rPr>
                <w:rFonts w:ascii="Arial Narrow" w:eastAsia="Calibri" w:hAnsi="Arial Narrow" w:cs="Times New Roman"/>
                <w:b/>
                <w:sz w:val="20"/>
                <w:szCs w:val="20"/>
              </w:rPr>
              <w:instrText>ADDIN CSL_CITATION {"citationItems":[{"id":"ITEM-1","itemData":{"DOI":"10.1007/s11814-015-0205-9","ISSN":"02561115","abstract":"© 2016 Korean Institute of Chemical Engineers, Seoul, Korea Liquid self-nanoemulsifying drug delivery systems (L-SNEDDS) of docetaxel were prepared using varying ratios of Capmul PG 8 NF (oil), Cremophor EL (surfactant) and Transcutol-P (co-surfactant). The optimized L-SNEDDS (L11) was transformed into self-nanoemulsifying powder (SNEP) by physical adsorption on to Neusilin US2 and evaluated for dissolution behavior, in vitro cytotoxicity and in vivo oral bioavailability. Optimized L-SNEDDS (L11) composed of 50% of oil, 41.7% of surfactant and 8.3% co-surfactant produced stable emulsion with smaller globules (43±3 nm). In vitro dissolution studies showed the rapid drug release within 5min (95.42±1%) from SNEPN. In vitro cytotoxicity assessed by the MTT assay using MCF-7 human breast cancer cell lines revealed that L-SNEDDS significantly reduced the IC50 value and was 2.3 times lower than the pure docetaxel. Further, the oral bioavailability studies in male Wistar rats showed higher Cmax values following treatment with SNEPN (0.98±0.13 μg/mL) and L-SNEDDS (1.09±0.06 μg/mL) compared to pure docetaxel (0.37±0.04 μg/mL).","author":[{"dropping-particle":"","family":"Sunkavalli","given":"Sharath","non-dropping-particle":"","parse-names":false,"suffix":""},{"dropping-particle":"","family":"Eedara","given":"Basanth Babu","non-dropping-particle":"","parse-names":false,"suffix":""},{"dropping-particle":"","family":"Janga","given":"Karthik Yadav","non-dropping-particle":"","parse-names":false,"suffix":""},{"dropping-particle":"","family":"Velpula","given":"Ashok","non-dropping-particle":"","parse-names":false,"suffix":""},{"dropping-particle":"","family":"Jukanti","given":"Raju","non-dropping-particle":"","parse-names":false,"suffix":""},{"dropping-particle":"","family":"Bandari","given":"Suresh","non-dropping-particle":"","parse-names":false,"suffix":""}],"container-title":"Korean Journal of Chemical Engineering","id":"ITEM-1","issue":"3","issued":{"date-parts":[["2016"]]},"page":"1115-1124","title":"Preparation and characterization of docetaxel self-nanoemulsifying powders (SNEPs): A strategy for improved oral delivery","type":"article-journal","volume":"33"},"uris":["http://www.mendeley.com/documents/?uuid=ce805ace-d009-423c-a66d-51f225532784"]}],"mendeley":{"formattedCitation":"[29]","plainTextFormattedCitation":"[29]","previouslyFormattedCitation":"[29]"},"properties":{"noteIndex":0},"schema":"https://github.com/citation-style-language/schema/raw/master/csl-citation.json"}</w:instrText>
            </w:r>
            <w:r>
              <w:rPr>
                <w:rFonts w:ascii="Arial Narrow" w:eastAsia="Calibri" w:hAnsi="Arial Narrow" w:cs="Times New Roman"/>
                <w:b/>
                <w:sz w:val="20"/>
                <w:szCs w:val="20"/>
              </w:rPr>
              <w:fldChar w:fldCharType="separate"/>
            </w:r>
            <w:r w:rsidRPr="00B8757F">
              <w:rPr>
                <w:rFonts w:ascii="Arial Narrow" w:eastAsia="Calibri" w:hAnsi="Arial Narrow" w:cs="Times New Roman"/>
                <w:noProof/>
                <w:sz w:val="20"/>
                <w:szCs w:val="20"/>
              </w:rPr>
              <w:t>[29]</w:t>
            </w:r>
            <w:r>
              <w:rPr>
                <w:rFonts w:ascii="Arial Narrow" w:eastAsia="Calibri" w:hAnsi="Arial Narrow" w:cs="Times New Roman"/>
                <w:b/>
                <w:sz w:val="20"/>
                <w:szCs w:val="20"/>
              </w:rPr>
              <w:fldChar w:fldCharType="end"/>
            </w:r>
          </w:p>
        </w:tc>
        <w:tc>
          <w:tcPr>
            <w:tcW w:w="1274" w:type="dxa"/>
            <w:tcBorders>
              <w:top w:val="single" w:sz="4" w:space="0" w:color="auto"/>
              <w:left w:val="nil"/>
              <w:bottom w:val="single" w:sz="4" w:space="0" w:color="auto"/>
              <w:right w:val="nil"/>
            </w:tcBorders>
            <w:shd w:val="clear" w:color="auto" w:fill="auto"/>
            <w:vAlign w:val="center"/>
          </w:tcPr>
          <w:p w:rsidR="0097511E" w:rsidRDefault="0097511E" w:rsidP="00807030">
            <w:pPr>
              <w:spacing w:after="0" w:line="240" w:lineRule="auto"/>
              <w:rPr>
                <w:rFonts w:ascii="Arial Narrow" w:eastAsia="Calibri" w:hAnsi="Arial Narrow" w:cs="Times New Roman"/>
                <w:b/>
                <w:sz w:val="20"/>
                <w:szCs w:val="20"/>
                <w:lang w:val="pt-BR"/>
              </w:rPr>
            </w:pPr>
          </w:p>
          <w:p w:rsidR="0097511E" w:rsidRDefault="0097511E" w:rsidP="00807030">
            <w:pPr>
              <w:spacing w:after="0" w:line="240" w:lineRule="auto"/>
              <w:rPr>
                <w:rFonts w:ascii="Arial Narrow" w:eastAsia="Calibri" w:hAnsi="Arial Narrow" w:cs="Times New Roman"/>
                <w:b/>
                <w:sz w:val="20"/>
                <w:szCs w:val="20"/>
                <w:lang w:val="pt-BR"/>
              </w:rPr>
            </w:pPr>
            <w:proofErr w:type="spellStart"/>
            <w:r>
              <w:rPr>
                <w:rFonts w:ascii="Arial Narrow" w:eastAsia="Calibri" w:hAnsi="Arial Narrow" w:cs="Times New Roman"/>
                <w:b/>
                <w:sz w:val="20"/>
                <w:szCs w:val="20"/>
                <w:lang w:val="pt-BR"/>
              </w:rPr>
              <w:t>Blank</w:t>
            </w:r>
            <w:proofErr w:type="spellEnd"/>
            <w:r>
              <w:rPr>
                <w:rFonts w:ascii="Arial Narrow" w:eastAsia="Calibri" w:hAnsi="Arial Narrow" w:cs="Times New Roman"/>
                <w:b/>
                <w:sz w:val="20"/>
                <w:szCs w:val="20"/>
                <w:lang w:val="pt-BR"/>
              </w:rPr>
              <w:t>-SLN</w:t>
            </w:r>
          </w:p>
          <w:p w:rsidR="0097511E" w:rsidRPr="0065313A" w:rsidRDefault="0097511E" w:rsidP="00807030">
            <w:pPr>
              <w:spacing w:after="0" w:line="240" w:lineRule="auto"/>
              <w:rPr>
                <w:rFonts w:ascii="Arial Narrow" w:eastAsia="Calibri" w:hAnsi="Arial Narrow" w:cs="Times New Roman"/>
                <w:b/>
                <w:sz w:val="20"/>
                <w:szCs w:val="20"/>
                <w:lang w:val="pt-BR"/>
              </w:rPr>
            </w:pPr>
          </w:p>
        </w:tc>
        <w:tc>
          <w:tcPr>
            <w:tcW w:w="1120" w:type="dxa"/>
            <w:tcBorders>
              <w:top w:val="single" w:sz="4" w:space="0" w:color="auto"/>
              <w:left w:val="nil"/>
              <w:bottom w:val="single" w:sz="4" w:space="0" w:color="auto"/>
              <w:right w:val="nil"/>
            </w:tcBorders>
            <w:shd w:val="clear" w:color="auto" w:fill="auto"/>
            <w:vAlign w:val="center"/>
          </w:tcPr>
          <w:p w:rsidR="0097511E" w:rsidRDefault="0097511E" w:rsidP="00807030">
            <w:pPr>
              <w:spacing w:after="0" w:line="240" w:lineRule="auto"/>
              <w:jc w:val="center"/>
              <w:rPr>
                <w:rFonts w:ascii="Arial Narrow" w:eastAsia="Calibri" w:hAnsi="Arial Narrow" w:cs="Times New Roman"/>
                <w:b/>
                <w:sz w:val="20"/>
                <w:szCs w:val="20"/>
                <w:lang w:val="pt-BR"/>
              </w:rPr>
            </w:pPr>
          </w:p>
          <w:p w:rsidR="0097511E" w:rsidRDefault="0097511E" w:rsidP="00807030">
            <w:pPr>
              <w:spacing w:after="0" w:line="240" w:lineRule="auto"/>
              <w:jc w:val="center"/>
              <w:rPr>
                <w:rFonts w:ascii="Arial Narrow" w:eastAsia="Calibri" w:hAnsi="Arial Narrow" w:cs="Times New Roman"/>
                <w:b/>
                <w:sz w:val="20"/>
                <w:szCs w:val="20"/>
                <w:lang w:val="pt-BR"/>
              </w:rPr>
            </w:pPr>
            <w:r>
              <w:rPr>
                <w:rFonts w:ascii="Arial Narrow" w:eastAsia="Calibri" w:hAnsi="Arial Narrow" w:cs="Times New Roman"/>
                <w:b/>
                <w:sz w:val="20"/>
                <w:szCs w:val="20"/>
                <w:lang w:val="pt-BR"/>
              </w:rPr>
              <w:t>SLN</w:t>
            </w:r>
            <w:r w:rsidRPr="0065313A">
              <w:rPr>
                <w:rFonts w:ascii="Arial Narrow" w:eastAsia="Calibri" w:hAnsi="Arial Narrow" w:cs="Times New Roman"/>
                <w:b/>
                <w:sz w:val="20"/>
                <w:szCs w:val="20"/>
                <w:lang w:val="pt-BR"/>
              </w:rPr>
              <w:t>-DTX</w:t>
            </w:r>
          </w:p>
          <w:p w:rsidR="0097511E" w:rsidRPr="0065313A" w:rsidRDefault="0097511E" w:rsidP="00807030">
            <w:pPr>
              <w:spacing w:after="0" w:line="240" w:lineRule="auto"/>
              <w:jc w:val="center"/>
              <w:rPr>
                <w:rFonts w:ascii="Arial Narrow" w:eastAsia="Calibri" w:hAnsi="Arial Narrow" w:cs="Times New Roman"/>
                <w:b/>
                <w:sz w:val="20"/>
                <w:szCs w:val="20"/>
                <w:lang w:val="pt-BR"/>
              </w:rPr>
            </w:pPr>
          </w:p>
        </w:tc>
        <w:tc>
          <w:tcPr>
            <w:tcW w:w="1604" w:type="dxa"/>
            <w:vMerge/>
            <w:tcBorders>
              <w:left w:val="nil"/>
              <w:bottom w:val="single" w:sz="4" w:space="0" w:color="auto"/>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r>
      <w:tr w:rsidR="0097511E" w:rsidRPr="0065313A" w:rsidTr="00807030">
        <w:trPr>
          <w:trHeight w:val="168"/>
        </w:trPr>
        <w:tc>
          <w:tcPr>
            <w:tcW w:w="1119" w:type="dxa"/>
            <w:tcBorders>
              <w:top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3423</w:t>
            </w:r>
          </w:p>
        </w:tc>
        <w:tc>
          <w:tcPr>
            <w:tcW w:w="1119" w:type="dxa"/>
            <w:tcBorders>
              <w:top w:val="single" w:sz="4" w:space="0" w:color="auto"/>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top w:val="single" w:sz="4" w:space="0" w:color="auto"/>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3421</w:t>
            </w:r>
          </w:p>
        </w:tc>
        <w:tc>
          <w:tcPr>
            <w:tcW w:w="1279" w:type="dxa"/>
            <w:tcBorders>
              <w:top w:val="single" w:sz="4" w:space="0" w:color="auto"/>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3460</w:t>
            </w:r>
          </w:p>
        </w:tc>
        <w:tc>
          <w:tcPr>
            <w:tcW w:w="1274" w:type="dxa"/>
            <w:tcBorders>
              <w:top w:val="single" w:sz="4" w:space="0" w:color="auto"/>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3371</w:t>
            </w:r>
          </w:p>
        </w:tc>
        <w:tc>
          <w:tcPr>
            <w:tcW w:w="1120" w:type="dxa"/>
            <w:tcBorders>
              <w:top w:val="single" w:sz="4" w:space="0" w:color="auto"/>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604" w:type="dxa"/>
            <w:tcBorders>
              <w:top w:val="single" w:sz="4" w:space="0" w:color="auto"/>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Pr>
                <w:rFonts w:ascii="Symbol" w:eastAsia="Calibri" w:hAnsi="Symbol" w:cs="Calibri"/>
                <w:sz w:val="20"/>
                <w:szCs w:val="20"/>
                <w:lang w:val="pt-BR"/>
              </w:rPr>
              <w:t></w:t>
            </w:r>
            <w:r w:rsidRPr="0065313A">
              <w:rPr>
                <w:rFonts w:ascii="Arial Narrow" w:eastAsia="Calibri" w:hAnsi="Arial Narrow" w:cs="Times New Roman"/>
                <w:sz w:val="20"/>
                <w:szCs w:val="20"/>
                <w:lang w:val="pt-BR"/>
              </w:rPr>
              <w:t>OH</w:t>
            </w:r>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3369</w:t>
            </w: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Calibri"/>
                <w:sz w:val="20"/>
                <w:szCs w:val="20"/>
                <w:lang w:val="pt-BR"/>
              </w:rPr>
            </w:pPr>
            <w:r>
              <w:rPr>
                <w:rFonts w:ascii="Symbol" w:eastAsia="Calibri" w:hAnsi="Symbol" w:cs="Calibri"/>
                <w:sz w:val="20"/>
                <w:szCs w:val="20"/>
                <w:lang w:val="pt-BR"/>
              </w:rPr>
              <w:t></w:t>
            </w:r>
            <w:r w:rsidRPr="0065313A">
              <w:rPr>
                <w:rFonts w:ascii="Arial Narrow" w:eastAsia="Calibri" w:hAnsi="Arial Narrow" w:cs="Calibri"/>
                <w:sz w:val="20"/>
                <w:szCs w:val="20"/>
                <w:lang w:val="pt-BR"/>
              </w:rPr>
              <w:t>N</w:t>
            </w:r>
            <w:r w:rsidRPr="0065313A">
              <w:rPr>
                <w:rFonts w:ascii="Arial Narrow" w:eastAsia="Calibri" w:hAnsi="Arial Narrow" w:cs="Times New Roman"/>
                <w:sz w:val="20"/>
                <w:szCs w:val="20"/>
                <w:lang w:val="pt-BR"/>
              </w:rPr>
              <w:t>H</w:t>
            </w:r>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3389</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Calibri"/>
                <w:sz w:val="20"/>
                <w:szCs w:val="20"/>
                <w:lang w:val="pt-BR"/>
              </w:rPr>
            </w:pPr>
            <w:r>
              <w:rPr>
                <w:rFonts w:ascii="Symbol" w:eastAsia="Calibri" w:hAnsi="Symbol" w:cs="Calibri"/>
                <w:sz w:val="20"/>
                <w:szCs w:val="20"/>
                <w:lang w:val="pt-BR"/>
              </w:rPr>
              <w:t></w:t>
            </w:r>
            <w:r w:rsidRPr="0065313A">
              <w:rPr>
                <w:rFonts w:ascii="Arial Narrow" w:eastAsia="Calibri" w:hAnsi="Arial Narrow" w:cs="Times New Roman"/>
                <w:sz w:val="20"/>
                <w:szCs w:val="20"/>
                <w:lang w:val="pt-BR"/>
              </w:rPr>
              <w:t xml:space="preserve">OH + </w:t>
            </w:r>
            <w:r>
              <w:rPr>
                <w:rFonts w:ascii="Symbol" w:eastAsia="Calibri" w:hAnsi="Symbol" w:cs="Calibri"/>
                <w:sz w:val="20"/>
                <w:szCs w:val="20"/>
                <w:lang w:val="pt-BR"/>
              </w:rPr>
              <w:t></w:t>
            </w:r>
            <w:r w:rsidRPr="0065313A">
              <w:rPr>
                <w:rFonts w:ascii="Arial Narrow" w:eastAsia="Calibri" w:hAnsi="Arial Narrow" w:cs="Calibri"/>
                <w:sz w:val="20"/>
                <w:szCs w:val="20"/>
                <w:lang w:val="pt-BR"/>
              </w:rPr>
              <w:t>N</w:t>
            </w:r>
            <w:r w:rsidRPr="0065313A">
              <w:rPr>
                <w:rFonts w:ascii="Arial Narrow" w:eastAsia="Calibri" w:hAnsi="Arial Narrow" w:cs="Times New Roman"/>
                <w:sz w:val="20"/>
                <w:szCs w:val="20"/>
                <w:lang w:val="pt-BR"/>
              </w:rPr>
              <w:t>H</w:t>
            </w:r>
          </w:p>
        </w:tc>
      </w:tr>
      <w:tr w:rsidR="0097511E" w:rsidRPr="0065313A" w:rsidTr="00807030">
        <w:trPr>
          <w:trHeight w:val="168"/>
        </w:trPr>
        <w:tc>
          <w:tcPr>
            <w:tcW w:w="1119" w:type="dxa"/>
            <w:tcBorders>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2955,2914</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2967</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2922</w:t>
            </w: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2981, 2938</w:t>
            </w:r>
          </w:p>
        </w:tc>
        <w:tc>
          <w:tcPr>
            <w:tcW w:w="1274" w:type="dxa"/>
            <w:tcBorders>
              <w:left w:val="nil"/>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r>
              <w:rPr>
                <w:rFonts w:ascii="Arial Narrow" w:eastAsia="Calibri" w:hAnsi="Arial Narrow" w:cs="Times New Roman"/>
                <w:sz w:val="20"/>
                <w:szCs w:val="20"/>
                <w:lang w:val="pt-BR"/>
              </w:rPr>
              <w:t>2955,</w:t>
            </w:r>
            <w:r w:rsidRPr="0065313A">
              <w:rPr>
                <w:rFonts w:ascii="Arial Narrow" w:eastAsia="Calibri" w:hAnsi="Arial Narrow" w:cs="Times New Roman"/>
                <w:sz w:val="20"/>
                <w:szCs w:val="20"/>
                <w:lang w:val="pt-BR"/>
              </w:rPr>
              <w:t>2916</w:t>
            </w:r>
          </w:p>
        </w:tc>
        <w:tc>
          <w:tcPr>
            <w:tcW w:w="1120" w:type="dxa"/>
            <w:tcBorders>
              <w:left w:val="nil"/>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2955,2916</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DE1343">
              <w:rPr>
                <w:rFonts w:ascii="Symbol" w:eastAsia="Calibri" w:hAnsi="Symbol" w:cs="Calibri"/>
                <w:sz w:val="20"/>
                <w:szCs w:val="20"/>
                <w:lang w:val="pt-BR"/>
              </w:rPr>
              <w:t></w:t>
            </w:r>
            <w:proofErr w:type="spellStart"/>
            <w:r w:rsidRPr="0065313A">
              <w:rPr>
                <w:rFonts w:ascii="Arial Narrow" w:eastAsia="Calibri" w:hAnsi="Arial Narrow" w:cs="Times New Roman"/>
                <w:sz w:val="20"/>
                <w:szCs w:val="20"/>
                <w:vertAlign w:val="subscript"/>
                <w:lang w:val="pt-BR"/>
              </w:rPr>
              <w:t>as</w:t>
            </w:r>
            <w:r w:rsidRPr="0065313A">
              <w:rPr>
                <w:rFonts w:ascii="Arial Narrow" w:eastAsia="Calibri" w:hAnsi="Arial Narrow" w:cs="Times New Roman"/>
                <w:sz w:val="20"/>
                <w:szCs w:val="20"/>
                <w:lang w:val="pt-BR"/>
              </w:rPr>
              <w:t>CH</w:t>
            </w:r>
            <w:proofErr w:type="spellEnd"/>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2849</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2880</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2852</w:t>
            </w: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2853</w:t>
            </w: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2849</w:t>
            </w: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2849</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Pr>
                <w:rFonts w:ascii="Symbol" w:eastAsia="Calibri" w:hAnsi="Symbol" w:cs="Calibri"/>
                <w:sz w:val="20"/>
                <w:szCs w:val="20"/>
                <w:lang w:val="pt-BR"/>
              </w:rPr>
              <w:t></w:t>
            </w:r>
            <w:proofErr w:type="spellStart"/>
            <w:r w:rsidRPr="0065313A">
              <w:rPr>
                <w:rFonts w:ascii="Arial Narrow" w:eastAsia="Calibri" w:hAnsi="Arial Narrow" w:cs="Calibri"/>
                <w:sz w:val="20"/>
                <w:szCs w:val="20"/>
                <w:vertAlign w:val="subscript"/>
                <w:lang w:val="pt-BR"/>
              </w:rPr>
              <w:t>s</w:t>
            </w:r>
            <w:r w:rsidRPr="0065313A">
              <w:rPr>
                <w:rFonts w:ascii="Arial Narrow" w:eastAsia="Calibri" w:hAnsi="Arial Narrow" w:cs="Times New Roman"/>
                <w:sz w:val="20"/>
                <w:szCs w:val="20"/>
                <w:lang w:val="pt-BR"/>
              </w:rPr>
              <w:t>CH</w:t>
            </w:r>
            <w:proofErr w:type="spellEnd"/>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1736</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1740</w:t>
            </w: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 xml:space="preserve">1738, </w:t>
            </w:r>
            <w:r w:rsidRPr="0065313A">
              <w:rPr>
                <w:rFonts w:ascii="Arial" w:eastAsia="Calibri" w:hAnsi="Arial" w:cs="Arial"/>
                <w:sz w:val="20"/>
                <w:szCs w:val="20"/>
                <w:lang w:val="pt-BR"/>
              </w:rPr>
              <w:t>1709</w:t>
            </w: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1736</w:t>
            </w: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1736</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Calibri"/>
                <w:sz w:val="20"/>
                <w:szCs w:val="20"/>
                <w:lang w:val="pt-BR"/>
              </w:rPr>
            </w:pPr>
            <w:r>
              <w:rPr>
                <w:rFonts w:ascii="Symbol" w:eastAsia="Calibri" w:hAnsi="Symbol" w:cs="Calibri"/>
                <w:sz w:val="20"/>
                <w:szCs w:val="20"/>
                <w:lang w:val="pt-BR"/>
              </w:rPr>
              <w:t></w:t>
            </w:r>
            <w:r w:rsidRPr="0065313A">
              <w:rPr>
                <w:rFonts w:ascii="Arial Narrow" w:eastAsia="Calibri" w:hAnsi="Arial Narrow" w:cs="Calibri"/>
                <w:sz w:val="20"/>
                <w:szCs w:val="20"/>
                <w:lang w:val="pt-BR"/>
              </w:rPr>
              <w:t>C=O</w:t>
            </w:r>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1587</w:t>
            </w: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sym w:font="Symbol" w:char="F064"/>
            </w:r>
            <w:r w:rsidRPr="0065313A">
              <w:rPr>
                <w:rFonts w:ascii="Arial Narrow" w:eastAsia="Calibri" w:hAnsi="Arial Narrow" w:cs="Times New Roman"/>
                <w:sz w:val="20"/>
                <w:szCs w:val="20"/>
                <w:lang w:val="pt-BR"/>
              </w:rPr>
              <w:t>N-H</w:t>
            </w:r>
          </w:p>
        </w:tc>
      </w:tr>
      <w:tr w:rsidR="0097511E" w:rsidRPr="0065313A" w:rsidTr="00807030">
        <w:trPr>
          <w:trHeight w:val="33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1497, 1437</w:t>
            </w: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Pr>
                <w:rFonts w:ascii="Symbol" w:eastAsia="Calibri" w:hAnsi="Symbol" w:cs="Calibri"/>
                <w:sz w:val="20"/>
                <w:szCs w:val="20"/>
                <w:lang w:val="pt-BR"/>
              </w:rPr>
              <w:t></w:t>
            </w:r>
            <w:r w:rsidRPr="0065313A">
              <w:rPr>
                <w:rFonts w:ascii="Arial Narrow" w:eastAsia="Calibri" w:hAnsi="Arial Narrow" w:cs="Times New Roman"/>
                <w:sz w:val="20"/>
                <w:szCs w:val="20"/>
                <w:lang w:val="pt-BR"/>
              </w:rPr>
              <w:t>C=C (</w:t>
            </w:r>
            <w:proofErr w:type="spellStart"/>
            <w:r w:rsidRPr="0065313A">
              <w:rPr>
                <w:rFonts w:ascii="Arial Narrow" w:eastAsia="Calibri" w:hAnsi="Arial Narrow" w:cs="Times New Roman"/>
                <w:sz w:val="20"/>
                <w:szCs w:val="20"/>
                <w:lang w:val="pt-BR"/>
              </w:rPr>
              <w:t>arom</w:t>
            </w:r>
            <w:r>
              <w:rPr>
                <w:rFonts w:ascii="Arial Narrow" w:eastAsia="Calibri" w:hAnsi="Arial Narrow" w:cs="Times New Roman"/>
                <w:sz w:val="20"/>
                <w:szCs w:val="20"/>
                <w:lang w:val="pt-BR"/>
              </w:rPr>
              <w:t>atic</w:t>
            </w:r>
            <w:proofErr w:type="spellEnd"/>
            <w:r w:rsidRPr="0065313A">
              <w:rPr>
                <w:rFonts w:ascii="Arial Narrow" w:eastAsia="Calibri" w:hAnsi="Arial Narrow" w:cs="Times New Roman"/>
                <w:sz w:val="20"/>
                <w:szCs w:val="20"/>
                <w:lang w:val="pt-BR"/>
              </w:rPr>
              <w:t>)</w:t>
            </w:r>
          </w:p>
        </w:tc>
      </w:tr>
      <w:tr w:rsidR="0097511E" w:rsidRPr="0065313A" w:rsidTr="00807030">
        <w:trPr>
          <w:trHeight w:val="981"/>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1468</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1466</w:t>
            </w:r>
          </w:p>
        </w:tc>
        <w:tc>
          <w:tcPr>
            <w:tcW w:w="1119" w:type="dxa"/>
            <w:tcBorders>
              <w:left w:val="nil"/>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14</w:t>
            </w:r>
            <w:r>
              <w:rPr>
                <w:rFonts w:ascii="Arial Narrow" w:eastAsia="Calibri" w:hAnsi="Arial Narrow" w:cs="Times New Roman"/>
                <w:sz w:val="20"/>
                <w:szCs w:val="20"/>
                <w:lang w:val="pt-BR"/>
              </w:rPr>
              <w:t>61,</w:t>
            </w:r>
            <w:r w:rsidRPr="0065313A">
              <w:rPr>
                <w:rFonts w:ascii="Arial Narrow" w:eastAsia="Calibri" w:hAnsi="Arial Narrow" w:cs="Times New Roman"/>
                <w:sz w:val="20"/>
                <w:szCs w:val="20"/>
                <w:lang w:val="pt-BR"/>
              </w:rPr>
              <w:t>1377</w:t>
            </w: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1375, 1267, 1244, 1171, 1117, 1070, 1022</w:t>
            </w: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1466</w:t>
            </w: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1466</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sym w:font="Symbol" w:char="F064"/>
            </w:r>
            <w:r w:rsidRPr="0065313A">
              <w:rPr>
                <w:rFonts w:ascii="Arial Narrow" w:eastAsia="Calibri" w:hAnsi="Arial Narrow" w:cs="Times New Roman"/>
                <w:sz w:val="20"/>
                <w:szCs w:val="20"/>
                <w:lang w:val="pt-BR"/>
              </w:rPr>
              <w:t>CH (CH</w:t>
            </w:r>
            <w:r w:rsidRPr="0065313A">
              <w:rPr>
                <w:rFonts w:ascii="Arial Narrow" w:eastAsia="Calibri" w:hAnsi="Arial Narrow" w:cs="Times New Roman"/>
                <w:sz w:val="20"/>
                <w:szCs w:val="20"/>
                <w:vertAlign w:val="subscript"/>
                <w:lang w:val="pt-BR"/>
              </w:rPr>
              <w:t>2</w:t>
            </w:r>
            <w:r>
              <w:t xml:space="preserve"> </w:t>
            </w:r>
            <w:proofErr w:type="spellStart"/>
            <w:r w:rsidRPr="00D90DF2">
              <w:rPr>
                <w:rFonts w:ascii="Arial Narrow" w:eastAsia="Calibri" w:hAnsi="Arial Narrow" w:cs="Times New Roman"/>
                <w:sz w:val="20"/>
                <w:szCs w:val="20"/>
                <w:lang w:val="pt-BR"/>
              </w:rPr>
              <w:t>alkane</w:t>
            </w:r>
            <w:proofErr w:type="spellEnd"/>
            <w:r w:rsidRPr="0065313A">
              <w:rPr>
                <w:rFonts w:ascii="Arial Narrow" w:eastAsia="Calibri" w:hAnsi="Arial Narrow" w:cs="Times New Roman"/>
                <w:sz w:val="20"/>
                <w:szCs w:val="20"/>
                <w:lang w:val="pt-BR"/>
              </w:rPr>
              <w:t>)</w:t>
            </w:r>
          </w:p>
        </w:tc>
      </w:tr>
      <w:tr w:rsidR="0097511E" w:rsidRPr="0065313A" w:rsidTr="00807030">
        <w:trPr>
          <w:trHeight w:val="274"/>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1342</w:t>
            </w: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1342</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Pr>
                <w:rFonts w:ascii="Symbol" w:eastAsia="Calibri" w:hAnsi="Symbol" w:cs="Calibri"/>
                <w:sz w:val="20"/>
                <w:szCs w:val="20"/>
                <w:lang w:val="pt-BR"/>
              </w:rPr>
              <w:t></w:t>
            </w:r>
            <w:r w:rsidRPr="0065313A">
              <w:rPr>
                <w:rFonts w:ascii="Arial Narrow" w:eastAsia="Calibri" w:hAnsi="Arial Narrow" w:cs="Times New Roman"/>
                <w:sz w:val="20"/>
                <w:szCs w:val="20"/>
                <w:lang w:val="pt-BR"/>
              </w:rPr>
              <w:t xml:space="preserve">C-O + </w:t>
            </w:r>
            <w:r>
              <w:rPr>
                <w:rFonts w:ascii="Symbol" w:eastAsia="Calibri" w:hAnsi="Symbol" w:cs="Calibri"/>
                <w:sz w:val="20"/>
                <w:szCs w:val="20"/>
                <w:lang w:val="pt-BR"/>
              </w:rPr>
              <w:t></w:t>
            </w:r>
            <w:r w:rsidRPr="0065313A">
              <w:rPr>
                <w:rFonts w:ascii="Arial Narrow" w:eastAsia="Calibri" w:hAnsi="Arial Narrow" w:cs="Times New Roman"/>
                <w:sz w:val="20"/>
                <w:szCs w:val="20"/>
                <w:lang w:val="pt-BR"/>
              </w:rPr>
              <w:t>C-N</w:t>
            </w:r>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sym w:font="Symbol" w:char="F06E"/>
            </w:r>
            <w:r w:rsidRPr="0065313A">
              <w:rPr>
                <w:rFonts w:ascii="Arial Narrow" w:eastAsia="Calibri" w:hAnsi="Arial Narrow" w:cs="Times New Roman"/>
                <w:sz w:val="20"/>
                <w:szCs w:val="20"/>
                <w:lang w:val="pt-BR"/>
              </w:rPr>
              <w:t>COC</w:t>
            </w:r>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1190,1173</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1342,1279</w:t>
            </w:r>
          </w:p>
        </w:tc>
        <w:tc>
          <w:tcPr>
            <w:tcW w:w="1119" w:type="dxa"/>
            <w:tcBorders>
              <w:left w:val="nil"/>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r>
              <w:rPr>
                <w:rFonts w:ascii="Arial Narrow" w:eastAsia="Calibri" w:hAnsi="Arial Narrow" w:cs="Times New Roman"/>
                <w:sz w:val="20"/>
                <w:szCs w:val="20"/>
                <w:lang w:val="pt-BR"/>
              </w:rPr>
              <w:t>1169,</w:t>
            </w:r>
            <w:r w:rsidRPr="0065313A">
              <w:rPr>
                <w:rFonts w:ascii="Arial Narrow" w:eastAsia="Calibri" w:hAnsi="Arial Narrow" w:cs="Times New Roman"/>
                <w:sz w:val="20"/>
                <w:szCs w:val="20"/>
                <w:lang w:val="pt-BR"/>
              </w:rPr>
              <w:t>1084</w:t>
            </w: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Pr>
                <w:rFonts w:ascii="Symbol" w:eastAsia="Calibri" w:hAnsi="Symbol" w:cs="Calibri"/>
                <w:sz w:val="20"/>
                <w:szCs w:val="20"/>
                <w:lang w:val="pt-BR"/>
              </w:rPr>
              <w:t></w:t>
            </w:r>
            <w:r w:rsidRPr="0065313A">
              <w:rPr>
                <w:rFonts w:ascii="Arial Narrow" w:eastAsia="Calibri" w:hAnsi="Arial Narrow" w:cs="Times New Roman"/>
                <w:sz w:val="20"/>
                <w:szCs w:val="20"/>
                <w:lang w:val="pt-BR"/>
              </w:rPr>
              <w:t>CO</w:t>
            </w:r>
          </w:p>
        </w:tc>
      </w:tr>
      <w:tr w:rsidR="0097511E" w:rsidRPr="0065313A" w:rsidTr="00807030">
        <w:trPr>
          <w:trHeight w:val="16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 xml:space="preserve">1109 </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4" w:type="dxa"/>
            <w:tcBorders>
              <w:left w:val="nil"/>
              <w:right w:val="nil"/>
            </w:tcBorders>
            <w:shd w:val="clear" w:color="auto" w:fill="auto"/>
            <w:vAlign w:val="center"/>
          </w:tcPr>
          <w:p w:rsidR="0097511E" w:rsidRPr="0065313A" w:rsidRDefault="0097511E" w:rsidP="00807030">
            <w:pPr>
              <w:spacing w:after="0" w:line="240" w:lineRule="auto"/>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1107,1060</w:t>
            </w: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1107</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Pr>
                <w:rFonts w:ascii="Symbol" w:eastAsia="Calibri" w:hAnsi="Symbol" w:cs="Calibri"/>
                <w:sz w:val="20"/>
                <w:szCs w:val="20"/>
                <w:lang w:val="pt-BR"/>
              </w:rPr>
              <w:t></w:t>
            </w:r>
            <w:r w:rsidRPr="0065313A">
              <w:rPr>
                <w:rFonts w:ascii="Arial Narrow" w:eastAsia="Calibri" w:hAnsi="Arial Narrow" w:cs="Times New Roman"/>
                <w:sz w:val="20"/>
                <w:szCs w:val="20"/>
                <w:lang w:val="pt-BR"/>
              </w:rPr>
              <w:t>CO</w:t>
            </w:r>
          </w:p>
        </w:tc>
      </w:tr>
      <w:tr w:rsidR="0097511E" w:rsidRPr="0065313A" w:rsidTr="00807030">
        <w:trPr>
          <w:trHeight w:val="178"/>
        </w:trPr>
        <w:tc>
          <w:tcPr>
            <w:tcW w:w="1119" w:type="dxa"/>
            <w:tcBorders>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961, 841</w:t>
            </w:r>
          </w:p>
        </w:tc>
        <w:tc>
          <w:tcPr>
            <w:tcW w:w="111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9"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Pr>
                <w:rFonts w:ascii="Arial Narrow" w:eastAsia="Calibri" w:hAnsi="Arial Narrow" w:cs="Times New Roman"/>
                <w:sz w:val="20"/>
                <w:szCs w:val="20"/>
                <w:lang w:val="pt-BR"/>
              </w:rPr>
              <w:t xml:space="preserve">974, </w:t>
            </w:r>
            <w:r w:rsidRPr="0065313A">
              <w:rPr>
                <w:rFonts w:ascii="Arial Narrow" w:eastAsia="Calibri" w:hAnsi="Arial Narrow" w:cs="Times New Roman"/>
                <w:sz w:val="20"/>
                <w:szCs w:val="20"/>
                <w:lang w:val="pt-BR"/>
              </w:rPr>
              <w:t>708</w:t>
            </w:r>
          </w:p>
        </w:tc>
        <w:tc>
          <w:tcPr>
            <w:tcW w:w="1274"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962</w:t>
            </w:r>
          </w:p>
        </w:tc>
        <w:tc>
          <w:tcPr>
            <w:tcW w:w="1120" w:type="dxa"/>
            <w:tcBorders>
              <w:left w:val="nil"/>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962</w:t>
            </w:r>
          </w:p>
        </w:tc>
        <w:tc>
          <w:tcPr>
            <w:tcW w:w="1604" w:type="dxa"/>
            <w:tcBorders>
              <w:lef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sym w:font="Symbol" w:char="F064"/>
            </w:r>
            <w:r w:rsidRPr="0065313A">
              <w:rPr>
                <w:rFonts w:ascii="Arial Narrow" w:eastAsia="Calibri" w:hAnsi="Arial Narrow" w:cs="Times New Roman"/>
                <w:sz w:val="20"/>
                <w:szCs w:val="20"/>
                <w:lang w:val="pt-BR"/>
              </w:rPr>
              <w:t>CH</w:t>
            </w:r>
          </w:p>
        </w:tc>
      </w:tr>
      <w:tr w:rsidR="0097511E" w:rsidRPr="0065313A" w:rsidTr="00807030">
        <w:trPr>
          <w:trHeight w:val="158"/>
        </w:trPr>
        <w:tc>
          <w:tcPr>
            <w:tcW w:w="1119" w:type="dxa"/>
            <w:tcBorders>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719</w:t>
            </w:r>
          </w:p>
        </w:tc>
        <w:tc>
          <w:tcPr>
            <w:tcW w:w="1119" w:type="dxa"/>
            <w:tcBorders>
              <w:left w:val="nil"/>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119" w:type="dxa"/>
            <w:tcBorders>
              <w:left w:val="nil"/>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721</w:t>
            </w:r>
          </w:p>
        </w:tc>
        <w:tc>
          <w:tcPr>
            <w:tcW w:w="1279" w:type="dxa"/>
            <w:tcBorders>
              <w:left w:val="nil"/>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
        </w:tc>
        <w:tc>
          <w:tcPr>
            <w:tcW w:w="1274" w:type="dxa"/>
            <w:tcBorders>
              <w:left w:val="nil"/>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719</w:t>
            </w:r>
          </w:p>
        </w:tc>
        <w:tc>
          <w:tcPr>
            <w:tcW w:w="1120" w:type="dxa"/>
            <w:tcBorders>
              <w:left w:val="nil"/>
              <w:bottom w:val="single" w:sz="4" w:space="0" w:color="auto"/>
              <w:right w:val="nil"/>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r w:rsidRPr="0065313A">
              <w:rPr>
                <w:rFonts w:ascii="Arial Narrow" w:eastAsia="Calibri" w:hAnsi="Arial Narrow" w:cs="Times New Roman"/>
                <w:sz w:val="20"/>
                <w:szCs w:val="20"/>
                <w:lang w:val="pt-BR"/>
              </w:rPr>
              <w:t>719</w:t>
            </w:r>
          </w:p>
        </w:tc>
        <w:tc>
          <w:tcPr>
            <w:tcW w:w="1604" w:type="dxa"/>
            <w:tcBorders>
              <w:left w:val="nil"/>
              <w:bottom w:val="single" w:sz="4" w:space="0" w:color="auto"/>
            </w:tcBorders>
            <w:shd w:val="clear" w:color="auto" w:fill="auto"/>
            <w:vAlign w:val="center"/>
          </w:tcPr>
          <w:p w:rsidR="0097511E" w:rsidRPr="0065313A" w:rsidRDefault="0097511E" w:rsidP="00807030">
            <w:pPr>
              <w:spacing w:after="0" w:line="240" w:lineRule="auto"/>
              <w:jc w:val="center"/>
              <w:rPr>
                <w:rFonts w:ascii="Arial Narrow" w:eastAsia="Calibri" w:hAnsi="Arial Narrow" w:cs="Times New Roman"/>
                <w:sz w:val="20"/>
                <w:szCs w:val="20"/>
                <w:lang w:val="pt-BR"/>
              </w:rPr>
            </w:pPr>
            <w:proofErr w:type="spellStart"/>
            <w:r w:rsidRPr="0065313A">
              <w:rPr>
                <w:rFonts w:ascii="Arial Narrow" w:eastAsia="Calibri" w:hAnsi="Arial Narrow" w:cs="Times New Roman"/>
                <w:i/>
                <w:sz w:val="20"/>
                <w:szCs w:val="20"/>
                <w:lang w:val="pt-BR"/>
              </w:rPr>
              <w:t>Rocking</w:t>
            </w:r>
            <w:proofErr w:type="spellEnd"/>
            <w:r w:rsidRPr="0065313A">
              <w:rPr>
                <w:rFonts w:ascii="Arial Narrow" w:eastAsia="Calibri" w:hAnsi="Arial Narrow" w:cs="Times New Roman"/>
                <w:sz w:val="20"/>
                <w:szCs w:val="20"/>
                <w:lang w:val="pt-BR"/>
              </w:rPr>
              <w:t xml:space="preserve"> CH</w:t>
            </w:r>
            <w:r w:rsidRPr="0065313A">
              <w:rPr>
                <w:rFonts w:ascii="Arial Narrow" w:eastAsia="Calibri" w:hAnsi="Arial Narrow" w:cs="Times New Roman"/>
                <w:sz w:val="20"/>
                <w:szCs w:val="20"/>
                <w:vertAlign w:val="subscript"/>
                <w:lang w:val="pt-BR"/>
              </w:rPr>
              <w:t>2</w:t>
            </w:r>
          </w:p>
        </w:tc>
      </w:tr>
    </w:tbl>
    <w:p w:rsidR="0097511E" w:rsidRPr="0065313A" w:rsidRDefault="0097511E" w:rsidP="0097511E">
      <w:pPr>
        <w:jc w:val="center"/>
        <w:rPr>
          <w:sz w:val="20"/>
          <w:szCs w:val="20"/>
        </w:rPr>
      </w:pPr>
    </w:p>
    <w:p w:rsidR="001F3359" w:rsidRDefault="006709E4" w:rsidP="00095346">
      <w:pPr>
        <w:jc w:val="center"/>
      </w:pPr>
    </w:p>
    <w:p w:rsidR="0097511E" w:rsidRPr="00790440" w:rsidRDefault="0097511E" w:rsidP="0097511E"/>
    <w:p w:rsidR="0097511E" w:rsidRDefault="0097511E" w:rsidP="0097511E"/>
    <w:p w:rsidR="0097511E" w:rsidRPr="00BF460F" w:rsidRDefault="0097511E" w:rsidP="0097511E"/>
    <w:p w:rsidR="0097511E" w:rsidRDefault="0097511E"/>
    <w:sectPr w:rsidR="0097511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1E"/>
    <w:rsid w:val="00095346"/>
    <w:rsid w:val="006709E4"/>
    <w:rsid w:val="0097511E"/>
    <w:rsid w:val="0099496B"/>
    <w:rsid w:val="009F40B3"/>
    <w:rsid w:val="00B77058"/>
    <w:rsid w:val="00BD6C22"/>
    <w:rsid w:val="00BF15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EEEDA-55D5-46E8-8D4A-A64118C1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11E"/>
    <w:pPr>
      <w:spacing w:line="480" w:lineRule="auto"/>
      <w:jc w:val="both"/>
    </w:pPr>
    <w:rPr>
      <w:rFonts w:ascii="Times New Roman" w:hAnsi="Times New Roman"/>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1484</Words>
  <Characters>8018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Márcia Cristina</dc:creator>
  <cp:keywords/>
  <dc:description/>
  <cp:lastModifiedBy>Oc Aur</cp:lastModifiedBy>
  <cp:revision>2</cp:revision>
  <dcterms:created xsi:type="dcterms:W3CDTF">2019-09-08T02:46:00Z</dcterms:created>
  <dcterms:modified xsi:type="dcterms:W3CDTF">2019-09-08T02:46:00Z</dcterms:modified>
</cp:coreProperties>
</file>