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17AB2E" w14:textId="22ED4CA4" w:rsidR="00D42210" w:rsidRDefault="00283270" w:rsidP="00C25C50">
      <w:pPr>
        <w:pStyle w:val="Title2"/>
        <w:spacing w:line="400" w:lineRule="exact"/>
        <w:rPr>
          <w:b w:val="0"/>
          <w:color w:val="000000"/>
          <w:sz w:val="32"/>
          <w:szCs w:val="32"/>
        </w:rPr>
      </w:pPr>
      <w:r>
        <w:rPr>
          <w:b w:val="0"/>
          <w:color w:val="000000"/>
          <w:sz w:val="32"/>
          <w:szCs w:val="32"/>
        </w:rPr>
        <w:t>Additional file</w:t>
      </w:r>
      <w:bookmarkStart w:id="0" w:name="_GoBack"/>
      <w:bookmarkEnd w:id="0"/>
      <w:r w:rsidR="00D42210">
        <w:rPr>
          <w:b w:val="0"/>
          <w:color w:val="000000"/>
          <w:sz w:val="32"/>
          <w:szCs w:val="32"/>
        </w:rPr>
        <w:t xml:space="preserve"> </w:t>
      </w:r>
    </w:p>
    <w:p w14:paraId="380ECEDD" w14:textId="7F7037AA" w:rsidR="00D42210" w:rsidRDefault="00D42210" w:rsidP="00C25C50">
      <w:pPr>
        <w:pStyle w:val="Title2"/>
        <w:spacing w:line="400" w:lineRule="exact"/>
        <w:rPr>
          <w:b w:val="0"/>
          <w:color w:val="000000"/>
          <w:sz w:val="32"/>
          <w:szCs w:val="32"/>
        </w:rPr>
      </w:pPr>
    </w:p>
    <w:p w14:paraId="1DF4BD42" w14:textId="4EAF42F2" w:rsidR="00A35247" w:rsidRPr="00253D04" w:rsidRDefault="00A35247" w:rsidP="00253D04">
      <w:pPr>
        <w:autoSpaceDE w:val="0"/>
        <w:autoSpaceDN w:val="0"/>
        <w:adjustRightInd w:val="0"/>
        <w:spacing w:line="400" w:lineRule="exact"/>
        <w:jc w:val="center"/>
        <w:outlineLvl w:val="0"/>
        <w:rPr>
          <w:rFonts w:eastAsia="MinionPro-Regular"/>
          <w:b/>
          <w:sz w:val="24"/>
          <w:szCs w:val="32"/>
        </w:rPr>
      </w:pPr>
      <w:r w:rsidRPr="00253D04">
        <w:rPr>
          <w:rFonts w:eastAsia="MinionPro-Regular"/>
          <w:b/>
          <w:sz w:val="24"/>
          <w:szCs w:val="32"/>
        </w:rPr>
        <w:t>Exosome-based biomimetic nanoparticles targeted to inflamed joints for enhanced treatment of rheumatoid arthritis</w:t>
      </w:r>
    </w:p>
    <w:p w14:paraId="510D52A9" w14:textId="77777777" w:rsidR="00A35247" w:rsidRPr="00810246" w:rsidRDefault="00A35247" w:rsidP="00A35247">
      <w:pPr>
        <w:autoSpaceDE w:val="0"/>
        <w:autoSpaceDN w:val="0"/>
        <w:adjustRightInd w:val="0"/>
        <w:spacing w:line="400" w:lineRule="exact"/>
        <w:rPr>
          <w:rFonts w:eastAsia="MinionPro-Regular"/>
          <w:b/>
          <w:sz w:val="32"/>
          <w:szCs w:val="32"/>
        </w:rPr>
      </w:pPr>
    </w:p>
    <w:p w14:paraId="259C51CC" w14:textId="77777777" w:rsidR="00E87C90" w:rsidRPr="00E87C90" w:rsidRDefault="00E87C90" w:rsidP="00E87C90">
      <w:pPr>
        <w:jc w:val="center"/>
        <w:rPr>
          <w:sz w:val="24"/>
          <w:szCs w:val="24"/>
          <w:vertAlign w:val="superscript"/>
        </w:rPr>
      </w:pPr>
      <w:r w:rsidRPr="00E87C90">
        <w:rPr>
          <w:sz w:val="24"/>
          <w:szCs w:val="24"/>
        </w:rPr>
        <w:t xml:space="preserve">Yan Feili </w:t>
      </w:r>
      <w:r w:rsidRPr="00E87C90">
        <w:rPr>
          <w:sz w:val="24"/>
          <w:szCs w:val="24"/>
          <w:vertAlign w:val="superscript"/>
        </w:rPr>
        <w:t>#1</w:t>
      </w:r>
      <w:r w:rsidRPr="00E87C90">
        <w:rPr>
          <w:sz w:val="24"/>
          <w:szCs w:val="24"/>
        </w:rPr>
        <w:t xml:space="preserve">, Zhong Zhirong </w:t>
      </w:r>
      <w:r w:rsidRPr="00E87C90">
        <w:rPr>
          <w:rFonts w:hint="eastAsia"/>
          <w:sz w:val="24"/>
          <w:szCs w:val="24"/>
          <w:vertAlign w:val="superscript"/>
        </w:rPr>
        <w:t>#</w:t>
      </w:r>
      <w:r w:rsidRPr="00E87C90">
        <w:rPr>
          <w:sz w:val="24"/>
          <w:szCs w:val="24"/>
          <w:vertAlign w:val="superscript"/>
        </w:rPr>
        <w:t>1</w:t>
      </w:r>
      <w:r w:rsidRPr="00E87C90">
        <w:rPr>
          <w:sz w:val="24"/>
          <w:szCs w:val="24"/>
        </w:rPr>
        <w:t xml:space="preserve">, Wang Yao </w:t>
      </w:r>
      <w:r w:rsidRPr="00E87C90">
        <w:rPr>
          <w:rFonts w:hint="eastAsia"/>
          <w:sz w:val="24"/>
          <w:szCs w:val="24"/>
          <w:vertAlign w:val="superscript"/>
        </w:rPr>
        <w:t>#</w:t>
      </w:r>
      <w:r w:rsidRPr="00E87C90">
        <w:rPr>
          <w:sz w:val="24"/>
          <w:szCs w:val="24"/>
          <w:vertAlign w:val="superscript"/>
        </w:rPr>
        <w:t>1</w:t>
      </w:r>
      <w:r w:rsidRPr="00E87C90">
        <w:rPr>
          <w:sz w:val="24"/>
          <w:szCs w:val="24"/>
        </w:rPr>
        <w:t xml:space="preserve">, Feng Yue </w:t>
      </w:r>
      <w:r w:rsidRPr="00E87C90">
        <w:rPr>
          <w:sz w:val="24"/>
          <w:szCs w:val="24"/>
          <w:vertAlign w:val="superscript"/>
        </w:rPr>
        <w:t>2,</w:t>
      </w:r>
      <w:r w:rsidRPr="00E87C90">
        <w:rPr>
          <w:rFonts w:hint="eastAsia"/>
          <w:sz w:val="24"/>
          <w:szCs w:val="24"/>
          <w:vertAlign w:val="superscript"/>
        </w:rPr>
        <w:t>3</w:t>
      </w:r>
      <w:r w:rsidRPr="00E87C90">
        <w:rPr>
          <w:sz w:val="24"/>
          <w:szCs w:val="24"/>
        </w:rPr>
        <w:t xml:space="preserve">, Mei Zhiqiang </w:t>
      </w:r>
      <w:r w:rsidRPr="00E87C90">
        <w:rPr>
          <w:sz w:val="24"/>
          <w:szCs w:val="24"/>
          <w:vertAlign w:val="superscript"/>
        </w:rPr>
        <w:t>4</w:t>
      </w:r>
      <w:r w:rsidRPr="00E87C90">
        <w:rPr>
          <w:sz w:val="24"/>
          <w:szCs w:val="24"/>
        </w:rPr>
        <w:t xml:space="preserve">, Li Hui </w:t>
      </w:r>
      <w:r w:rsidRPr="00E87C90">
        <w:rPr>
          <w:sz w:val="24"/>
          <w:szCs w:val="24"/>
          <w:vertAlign w:val="superscript"/>
        </w:rPr>
        <w:t>1</w:t>
      </w:r>
      <w:r w:rsidRPr="00E87C90">
        <w:rPr>
          <w:sz w:val="24"/>
          <w:szCs w:val="24"/>
        </w:rPr>
        <w:t xml:space="preserve">, Chen Xiang </w:t>
      </w:r>
      <w:r w:rsidRPr="00E87C90">
        <w:rPr>
          <w:sz w:val="24"/>
          <w:szCs w:val="24"/>
          <w:vertAlign w:val="superscript"/>
        </w:rPr>
        <w:t>1</w:t>
      </w:r>
      <w:r w:rsidRPr="00E87C90">
        <w:rPr>
          <w:sz w:val="24"/>
          <w:szCs w:val="24"/>
        </w:rPr>
        <w:t>, Cai Liang *</w:t>
      </w:r>
      <w:r w:rsidRPr="00E87C90">
        <w:rPr>
          <w:sz w:val="24"/>
          <w:szCs w:val="24"/>
          <w:vertAlign w:val="superscript"/>
        </w:rPr>
        <w:t>2,</w:t>
      </w:r>
      <w:r w:rsidRPr="00E87C90">
        <w:rPr>
          <w:rFonts w:hint="eastAsia"/>
          <w:sz w:val="24"/>
          <w:szCs w:val="24"/>
          <w:vertAlign w:val="superscript"/>
        </w:rPr>
        <w:t>3</w:t>
      </w:r>
      <w:r w:rsidRPr="00E87C90">
        <w:rPr>
          <w:sz w:val="24"/>
          <w:szCs w:val="24"/>
        </w:rPr>
        <w:t>, Li Chunhong *</w:t>
      </w:r>
      <w:r w:rsidRPr="00E87C90">
        <w:rPr>
          <w:sz w:val="24"/>
          <w:szCs w:val="24"/>
          <w:vertAlign w:val="superscript"/>
        </w:rPr>
        <w:t>1,5</w:t>
      </w:r>
    </w:p>
    <w:p w14:paraId="78FABA13" w14:textId="77777777" w:rsidR="00E87C90" w:rsidRPr="00E87C90" w:rsidRDefault="00E87C90" w:rsidP="00E87C90">
      <w:pPr>
        <w:jc w:val="center"/>
        <w:rPr>
          <w:sz w:val="24"/>
          <w:szCs w:val="24"/>
        </w:rPr>
      </w:pPr>
      <w:r w:rsidRPr="00E87C90">
        <w:rPr>
          <w:sz w:val="24"/>
          <w:szCs w:val="24"/>
          <w:vertAlign w:val="superscript"/>
        </w:rPr>
        <w:t>1</w:t>
      </w:r>
      <w:r w:rsidRPr="00E87C90">
        <w:rPr>
          <w:sz w:val="24"/>
          <w:szCs w:val="24"/>
        </w:rPr>
        <w:t>Department of Pharmaceutical Sciences, School of Pharmacy, Southwest Medical University, Luzhou 646000, Sichuan, China.</w:t>
      </w:r>
    </w:p>
    <w:p w14:paraId="45C1693B" w14:textId="77777777" w:rsidR="00E87C90" w:rsidRPr="00E87C90" w:rsidRDefault="00E87C90" w:rsidP="00E87C90">
      <w:pPr>
        <w:jc w:val="center"/>
        <w:rPr>
          <w:sz w:val="24"/>
          <w:szCs w:val="24"/>
        </w:rPr>
      </w:pPr>
      <w:r w:rsidRPr="00E87C90">
        <w:rPr>
          <w:sz w:val="24"/>
          <w:szCs w:val="24"/>
          <w:vertAlign w:val="superscript"/>
        </w:rPr>
        <w:t>2</w:t>
      </w:r>
      <w:r w:rsidRPr="00E87C90">
        <w:rPr>
          <w:rFonts w:hint="eastAsia"/>
          <w:sz w:val="24"/>
          <w:szCs w:val="24"/>
        </w:rPr>
        <w:t>Department</w:t>
      </w:r>
      <w:r w:rsidRPr="00E87C90">
        <w:rPr>
          <w:sz w:val="24"/>
          <w:szCs w:val="24"/>
        </w:rPr>
        <w:t xml:space="preserve"> </w:t>
      </w:r>
      <w:r w:rsidRPr="00E87C90">
        <w:rPr>
          <w:rFonts w:hint="eastAsia"/>
          <w:sz w:val="24"/>
          <w:szCs w:val="24"/>
        </w:rPr>
        <w:t>of</w:t>
      </w:r>
      <w:r w:rsidRPr="00E87C90">
        <w:rPr>
          <w:sz w:val="24"/>
          <w:szCs w:val="24"/>
        </w:rPr>
        <w:t xml:space="preserve"> N</w:t>
      </w:r>
      <w:hyperlink r:id="rId7" w:history="1">
        <w:r w:rsidRPr="00E87C90">
          <w:rPr>
            <w:sz w:val="24"/>
            <w:szCs w:val="24"/>
          </w:rPr>
          <w:t>uclear</w:t>
        </w:r>
      </w:hyperlink>
      <w:r w:rsidRPr="00E87C90">
        <w:rPr>
          <w:sz w:val="24"/>
          <w:szCs w:val="24"/>
        </w:rPr>
        <w:t xml:space="preserve"> </w:t>
      </w:r>
      <w:hyperlink r:id="rId8" w:history="1">
        <w:r w:rsidRPr="00E87C90">
          <w:rPr>
            <w:sz w:val="24"/>
            <w:szCs w:val="24"/>
          </w:rPr>
          <w:t>medicine</w:t>
        </w:r>
      </w:hyperlink>
      <w:r w:rsidRPr="00E87C90">
        <w:rPr>
          <w:sz w:val="24"/>
          <w:szCs w:val="24"/>
        </w:rPr>
        <w:t>, The Affiliated Hospital of Southwest Medical University, Luzhou, Sichuan, 646000, China.</w:t>
      </w:r>
    </w:p>
    <w:p w14:paraId="27EEDFDD" w14:textId="77777777" w:rsidR="00E87C90" w:rsidRPr="00E87C90" w:rsidRDefault="00E87C90" w:rsidP="00E87C90">
      <w:pPr>
        <w:jc w:val="center"/>
        <w:rPr>
          <w:sz w:val="24"/>
          <w:szCs w:val="24"/>
          <w:vertAlign w:val="superscript"/>
        </w:rPr>
      </w:pPr>
      <w:r w:rsidRPr="00E87C90">
        <w:rPr>
          <w:sz w:val="24"/>
          <w:szCs w:val="24"/>
          <w:vertAlign w:val="superscript"/>
        </w:rPr>
        <w:t>3</w:t>
      </w:r>
      <w:r w:rsidRPr="00E87C90">
        <w:rPr>
          <w:rFonts w:hint="eastAsia"/>
          <w:sz w:val="24"/>
          <w:szCs w:val="24"/>
        </w:rPr>
        <w:t>N</w:t>
      </w:r>
      <w:r w:rsidRPr="00E87C90">
        <w:rPr>
          <w:sz w:val="24"/>
          <w:szCs w:val="24"/>
        </w:rPr>
        <w:t>uclear Medicine and Molecular Imaging Key Laboratory of Sichuan Province, Luzhou, Sichuan, 646000, China.</w:t>
      </w:r>
      <w:r w:rsidRPr="00E87C90">
        <w:rPr>
          <w:sz w:val="24"/>
          <w:szCs w:val="24"/>
          <w:vertAlign w:val="superscript"/>
        </w:rPr>
        <w:t xml:space="preserve"> </w:t>
      </w:r>
    </w:p>
    <w:p w14:paraId="120EFC8D" w14:textId="77777777" w:rsidR="00E87C90" w:rsidRPr="00E87C90" w:rsidRDefault="00E87C90" w:rsidP="00E87C90">
      <w:pPr>
        <w:jc w:val="center"/>
        <w:rPr>
          <w:sz w:val="24"/>
          <w:szCs w:val="24"/>
        </w:rPr>
      </w:pPr>
      <w:r w:rsidRPr="00E87C90">
        <w:rPr>
          <w:sz w:val="24"/>
          <w:szCs w:val="24"/>
          <w:vertAlign w:val="superscript"/>
        </w:rPr>
        <w:t>4</w:t>
      </w:r>
      <w:r w:rsidRPr="00E87C90">
        <w:rPr>
          <w:sz w:val="24"/>
          <w:szCs w:val="24"/>
        </w:rPr>
        <w:t>The Research Center for Preclinical Medicine, Southwest Medical University, Luzhou, Sichuan 646000, China.</w:t>
      </w:r>
    </w:p>
    <w:p w14:paraId="63FB69D6" w14:textId="77777777" w:rsidR="00E87C90" w:rsidRPr="00E87C90" w:rsidRDefault="00E87C90" w:rsidP="00E87C90">
      <w:pPr>
        <w:jc w:val="center"/>
        <w:rPr>
          <w:sz w:val="24"/>
          <w:szCs w:val="24"/>
        </w:rPr>
      </w:pPr>
      <w:r w:rsidRPr="00E87C90">
        <w:rPr>
          <w:sz w:val="24"/>
          <w:szCs w:val="24"/>
          <w:vertAlign w:val="superscript"/>
        </w:rPr>
        <w:t>5</w:t>
      </w:r>
      <w:r w:rsidRPr="00E87C90">
        <w:rPr>
          <w:sz w:val="24"/>
          <w:szCs w:val="24"/>
        </w:rPr>
        <w:t>Engineering Research Center in Biomaterials, Sichuan University, Chengdu, Sichuan, 610064, P. R. China.</w:t>
      </w:r>
    </w:p>
    <w:p w14:paraId="3F1834EC" w14:textId="77777777" w:rsidR="00E87C90" w:rsidRPr="00E87C90" w:rsidRDefault="00E87C90" w:rsidP="00E87C90">
      <w:pPr>
        <w:jc w:val="center"/>
        <w:rPr>
          <w:sz w:val="24"/>
          <w:szCs w:val="24"/>
        </w:rPr>
      </w:pPr>
    </w:p>
    <w:p w14:paraId="57892FD5" w14:textId="77777777" w:rsidR="00E87C90" w:rsidRPr="00E87C90" w:rsidRDefault="00E87C90" w:rsidP="00E87C90">
      <w:pPr>
        <w:rPr>
          <w:sz w:val="24"/>
          <w:szCs w:val="24"/>
        </w:rPr>
      </w:pPr>
      <w:r w:rsidRPr="00E87C90">
        <w:rPr>
          <w:sz w:val="24"/>
          <w:szCs w:val="24"/>
        </w:rPr>
        <w:t xml:space="preserve">Corresponding author: </w:t>
      </w:r>
      <w:r w:rsidRPr="00E87C90">
        <w:rPr>
          <w:rFonts w:hint="eastAsia"/>
          <w:sz w:val="24"/>
          <w:szCs w:val="24"/>
        </w:rPr>
        <w:t>Cai</w:t>
      </w:r>
      <w:r w:rsidRPr="00E87C90">
        <w:rPr>
          <w:sz w:val="24"/>
          <w:szCs w:val="24"/>
        </w:rPr>
        <w:t xml:space="preserve"> Liang </w:t>
      </w:r>
    </w:p>
    <w:p w14:paraId="44FCE8DA" w14:textId="77777777" w:rsidR="00E87C90" w:rsidRPr="00E87C90" w:rsidRDefault="00E87C90" w:rsidP="00E87C90">
      <w:pPr>
        <w:rPr>
          <w:sz w:val="24"/>
          <w:szCs w:val="24"/>
        </w:rPr>
      </w:pPr>
      <w:r w:rsidRPr="00E87C90">
        <w:rPr>
          <w:sz w:val="24"/>
          <w:szCs w:val="24"/>
        </w:rPr>
        <w:t>E-mail: cllc131420@sina.com</w:t>
      </w:r>
    </w:p>
    <w:p w14:paraId="357DD14E" w14:textId="77777777" w:rsidR="00E87C90" w:rsidRPr="00E87C90" w:rsidRDefault="00E87C90" w:rsidP="00E87C90">
      <w:pPr>
        <w:rPr>
          <w:sz w:val="24"/>
          <w:szCs w:val="24"/>
        </w:rPr>
      </w:pPr>
      <w:r w:rsidRPr="00E87C90">
        <w:rPr>
          <w:sz w:val="24"/>
          <w:szCs w:val="24"/>
        </w:rPr>
        <w:t>Tel: +86 18982702720</w:t>
      </w:r>
    </w:p>
    <w:p w14:paraId="36D37C92" w14:textId="77777777" w:rsidR="00E87C90" w:rsidRPr="00E87C90" w:rsidRDefault="00E87C90" w:rsidP="00E87C90">
      <w:pPr>
        <w:rPr>
          <w:sz w:val="24"/>
          <w:szCs w:val="24"/>
        </w:rPr>
      </w:pPr>
      <w:r w:rsidRPr="00E87C90">
        <w:rPr>
          <w:sz w:val="24"/>
          <w:szCs w:val="24"/>
        </w:rPr>
        <w:t>Fax numbers: +86 08306302050</w:t>
      </w:r>
    </w:p>
    <w:p w14:paraId="6A5EC1B5" w14:textId="77777777" w:rsidR="00E87C90" w:rsidRPr="00E87C90" w:rsidRDefault="00E87C90" w:rsidP="00E87C90">
      <w:pPr>
        <w:rPr>
          <w:sz w:val="24"/>
          <w:szCs w:val="24"/>
        </w:rPr>
      </w:pPr>
      <w:r w:rsidRPr="00E87C90">
        <w:rPr>
          <w:sz w:val="24"/>
          <w:szCs w:val="24"/>
        </w:rPr>
        <w:t xml:space="preserve">Mail address: </w:t>
      </w:r>
      <w:r w:rsidRPr="00E87C90">
        <w:rPr>
          <w:rFonts w:hint="eastAsia"/>
          <w:sz w:val="24"/>
          <w:szCs w:val="24"/>
        </w:rPr>
        <w:t>Department</w:t>
      </w:r>
      <w:r w:rsidRPr="00E87C90">
        <w:rPr>
          <w:sz w:val="24"/>
          <w:szCs w:val="24"/>
        </w:rPr>
        <w:t xml:space="preserve"> </w:t>
      </w:r>
      <w:r w:rsidRPr="00E87C90">
        <w:rPr>
          <w:rFonts w:hint="eastAsia"/>
          <w:sz w:val="24"/>
          <w:szCs w:val="24"/>
        </w:rPr>
        <w:t>of</w:t>
      </w:r>
      <w:r w:rsidRPr="00E87C90">
        <w:rPr>
          <w:sz w:val="24"/>
          <w:szCs w:val="24"/>
        </w:rPr>
        <w:t xml:space="preserve"> N</w:t>
      </w:r>
      <w:hyperlink r:id="rId9" w:history="1">
        <w:r w:rsidRPr="00E87C90">
          <w:rPr>
            <w:sz w:val="24"/>
            <w:szCs w:val="24"/>
          </w:rPr>
          <w:t>uclear</w:t>
        </w:r>
      </w:hyperlink>
      <w:r w:rsidRPr="00E87C90">
        <w:rPr>
          <w:sz w:val="24"/>
          <w:szCs w:val="24"/>
        </w:rPr>
        <w:t xml:space="preserve"> </w:t>
      </w:r>
      <w:hyperlink r:id="rId10" w:history="1">
        <w:r w:rsidRPr="00E87C90">
          <w:rPr>
            <w:sz w:val="24"/>
            <w:szCs w:val="24"/>
          </w:rPr>
          <w:t>medicine</w:t>
        </w:r>
      </w:hyperlink>
      <w:r w:rsidRPr="00E87C90">
        <w:rPr>
          <w:sz w:val="24"/>
          <w:szCs w:val="24"/>
        </w:rPr>
        <w:t>, The Affiliated Hospital of Southwest Medical University, 3-319 Zhongshan Road, Luzhou, Sichuan 646000, People’s Republic of China.</w:t>
      </w:r>
    </w:p>
    <w:p w14:paraId="503A2055" w14:textId="77777777" w:rsidR="00E87C90" w:rsidRPr="00E87C90" w:rsidRDefault="00E87C90" w:rsidP="00E87C90">
      <w:pPr>
        <w:rPr>
          <w:sz w:val="24"/>
          <w:szCs w:val="24"/>
        </w:rPr>
      </w:pPr>
      <w:r w:rsidRPr="00E87C90">
        <w:rPr>
          <w:sz w:val="24"/>
          <w:szCs w:val="24"/>
        </w:rPr>
        <w:t xml:space="preserve"> </w:t>
      </w:r>
    </w:p>
    <w:p w14:paraId="60F74614" w14:textId="77777777" w:rsidR="00E87C90" w:rsidRPr="00E87C90" w:rsidRDefault="00E87C90" w:rsidP="00E87C90">
      <w:pPr>
        <w:rPr>
          <w:sz w:val="24"/>
          <w:szCs w:val="24"/>
        </w:rPr>
      </w:pPr>
      <w:r w:rsidRPr="00E87C90">
        <w:rPr>
          <w:sz w:val="24"/>
          <w:szCs w:val="24"/>
        </w:rPr>
        <w:t xml:space="preserve">Corresponding author: Li Chunhong </w:t>
      </w:r>
    </w:p>
    <w:p w14:paraId="09484802" w14:textId="77777777" w:rsidR="00E87C90" w:rsidRPr="00E87C90" w:rsidRDefault="00E87C90" w:rsidP="00E87C90">
      <w:pPr>
        <w:rPr>
          <w:sz w:val="24"/>
          <w:szCs w:val="24"/>
        </w:rPr>
      </w:pPr>
      <w:r w:rsidRPr="00E87C90">
        <w:rPr>
          <w:sz w:val="24"/>
          <w:szCs w:val="24"/>
        </w:rPr>
        <w:t xml:space="preserve">E-mail: </w:t>
      </w:r>
      <w:hyperlink r:id="rId11" w:history="1">
        <w:r w:rsidRPr="00E87C90">
          <w:rPr>
            <w:color w:val="0000FF"/>
            <w:sz w:val="24"/>
            <w:szCs w:val="24"/>
            <w:u w:val="single"/>
          </w:rPr>
          <w:t>lispringhong@126.com</w:t>
        </w:r>
      </w:hyperlink>
    </w:p>
    <w:p w14:paraId="34FF26EE" w14:textId="77777777" w:rsidR="00E87C90" w:rsidRPr="00E87C90" w:rsidRDefault="00E87C90" w:rsidP="00E87C90">
      <w:pPr>
        <w:rPr>
          <w:sz w:val="24"/>
          <w:szCs w:val="24"/>
        </w:rPr>
      </w:pPr>
      <w:r w:rsidRPr="00E87C90">
        <w:rPr>
          <w:sz w:val="24"/>
          <w:szCs w:val="24"/>
        </w:rPr>
        <w:t>Tel: +86 13679696586</w:t>
      </w:r>
    </w:p>
    <w:p w14:paraId="3B8546C3" w14:textId="77777777" w:rsidR="00E87C90" w:rsidRPr="00E87C90" w:rsidRDefault="00E87C90" w:rsidP="00E87C90">
      <w:pPr>
        <w:rPr>
          <w:sz w:val="24"/>
          <w:szCs w:val="24"/>
        </w:rPr>
      </w:pPr>
      <w:r w:rsidRPr="00E87C90">
        <w:rPr>
          <w:sz w:val="24"/>
          <w:szCs w:val="24"/>
        </w:rPr>
        <w:t>Fax numbers: +86 08306302050</w:t>
      </w:r>
    </w:p>
    <w:p w14:paraId="02F87991" w14:textId="77777777" w:rsidR="00E87C90" w:rsidRPr="00E87C90" w:rsidRDefault="00E87C90" w:rsidP="00E87C90">
      <w:pPr>
        <w:rPr>
          <w:sz w:val="24"/>
          <w:szCs w:val="24"/>
        </w:rPr>
      </w:pPr>
      <w:r w:rsidRPr="00E87C90">
        <w:rPr>
          <w:sz w:val="24"/>
          <w:szCs w:val="24"/>
        </w:rPr>
        <w:t>Mail address: Department of Pharmaceutical Sciences, School of Pharmacy, Southwest Medical University, 3-319 Zhongshan Road, Luzhou, Sichuan 646000, People’s Republic of China.</w:t>
      </w:r>
    </w:p>
    <w:p w14:paraId="115C512C" w14:textId="77777777" w:rsidR="00E87C90" w:rsidRPr="00E87C90" w:rsidRDefault="00E87C90" w:rsidP="00E87C90">
      <w:pPr>
        <w:rPr>
          <w:sz w:val="24"/>
          <w:szCs w:val="24"/>
        </w:rPr>
      </w:pPr>
    </w:p>
    <w:p w14:paraId="1DA2BFE2" w14:textId="77777777" w:rsidR="00E87C90" w:rsidRPr="00E87C90" w:rsidRDefault="00E87C90" w:rsidP="00E87C90">
      <w:pPr>
        <w:autoSpaceDE w:val="0"/>
        <w:autoSpaceDN w:val="0"/>
        <w:adjustRightInd w:val="0"/>
        <w:rPr>
          <w:rFonts w:eastAsia="MinionPro-Regular"/>
          <w:b/>
          <w:sz w:val="24"/>
          <w:szCs w:val="24"/>
        </w:rPr>
      </w:pPr>
      <w:bookmarkStart w:id="1" w:name="OLE_LINK36"/>
      <w:bookmarkStart w:id="2" w:name="OLE_LINK37"/>
      <w:r w:rsidRPr="00E87C90">
        <w:rPr>
          <w:sz w:val="24"/>
          <w:szCs w:val="24"/>
        </w:rPr>
        <w:t>Yan Feili, Zhong Zhirong and Wang Yao contributed equally to this work.</w:t>
      </w:r>
    </w:p>
    <w:bookmarkEnd w:id="1"/>
    <w:bookmarkEnd w:id="2"/>
    <w:p w14:paraId="0F947DF3" w14:textId="77777777" w:rsidR="00253D04" w:rsidRPr="00E87C90" w:rsidRDefault="00253D04" w:rsidP="00A35247">
      <w:pPr>
        <w:autoSpaceDE w:val="0"/>
        <w:autoSpaceDN w:val="0"/>
        <w:adjustRightInd w:val="0"/>
        <w:spacing w:line="360" w:lineRule="auto"/>
        <w:rPr>
          <w:rFonts w:eastAsia="MinionPro-Regular"/>
          <w:b/>
          <w:sz w:val="32"/>
          <w:szCs w:val="32"/>
        </w:rPr>
      </w:pPr>
    </w:p>
    <w:p w14:paraId="4EB08C26" w14:textId="77777777" w:rsidR="00253D04" w:rsidRDefault="00253D04" w:rsidP="00A35247">
      <w:pPr>
        <w:autoSpaceDE w:val="0"/>
        <w:autoSpaceDN w:val="0"/>
        <w:adjustRightInd w:val="0"/>
        <w:spacing w:line="360" w:lineRule="auto"/>
        <w:rPr>
          <w:rFonts w:eastAsia="MinionPro-Regular"/>
          <w:b/>
          <w:sz w:val="32"/>
          <w:szCs w:val="32"/>
        </w:rPr>
      </w:pPr>
    </w:p>
    <w:p w14:paraId="65FD6279" w14:textId="77777777" w:rsidR="00253D04" w:rsidRDefault="00253D04" w:rsidP="00A35247">
      <w:pPr>
        <w:autoSpaceDE w:val="0"/>
        <w:autoSpaceDN w:val="0"/>
        <w:adjustRightInd w:val="0"/>
        <w:spacing w:line="360" w:lineRule="auto"/>
        <w:rPr>
          <w:rFonts w:eastAsia="MinionPro-Regular"/>
          <w:b/>
          <w:sz w:val="32"/>
          <w:szCs w:val="32"/>
        </w:rPr>
      </w:pPr>
    </w:p>
    <w:p w14:paraId="44B79F89" w14:textId="77777777" w:rsidR="00253D04" w:rsidRDefault="00253D04" w:rsidP="00A35247">
      <w:pPr>
        <w:autoSpaceDE w:val="0"/>
        <w:autoSpaceDN w:val="0"/>
        <w:adjustRightInd w:val="0"/>
        <w:spacing w:line="360" w:lineRule="auto"/>
        <w:rPr>
          <w:rFonts w:eastAsia="MinionPro-Regular"/>
          <w:b/>
          <w:sz w:val="32"/>
          <w:szCs w:val="32"/>
        </w:rPr>
      </w:pPr>
    </w:p>
    <w:p w14:paraId="2B22D53E" w14:textId="77777777" w:rsidR="00D42210" w:rsidRDefault="00D42210" w:rsidP="00253D04">
      <w:pPr>
        <w:spacing w:line="480" w:lineRule="auto"/>
        <w:outlineLvl w:val="0"/>
        <w:rPr>
          <w:b/>
          <w:color w:val="000000"/>
          <w:sz w:val="24"/>
          <w:szCs w:val="24"/>
        </w:rPr>
      </w:pPr>
      <w:r>
        <w:rPr>
          <w:rFonts w:hint="eastAsia"/>
          <w:b/>
          <w:color w:val="000000"/>
          <w:sz w:val="24"/>
          <w:szCs w:val="24"/>
        </w:rPr>
        <w:lastRenderedPageBreak/>
        <w:t>SUPPLEMENTARY SCHEMES AND FIGURES</w:t>
      </w:r>
    </w:p>
    <w:p w14:paraId="0C4E99F2" w14:textId="77777777" w:rsidR="00253D04" w:rsidRDefault="00253D04" w:rsidP="00B60D1C">
      <w:pPr>
        <w:spacing w:line="480" w:lineRule="auto"/>
        <w:rPr>
          <w:b/>
          <w:color w:val="000000"/>
          <w:sz w:val="24"/>
          <w:szCs w:val="24"/>
        </w:rPr>
      </w:pPr>
    </w:p>
    <w:p w14:paraId="725B8702" w14:textId="2569E34E" w:rsidR="00C25C50" w:rsidRDefault="00253D04" w:rsidP="00253D04">
      <w:pPr>
        <w:spacing w:line="480" w:lineRule="auto"/>
        <w:rPr>
          <w:b/>
          <w:color w:val="000000"/>
          <w:sz w:val="24"/>
          <w:szCs w:val="24"/>
        </w:rPr>
      </w:pPr>
      <w:r>
        <w:rPr>
          <w:b/>
          <w:bCs/>
          <w:color w:val="000000"/>
          <w:sz w:val="24"/>
          <w:szCs w:val="24"/>
        </w:rPr>
        <w:t>Fig. S</w:t>
      </w:r>
      <w:r>
        <w:rPr>
          <w:rFonts w:hint="eastAsia"/>
          <w:b/>
          <w:bCs/>
          <w:color w:val="000000"/>
          <w:sz w:val="24"/>
          <w:szCs w:val="24"/>
        </w:rPr>
        <w:t>1</w:t>
      </w:r>
    </w:p>
    <w:p w14:paraId="3C574F9D" w14:textId="044ACDAD" w:rsidR="00D42210" w:rsidRDefault="00253D04" w:rsidP="00253D04">
      <w:pPr>
        <w:pStyle w:val="Title2"/>
        <w:rPr>
          <w:b w:val="0"/>
          <w:color w:val="000000"/>
          <w:sz w:val="32"/>
          <w:szCs w:val="32"/>
        </w:rPr>
      </w:pPr>
      <w:r w:rsidRPr="00857198">
        <w:rPr>
          <w:noProof/>
          <w:lang w:val="en-IN" w:eastAsia="en-IN"/>
        </w:rPr>
        <w:drawing>
          <wp:inline distT="0" distB="0" distL="0" distR="0" wp14:anchorId="44C12071" wp14:editId="513201A7">
            <wp:extent cx="5400000" cy="3297600"/>
            <wp:effectExtent l="0" t="0" r="0" b="0"/>
            <wp:docPr id="3" name="图片 3" descr="F:\二投\FPC核磁-1-6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二投\FPC核磁-1-600.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00" cy="3297600"/>
                    </a:xfrm>
                    <a:prstGeom prst="rect">
                      <a:avLst/>
                    </a:prstGeom>
                    <a:noFill/>
                    <a:ln>
                      <a:noFill/>
                    </a:ln>
                  </pic:spPr>
                </pic:pic>
              </a:graphicData>
            </a:graphic>
          </wp:inline>
        </w:drawing>
      </w:r>
    </w:p>
    <w:p w14:paraId="355C34BB" w14:textId="77777777" w:rsidR="00253D04" w:rsidRPr="00EE691B" w:rsidRDefault="00253D04" w:rsidP="00253D04">
      <w:pPr>
        <w:pStyle w:val="Title2"/>
        <w:rPr>
          <w:b w:val="0"/>
          <w:color w:val="000000"/>
          <w:sz w:val="32"/>
          <w:szCs w:val="32"/>
        </w:rPr>
      </w:pPr>
    </w:p>
    <w:p w14:paraId="225D62E1" w14:textId="6E8A4346" w:rsidR="00C65124" w:rsidRPr="0083682C" w:rsidRDefault="00253D04" w:rsidP="00253D04">
      <w:pPr>
        <w:spacing w:line="360" w:lineRule="auto"/>
        <w:jc w:val="left"/>
        <w:rPr>
          <w:color w:val="000000"/>
          <w:sz w:val="24"/>
          <w:szCs w:val="24"/>
        </w:rPr>
      </w:pPr>
      <w:r>
        <w:rPr>
          <w:b/>
          <w:bCs/>
          <w:color w:val="000000"/>
          <w:sz w:val="24"/>
          <w:szCs w:val="24"/>
        </w:rPr>
        <w:t>Fig</w:t>
      </w:r>
      <w:r>
        <w:rPr>
          <w:rFonts w:hint="eastAsia"/>
          <w:b/>
          <w:bCs/>
          <w:color w:val="000000"/>
          <w:sz w:val="24"/>
          <w:szCs w:val="24"/>
        </w:rPr>
        <w:t>.</w:t>
      </w:r>
      <w:r>
        <w:rPr>
          <w:b/>
          <w:bCs/>
          <w:color w:val="000000"/>
          <w:sz w:val="24"/>
          <w:szCs w:val="24"/>
        </w:rPr>
        <w:t xml:space="preserve"> S</w:t>
      </w:r>
      <w:r>
        <w:rPr>
          <w:rFonts w:hint="eastAsia"/>
          <w:b/>
          <w:bCs/>
          <w:color w:val="000000"/>
          <w:sz w:val="24"/>
          <w:szCs w:val="24"/>
        </w:rPr>
        <w:t>2</w:t>
      </w:r>
    </w:p>
    <w:p w14:paraId="73A71CE3" w14:textId="7E2E006A" w:rsidR="00D42210" w:rsidRDefault="00253D04" w:rsidP="00EE691B">
      <w:pPr>
        <w:spacing w:line="432" w:lineRule="auto"/>
        <w:jc w:val="left"/>
        <w:rPr>
          <w:b/>
          <w:bCs/>
          <w:color w:val="000000"/>
          <w:szCs w:val="21"/>
        </w:rPr>
      </w:pPr>
      <w:r w:rsidRPr="00857198">
        <w:rPr>
          <w:noProof/>
          <w:lang w:val="en-IN" w:eastAsia="en-IN"/>
        </w:rPr>
        <w:drawing>
          <wp:inline distT="0" distB="0" distL="0" distR="0" wp14:anchorId="45D2DB5E" wp14:editId="56A1425B">
            <wp:extent cx="5400000" cy="3193200"/>
            <wp:effectExtent l="0" t="0" r="0" b="7620"/>
            <wp:docPr id="1" name="图片 1" descr="F:\二投\FNHS核磁-1-6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二投\FNHS核磁-1-600.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00" cy="3193200"/>
                    </a:xfrm>
                    <a:prstGeom prst="rect">
                      <a:avLst/>
                    </a:prstGeom>
                    <a:noFill/>
                    <a:ln>
                      <a:noFill/>
                    </a:ln>
                  </pic:spPr>
                </pic:pic>
              </a:graphicData>
            </a:graphic>
          </wp:inline>
        </w:drawing>
      </w:r>
    </w:p>
    <w:p w14:paraId="07110D92" w14:textId="77777777" w:rsidR="00D42210" w:rsidRDefault="00D42210" w:rsidP="00253D04">
      <w:pPr>
        <w:spacing w:line="480" w:lineRule="auto"/>
        <w:outlineLvl w:val="0"/>
        <w:rPr>
          <w:b/>
          <w:sz w:val="24"/>
          <w:szCs w:val="24"/>
        </w:rPr>
      </w:pPr>
      <w:r>
        <w:rPr>
          <w:b/>
          <w:sz w:val="24"/>
          <w:szCs w:val="24"/>
        </w:rPr>
        <w:lastRenderedPageBreak/>
        <w:t>SUPPLEMENTARY</w:t>
      </w:r>
      <w:r>
        <w:rPr>
          <w:rFonts w:hint="eastAsia"/>
          <w:b/>
          <w:sz w:val="24"/>
          <w:szCs w:val="24"/>
        </w:rPr>
        <w:t xml:space="preserve"> </w:t>
      </w:r>
      <w:r>
        <w:rPr>
          <w:b/>
          <w:sz w:val="24"/>
          <w:szCs w:val="24"/>
        </w:rPr>
        <w:t>METHOD</w:t>
      </w:r>
    </w:p>
    <w:p w14:paraId="6C4BCDA7" w14:textId="77777777" w:rsidR="00C65124" w:rsidRDefault="00C65124" w:rsidP="00253D04">
      <w:pPr>
        <w:spacing w:line="480" w:lineRule="auto"/>
        <w:outlineLvl w:val="1"/>
        <w:rPr>
          <w:b/>
          <w:sz w:val="24"/>
          <w:szCs w:val="24"/>
        </w:rPr>
      </w:pPr>
      <w:r w:rsidRPr="00DF2A04">
        <w:rPr>
          <w:rFonts w:hint="eastAsia"/>
          <w:b/>
          <w:sz w:val="24"/>
          <w:szCs w:val="24"/>
        </w:rPr>
        <w:t>Materials</w:t>
      </w:r>
    </w:p>
    <w:p w14:paraId="0A8664CE" w14:textId="77777777" w:rsidR="00C65124" w:rsidRDefault="00C65124" w:rsidP="00253D04">
      <w:pPr>
        <w:spacing w:line="480" w:lineRule="auto"/>
        <w:ind w:firstLineChars="200" w:firstLine="480"/>
        <w:rPr>
          <w:sz w:val="24"/>
          <w:szCs w:val="24"/>
        </w:rPr>
      </w:pPr>
      <w:r w:rsidRPr="00DF2A04">
        <w:rPr>
          <w:sz w:val="24"/>
          <w:szCs w:val="24"/>
        </w:rPr>
        <w:t>Folic acid (FA) was supplied by the Solarbio science &amp; Technology Co., Ltd (Beijing, Chin</w:t>
      </w:r>
      <w:r>
        <w:rPr>
          <w:sz w:val="24"/>
          <w:szCs w:val="24"/>
        </w:rPr>
        <w:t xml:space="preserve">a). N-hydroxysuccinimide (NHS) </w:t>
      </w:r>
      <w:r w:rsidRPr="00DF2A04">
        <w:rPr>
          <w:sz w:val="24"/>
          <w:szCs w:val="24"/>
        </w:rPr>
        <w:t xml:space="preserve">and dicyclohexylcarbodiimide (DCC) were purchased from Chengdu Runze Local Chemical Co., Ltd (Chengdu, China). Chol-PEG-NH2 (MWCO 2000 Da) was obtained from Melo Technology (Shenzheng China). Others chemical reagents and solvents were of analytic grade. </w:t>
      </w:r>
    </w:p>
    <w:p w14:paraId="60D5DF57" w14:textId="77777777" w:rsidR="00C25C50" w:rsidRPr="00DF2A04" w:rsidRDefault="00C25C50" w:rsidP="00253D04">
      <w:pPr>
        <w:spacing w:line="480" w:lineRule="auto"/>
        <w:ind w:firstLineChars="200" w:firstLine="480"/>
        <w:rPr>
          <w:sz w:val="24"/>
          <w:szCs w:val="24"/>
        </w:rPr>
      </w:pPr>
    </w:p>
    <w:p w14:paraId="07E608C4" w14:textId="77777777" w:rsidR="00C65124" w:rsidRDefault="00C65124" w:rsidP="00253D04">
      <w:pPr>
        <w:spacing w:line="480" w:lineRule="auto"/>
        <w:outlineLvl w:val="1"/>
        <w:rPr>
          <w:b/>
          <w:sz w:val="24"/>
          <w:szCs w:val="24"/>
        </w:rPr>
      </w:pPr>
      <w:r w:rsidRPr="00DF2A04">
        <w:rPr>
          <w:b/>
          <w:sz w:val="24"/>
          <w:szCs w:val="24"/>
        </w:rPr>
        <w:t>Synthesis of FA-NHS Ester</w:t>
      </w:r>
    </w:p>
    <w:p w14:paraId="3780184E" w14:textId="19CCCA61" w:rsidR="00C65124" w:rsidRDefault="00C65124" w:rsidP="00253D04">
      <w:pPr>
        <w:spacing w:line="480" w:lineRule="auto"/>
        <w:ind w:firstLineChars="200" w:firstLine="480"/>
        <w:rPr>
          <w:sz w:val="24"/>
          <w:szCs w:val="24"/>
          <w:shd w:val="clear" w:color="auto" w:fill="FFFFFF"/>
        </w:rPr>
      </w:pPr>
      <w:r w:rsidRPr="00DF2A04">
        <w:rPr>
          <w:sz w:val="24"/>
          <w:szCs w:val="24"/>
        </w:rPr>
        <w:t>N-hydroxysucci-mide (NHS) and dicyclohexylcarbodiimide (DCC) were used to activ</w:t>
      </w:r>
      <w:r w:rsidR="00C25C50">
        <w:rPr>
          <w:sz w:val="24"/>
          <w:szCs w:val="24"/>
        </w:rPr>
        <w:t>ate the carboxylate group of FA</w:t>
      </w:r>
      <w:r w:rsidR="00FC52E9" w:rsidRPr="00FC52E9">
        <w:rPr>
          <w:noProof/>
          <w:sz w:val="24"/>
          <w:szCs w:val="24"/>
        </w:rPr>
        <w:t xml:space="preserve"> [1]</w:t>
      </w:r>
      <w:r w:rsidRPr="00DF2A04">
        <w:rPr>
          <w:sz w:val="24"/>
          <w:szCs w:val="24"/>
        </w:rPr>
        <w:t xml:space="preserve">. Briefly, 1 g of FA was dissolved in 50 mL dimethyl sulfoxide (DMSO). Then, 1.2 ratio molar excess of NHS and DCC were added to the solution, which was stirred for 24 h at room temperature under shielding from light. Next, the by-product was removed by filtration and supernatant was freeze-dried. Finally, </w:t>
      </w:r>
      <w:r w:rsidRPr="00DF2A04">
        <w:rPr>
          <w:sz w:val="24"/>
          <w:szCs w:val="24"/>
          <w:vertAlign w:val="superscript"/>
        </w:rPr>
        <w:t>1</w:t>
      </w:r>
      <w:r w:rsidRPr="00DF2A04">
        <w:rPr>
          <w:sz w:val="24"/>
          <w:szCs w:val="24"/>
        </w:rPr>
        <w:t xml:space="preserve">H-NMR of FA-NHS ester was analyzed by </w:t>
      </w:r>
      <w:r w:rsidRPr="00DF2A04">
        <w:rPr>
          <w:sz w:val="24"/>
          <w:szCs w:val="24"/>
          <w:shd w:val="clear" w:color="auto" w:fill="FFFFFF"/>
        </w:rPr>
        <w:t xml:space="preserve">Nuclear Magnetic Resonance Spectra (400 MHz, DMSO-d6). </w:t>
      </w:r>
    </w:p>
    <w:p w14:paraId="01D2BE78" w14:textId="0CE1C435" w:rsidR="00253D04" w:rsidRPr="00DF2A04" w:rsidRDefault="00253D04" w:rsidP="00C25C50">
      <w:pPr>
        <w:spacing w:line="400" w:lineRule="exact"/>
        <w:ind w:firstLineChars="200" w:firstLine="422"/>
        <w:rPr>
          <w:sz w:val="24"/>
          <w:szCs w:val="24"/>
          <w:shd w:val="clear" w:color="auto" w:fill="FFFFFF"/>
        </w:rPr>
      </w:pPr>
      <w:r w:rsidRPr="00213E52">
        <w:rPr>
          <w:b/>
        </w:rPr>
        <w:t xml:space="preserve">Figure </w:t>
      </w:r>
      <w:r>
        <w:rPr>
          <w:rFonts w:hint="eastAsia"/>
          <w:b/>
        </w:rPr>
        <w:t>S3</w:t>
      </w:r>
    </w:p>
    <w:p w14:paraId="25BE9EC5" w14:textId="19BA9DA0" w:rsidR="00D42210" w:rsidRDefault="00253D04" w:rsidP="00C141BD">
      <w:pPr>
        <w:spacing w:line="360" w:lineRule="auto"/>
        <w:jc w:val="center"/>
        <w:rPr>
          <w:sz w:val="24"/>
          <w:szCs w:val="24"/>
        </w:rPr>
      </w:pPr>
      <w:r w:rsidRPr="00857198">
        <w:rPr>
          <w:noProof/>
          <w:lang w:val="en-IN" w:eastAsia="en-IN"/>
        </w:rPr>
        <w:lastRenderedPageBreak/>
        <w:drawing>
          <wp:inline distT="0" distB="0" distL="0" distR="0" wp14:anchorId="273DB6C1" wp14:editId="0598C35D">
            <wp:extent cx="2880000" cy="2458800"/>
            <wp:effectExtent l="0" t="0" r="0" b="0"/>
            <wp:docPr id="4" name="图片 4" descr="F:\二投\NHS-6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二投\NHS-600.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0000" cy="2458800"/>
                    </a:xfrm>
                    <a:prstGeom prst="rect">
                      <a:avLst/>
                    </a:prstGeom>
                    <a:noFill/>
                    <a:ln>
                      <a:noFill/>
                    </a:ln>
                  </pic:spPr>
                </pic:pic>
              </a:graphicData>
            </a:graphic>
          </wp:inline>
        </w:drawing>
      </w:r>
    </w:p>
    <w:p w14:paraId="36F4A18A" w14:textId="77777777" w:rsidR="00D42210" w:rsidRDefault="00D42210" w:rsidP="00253D04">
      <w:pPr>
        <w:spacing w:line="480" w:lineRule="auto"/>
        <w:outlineLvl w:val="1"/>
        <w:rPr>
          <w:b/>
          <w:sz w:val="24"/>
          <w:szCs w:val="24"/>
        </w:rPr>
      </w:pPr>
      <w:r w:rsidRPr="00B8310C">
        <w:rPr>
          <w:b/>
          <w:sz w:val="24"/>
          <w:szCs w:val="24"/>
        </w:rPr>
        <w:t>Preparation of FA-PEG-Chol Conjugate</w:t>
      </w:r>
    </w:p>
    <w:p w14:paraId="4FD5678B" w14:textId="1BCBBC3E" w:rsidR="00C65124" w:rsidRDefault="00C65124" w:rsidP="00253D04">
      <w:pPr>
        <w:spacing w:line="480" w:lineRule="auto"/>
        <w:ind w:firstLineChars="200" w:firstLine="480"/>
        <w:rPr>
          <w:sz w:val="24"/>
          <w:szCs w:val="24"/>
        </w:rPr>
      </w:pPr>
      <w:r w:rsidRPr="00DF2A04">
        <w:rPr>
          <w:sz w:val="24"/>
          <w:szCs w:val="24"/>
        </w:rPr>
        <w:t>Furthermore, FA-NHS ester was reacted with PEG-Chol-NH</w:t>
      </w:r>
      <w:r w:rsidRPr="00DF2A04">
        <w:rPr>
          <w:sz w:val="24"/>
          <w:szCs w:val="24"/>
          <w:vertAlign w:val="subscript"/>
        </w:rPr>
        <w:t>2</w:t>
      </w:r>
      <w:r w:rsidRPr="00DF2A04">
        <w:rPr>
          <w:sz w:val="24"/>
          <w:szCs w:val="24"/>
        </w:rPr>
        <w:t xml:space="preserve"> to form FA-PEG-Cho</w:t>
      </w:r>
      <w:r>
        <w:rPr>
          <w:sz w:val="24"/>
          <w:szCs w:val="24"/>
        </w:rPr>
        <w:t>l as following method.</w:t>
      </w:r>
      <w:r w:rsidRPr="00DF2A04">
        <w:rPr>
          <w:sz w:val="24"/>
          <w:szCs w:val="24"/>
        </w:rPr>
        <w:t xml:space="preserve"> FA</w:t>
      </w:r>
      <w:r>
        <w:rPr>
          <w:rFonts w:hint="eastAsia"/>
          <w:sz w:val="24"/>
          <w:szCs w:val="24"/>
        </w:rPr>
        <w:t>-NHS,</w:t>
      </w:r>
      <w:r w:rsidRPr="00DF2A04">
        <w:rPr>
          <w:sz w:val="24"/>
          <w:szCs w:val="24"/>
        </w:rPr>
        <w:t xml:space="preserve"> </w:t>
      </w:r>
      <w:r w:rsidRPr="00857198">
        <w:rPr>
          <w:rFonts w:hint="eastAsia"/>
          <w:sz w:val="24"/>
          <w:szCs w:val="24"/>
        </w:rPr>
        <w:t>161.5 mg</w:t>
      </w:r>
      <w:r>
        <w:rPr>
          <w:rFonts w:hint="eastAsia"/>
          <w:sz w:val="24"/>
          <w:szCs w:val="24"/>
        </w:rPr>
        <w:t xml:space="preserve"> (0.3 mm</w:t>
      </w:r>
      <w:r w:rsidRPr="00DF2A04">
        <w:rPr>
          <w:sz w:val="24"/>
          <w:szCs w:val="24"/>
        </w:rPr>
        <w:t xml:space="preserve">), mixed with </w:t>
      </w:r>
      <w:r w:rsidRPr="00857198">
        <w:rPr>
          <w:sz w:val="24"/>
          <w:szCs w:val="24"/>
        </w:rPr>
        <w:t>503 mg</w:t>
      </w:r>
      <w:r>
        <w:rPr>
          <w:rFonts w:hint="eastAsia"/>
          <w:sz w:val="24"/>
          <w:szCs w:val="24"/>
        </w:rPr>
        <w:t xml:space="preserve"> (</w:t>
      </w:r>
      <w:r w:rsidRPr="00857198">
        <w:rPr>
          <w:sz w:val="24"/>
          <w:szCs w:val="24"/>
        </w:rPr>
        <w:t>0.2 mm</w:t>
      </w:r>
      <w:r w:rsidRPr="00857198">
        <w:rPr>
          <w:sz w:val="24"/>
          <w:szCs w:val="24"/>
        </w:rPr>
        <w:t>）</w:t>
      </w:r>
      <w:r w:rsidRPr="00DF2A04">
        <w:rPr>
          <w:sz w:val="24"/>
          <w:szCs w:val="24"/>
        </w:rPr>
        <w:t>of</w:t>
      </w:r>
      <w:r w:rsidRPr="00857198">
        <w:rPr>
          <w:sz w:val="24"/>
          <w:szCs w:val="24"/>
        </w:rPr>
        <w:t xml:space="preserve"> </w:t>
      </w:r>
      <w:r w:rsidRPr="00DF2A04">
        <w:rPr>
          <w:sz w:val="24"/>
          <w:szCs w:val="24"/>
        </w:rPr>
        <w:t>Chol-PEG-NH</w:t>
      </w:r>
      <w:r w:rsidRPr="00DF2A04">
        <w:rPr>
          <w:sz w:val="24"/>
          <w:szCs w:val="24"/>
          <w:vertAlign w:val="subscript"/>
        </w:rPr>
        <w:t>2</w:t>
      </w:r>
      <w:r>
        <w:rPr>
          <w:rFonts w:hint="eastAsia"/>
          <w:sz w:val="24"/>
          <w:szCs w:val="24"/>
        </w:rPr>
        <w:t xml:space="preserve"> </w:t>
      </w:r>
      <w:r w:rsidRPr="00DF2A04">
        <w:rPr>
          <w:sz w:val="24"/>
          <w:szCs w:val="24"/>
        </w:rPr>
        <w:t xml:space="preserve">was dissolved in </w:t>
      </w:r>
      <w:r>
        <w:rPr>
          <w:rFonts w:hint="eastAsia"/>
          <w:sz w:val="24"/>
          <w:szCs w:val="24"/>
        </w:rPr>
        <w:t xml:space="preserve">10 </w:t>
      </w:r>
      <w:r w:rsidRPr="00DF2A04">
        <w:rPr>
          <w:sz w:val="24"/>
          <w:szCs w:val="24"/>
        </w:rPr>
        <w:t xml:space="preserve">mL DMSO and reacted </w:t>
      </w:r>
      <w:bookmarkStart w:id="3" w:name="OLE_LINK2"/>
      <w:r w:rsidRPr="00DF2A04">
        <w:rPr>
          <w:sz w:val="24"/>
          <w:szCs w:val="24"/>
        </w:rPr>
        <w:t>under nitrogen atmosphere at room temperature for 5 h</w:t>
      </w:r>
      <w:bookmarkEnd w:id="3"/>
      <w:r w:rsidR="00FC52E9">
        <w:rPr>
          <w:sz w:val="24"/>
          <w:szCs w:val="24"/>
        </w:rPr>
        <w:t xml:space="preserve"> [</w:t>
      </w:r>
      <w:r w:rsidRPr="00FC52E9">
        <w:rPr>
          <w:noProof/>
          <w:sz w:val="24"/>
          <w:szCs w:val="24"/>
        </w:rPr>
        <w:t>1</w:t>
      </w:r>
      <w:r w:rsidR="00C25C50" w:rsidRPr="00FC52E9">
        <w:rPr>
          <w:noProof/>
          <w:sz w:val="24"/>
          <w:szCs w:val="24"/>
        </w:rPr>
        <w:t>,</w:t>
      </w:r>
      <w:r w:rsidRPr="00FC52E9">
        <w:rPr>
          <w:noProof/>
          <w:sz w:val="24"/>
          <w:szCs w:val="24"/>
        </w:rPr>
        <w:t>2</w:t>
      </w:r>
      <w:r w:rsidR="00FC52E9">
        <w:rPr>
          <w:noProof/>
          <w:sz w:val="24"/>
          <w:szCs w:val="24"/>
        </w:rPr>
        <w:t>]</w:t>
      </w:r>
      <w:r w:rsidRPr="00DF2A04">
        <w:rPr>
          <w:sz w:val="24"/>
          <w:szCs w:val="24"/>
        </w:rPr>
        <w:t>. Then 20 mL of acetone was added to dilute the resultant solution, which was further centrifuged at 4000 rpm for 10 min. Next, the supernatant was dialyzed against water for three times (MWCO 2000Da) and then it was freeze-dried</w:t>
      </w:r>
      <w:r w:rsidR="00FC52E9">
        <w:rPr>
          <w:sz w:val="24"/>
          <w:szCs w:val="24"/>
        </w:rPr>
        <w:t xml:space="preserve"> [</w:t>
      </w:r>
      <w:r w:rsidRPr="00FC52E9">
        <w:rPr>
          <w:noProof/>
          <w:sz w:val="24"/>
          <w:szCs w:val="24"/>
        </w:rPr>
        <w:t>3</w:t>
      </w:r>
      <w:r w:rsidR="00FC52E9">
        <w:rPr>
          <w:noProof/>
          <w:sz w:val="24"/>
          <w:szCs w:val="24"/>
        </w:rPr>
        <w:t>]</w:t>
      </w:r>
      <w:r w:rsidRPr="00DF2A04">
        <w:rPr>
          <w:sz w:val="24"/>
          <w:szCs w:val="24"/>
        </w:rPr>
        <w:t xml:space="preserve">. Finally, the structure of FA-PEG-Chol was determined using </w:t>
      </w:r>
      <w:r w:rsidRPr="00DF2A04">
        <w:rPr>
          <w:sz w:val="24"/>
          <w:szCs w:val="24"/>
          <w:vertAlign w:val="superscript"/>
        </w:rPr>
        <w:t>1</w:t>
      </w:r>
      <w:r w:rsidRPr="00DF2A04">
        <w:rPr>
          <w:sz w:val="24"/>
          <w:szCs w:val="24"/>
        </w:rPr>
        <w:t xml:space="preserve">H-NMR spectroscopy </w:t>
      </w:r>
      <w:r w:rsidRPr="00DF2A04">
        <w:rPr>
          <w:sz w:val="24"/>
          <w:szCs w:val="24"/>
          <w:shd w:val="clear" w:color="auto" w:fill="FFFFFF"/>
        </w:rPr>
        <w:t>(400 MHz, DMSO-d6)</w:t>
      </w:r>
      <w:r w:rsidRPr="00DF2A04">
        <w:rPr>
          <w:sz w:val="24"/>
          <w:szCs w:val="24"/>
        </w:rPr>
        <w:t>.</w:t>
      </w:r>
    </w:p>
    <w:p w14:paraId="3E8C9B8D" w14:textId="6AE94A72" w:rsidR="00253D04" w:rsidRPr="00DF2A04" w:rsidRDefault="00253D04" w:rsidP="00253D04">
      <w:pPr>
        <w:spacing w:line="480" w:lineRule="auto"/>
        <w:rPr>
          <w:sz w:val="24"/>
          <w:szCs w:val="24"/>
        </w:rPr>
      </w:pPr>
      <w:r w:rsidRPr="00213E52">
        <w:rPr>
          <w:b/>
          <w:szCs w:val="21"/>
        </w:rPr>
        <w:t xml:space="preserve">Figure </w:t>
      </w:r>
      <w:r>
        <w:rPr>
          <w:b/>
          <w:szCs w:val="21"/>
        </w:rPr>
        <w:t>S</w:t>
      </w:r>
      <w:r>
        <w:rPr>
          <w:rFonts w:hint="eastAsia"/>
          <w:b/>
          <w:szCs w:val="21"/>
        </w:rPr>
        <w:t>4</w:t>
      </w:r>
    </w:p>
    <w:p w14:paraId="0927BC69" w14:textId="2A7907E3" w:rsidR="00D42210" w:rsidRDefault="00253D04" w:rsidP="008633C8">
      <w:pPr>
        <w:spacing w:line="360" w:lineRule="auto"/>
        <w:rPr>
          <w:sz w:val="24"/>
          <w:szCs w:val="24"/>
        </w:rPr>
      </w:pPr>
      <w:r w:rsidRPr="00857198">
        <w:rPr>
          <w:noProof/>
          <w:lang w:val="en-IN" w:eastAsia="en-IN"/>
        </w:rPr>
        <w:drawing>
          <wp:inline distT="0" distB="0" distL="0" distR="0" wp14:anchorId="003056E0" wp14:editId="598186D2">
            <wp:extent cx="5040000" cy="2142000"/>
            <wp:effectExtent l="0" t="0" r="8255" b="0"/>
            <wp:docPr id="2" name="图片 2" descr="F:\二投\FPC-6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二投\FPC-600.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40000" cy="2142000"/>
                    </a:xfrm>
                    <a:prstGeom prst="rect">
                      <a:avLst/>
                    </a:prstGeom>
                    <a:noFill/>
                    <a:ln>
                      <a:noFill/>
                    </a:ln>
                  </pic:spPr>
                </pic:pic>
              </a:graphicData>
            </a:graphic>
          </wp:inline>
        </w:drawing>
      </w:r>
    </w:p>
    <w:p w14:paraId="78F41D48" w14:textId="77777777" w:rsidR="00D42210" w:rsidRDefault="00D42210" w:rsidP="00253D04">
      <w:pPr>
        <w:spacing w:line="480" w:lineRule="auto"/>
        <w:rPr>
          <w:b/>
          <w:bCs/>
          <w:sz w:val="28"/>
          <w:szCs w:val="28"/>
        </w:rPr>
      </w:pPr>
    </w:p>
    <w:p w14:paraId="48144A24" w14:textId="0BDF82CF" w:rsidR="00C65124" w:rsidRDefault="00C65124" w:rsidP="00C25C50">
      <w:pPr>
        <w:spacing w:line="400" w:lineRule="exact"/>
        <w:jc w:val="left"/>
        <w:outlineLvl w:val="0"/>
        <w:rPr>
          <w:b/>
          <w:sz w:val="24"/>
          <w:szCs w:val="24"/>
        </w:rPr>
      </w:pPr>
      <w:r w:rsidRPr="00DF2A04">
        <w:rPr>
          <w:b/>
          <w:sz w:val="24"/>
          <w:szCs w:val="24"/>
        </w:rPr>
        <w:t>R</w:t>
      </w:r>
      <w:r w:rsidR="00826611">
        <w:rPr>
          <w:b/>
          <w:sz w:val="24"/>
          <w:szCs w:val="24"/>
        </w:rPr>
        <w:t xml:space="preserve">EFERENCE FOR SUPPORT </w:t>
      </w:r>
      <w:r w:rsidR="00826611">
        <w:rPr>
          <w:rFonts w:hint="eastAsia"/>
          <w:b/>
          <w:sz w:val="24"/>
          <w:szCs w:val="24"/>
        </w:rPr>
        <w:t>MATERIA</w:t>
      </w:r>
      <w:r w:rsidR="00826611">
        <w:rPr>
          <w:b/>
          <w:sz w:val="24"/>
          <w:szCs w:val="24"/>
        </w:rPr>
        <w:t>S</w:t>
      </w:r>
    </w:p>
    <w:p w14:paraId="03401D1E" w14:textId="47BFBF46" w:rsidR="00253D04" w:rsidRPr="00253D04" w:rsidRDefault="00253D04" w:rsidP="00253D04">
      <w:pPr>
        <w:pStyle w:val="ListParagraph"/>
        <w:numPr>
          <w:ilvl w:val="0"/>
          <w:numId w:val="8"/>
        </w:numPr>
        <w:ind w:left="648" w:hangingChars="270" w:hanging="648"/>
        <w:rPr>
          <w:b/>
          <w:sz w:val="24"/>
          <w:szCs w:val="24"/>
        </w:rPr>
      </w:pPr>
      <w:r w:rsidRPr="00253D04">
        <w:rPr>
          <w:noProof/>
          <w:sz w:val="24"/>
          <w:szCs w:val="24"/>
        </w:rPr>
        <w:t>Güliz Ak, Sanlıer SH</w:t>
      </w:r>
      <w:r w:rsidRPr="00253D04">
        <w:rPr>
          <w:rFonts w:hint="eastAsia"/>
          <w:noProof/>
          <w:sz w:val="24"/>
          <w:szCs w:val="24"/>
        </w:rPr>
        <w:t>.</w:t>
      </w:r>
      <w:r w:rsidRPr="00253D04">
        <w:rPr>
          <w:rFonts w:eastAsia="Microsoft YaHei"/>
          <w:noProof/>
          <w:sz w:val="24"/>
          <w:szCs w:val="24"/>
          <w:shd w:val="clear" w:color="auto" w:fill="FFFFFF"/>
        </w:rPr>
        <w:t xml:space="preserve"> Synthesis of folate receptor-targeted and doxorubicin-coupled chemotherapeutic nanoconjugate and research into its medical applications</w:t>
      </w:r>
      <w:r w:rsidRPr="00253D04">
        <w:rPr>
          <w:rFonts w:eastAsia="Microsoft YaHei" w:hint="eastAsia"/>
          <w:noProof/>
          <w:sz w:val="24"/>
          <w:szCs w:val="24"/>
          <w:shd w:val="clear" w:color="auto" w:fill="FFFFFF"/>
        </w:rPr>
        <w:t>.</w:t>
      </w:r>
      <w:r w:rsidRPr="00253D04">
        <w:rPr>
          <w:noProof/>
          <w:kern w:val="0"/>
          <w:sz w:val="24"/>
          <w:szCs w:val="24"/>
        </w:rPr>
        <w:t xml:space="preserve"> Prep Biochem Biotechnol</w:t>
      </w:r>
      <w:r w:rsidRPr="00253D04">
        <w:rPr>
          <w:noProof/>
          <w:sz w:val="24"/>
          <w:szCs w:val="24"/>
        </w:rPr>
        <w:t>. 2013</w:t>
      </w:r>
      <w:r w:rsidRPr="00253D04">
        <w:rPr>
          <w:rFonts w:hint="eastAsia"/>
          <w:noProof/>
          <w:sz w:val="24"/>
          <w:szCs w:val="24"/>
        </w:rPr>
        <w:t>;</w:t>
      </w:r>
      <w:r w:rsidRPr="00253D04">
        <w:rPr>
          <w:noProof/>
          <w:sz w:val="24"/>
          <w:szCs w:val="24"/>
        </w:rPr>
        <w:t xml:space="preserve"> 42</w:t>
      </w:r>
      <w:r w:rsidRPr="00253D04">
        <w:rPr>
          <w:rFonts w:hint="eastAsia"/>
          <w:noProof/>
          <w:sz w:val="24"/>
          <w:szCs w:val="24"/>
        </w:rPr>
        <w:t>:</w:t>
      </w:r>
      <w:r w:rsidRPr="00253D04">
        <w:rPr>
          <w:noProof/>
          <w:sz w:val="24"/>
          <w:szCs w:val="24"/>
        </w:rPr>
        <w:t xml:space="preserve"> 551-563.</w:t>
      </w:r>
    </w:p>
    <w:p w14:paraId="2219BE78" w14:textId="22E7494B" w:rsidR="00253D04" w:rsidRPr="00253D04" w:rsidRDefault="00253D04" w:rsidP="00253D04">
      <w:pPr>
        <w:pStyle w:val="ListParagraph"/>
        <w:numPr>
          <w:ilvl w:val="0"/>
          <w:numId w:val="8"/>
        </w:numPr>
        <w:ind w:left="648" w:hangingChars="270" w:hanging="648"/>
        <w:rPr>
          <w:b/>
          <w:sz w:val="24"/>
          <w:szCs w:val="24"/>
        </w:rPr>
      </w:pPr>
      <w:r w:rsidRPr="00253D04">
        <w:rPr>
          <w:noProof/>
          <w:sz w:val="24"/>
          <w:szCs w:val="24"/>
        </w:rPr>
        <w:t>Puchkov PA, Shmendel EV, Luneva AS, Morozova NG, Zenkova MA, Maslov MA. Design, synthesis and transfection efficiency of a novel redox-sensitive polycationic amphiphile. Bioorg Med Chem Lett. 2016</w:t>
      </w:r>
      <w:r w:rsidRPr="00253D04">
        <w:rPr>
          <w:rFonts w:hint="eastAsia"/>
          <w:noProof/>
          <w:sz w:val="24"/>
          <w:szCs w:val="24"/>
        </w:rPr>
        <w:t>;</w:t>
      </w:r>
      <w:r w:rsidRPr="00253D04">
        <w:rPr>
          <w:noProof/>
          <w:sz w:val="24"/>
          <w:szCs w:val="24"/>
        </w:rPr>
        <w:t xml:space="preserve"> 26</w:t>
      </w:r>
      <w:r w:rsidRPr="00253D04">
        <w:rPr>
          <w:rFonts w:hint="eastAsia"/>
          <w:noProof/>
          <w:sz w:val="24"/>
          <w:szCs w:val="24"/>
        </w:rPr>
        <w:t xml:space="preserve">: </w:t>
      </w:r>
      <w:r w:rsidRPr="00253D04">
        <w:rPr>
          <w:noProof/>
          <w:sz w:val="24"/>
          <w:szCs w:val="24"/>
        </w:rPr>
        <w:t>5911-5915.</w:t>
      </w:r>
    </w:p>
    <w:p w14:paraId="1DF37B0B" w14:textId="18F824E3" w:rsidR="00253D04" w:rsidRPr="00253D04" w:rsidRDefault="00253D04" w:rsidP="00253D04">
      <w:pPr>
        <w:pStyle w:val="ListParagraph"/>
        <w:numPr>
          <w:ilvl w:val="0"/>
          <w:numId w:val="8"/>
        </w:numPr>
        <w:ind w:left="648" w:hangingChars="270" w:hanging="648"/>
        <w:rPr>
          <w:b/>
          <w:sz w:val="24"/>
          <w:szCs w:val="24"/>
        </w:rPr>
      </w:pPr>
      <w:r w:rsidRPr="00253D04">
        <w:rPr>
          <w:noProof/>
          <w:sz w:val="24"/>
          <w:szCs w:val="24"/>
        </w:rPr>
        <w:t>Malh</w:t>
      </w:r>
      <w:r w:rsidRPr="00253D04">
        <w:rPr>
          <w:rFonts w:hint="eastAsia"/>
          <w:noProof/>
          <w:sz w:val="24"/>
          <w:szCs w:val="24"/>
        </w:rPr>
        <w:t xml:space="preserve">i </w:t>
      </w:r>
      <w:r w:rsidRPr="00253D04">
        <w:rPr>
          <w:noProof/>
          <w:sz w:val="24"/>
          <w:szCs w:val="24"/>
        </w:rPr>
        <w:t>SS, Budhiraja A, Arora S, Chaudhari KR, Nepali K, Kumar R</w:t>
      </w:r>
      <w:r w:rsidRPr="00253D04">
        <w:rPr>
          <w:rFonts w:hint="eastAsia"/>
          <w:noProof/>
          <w:sz w:val="24"/>
          <w:szCs w:val="24"/>
        </w:rPr>
        <w:t xml:space="preserve">. </w:t>
      </w:r>
      <w:r w:rsidRPr="00253D04">
        <w:rPr>
          <w:noProof/>
          <w:sz w:val="24"/>
          <w:szCs w:val="24"/>
        </w:rPr>
        <w:t>Intracellular delivery of redox cycler-doxorubicin to the mitochondria of cancer cell by folate receptor targeted mitocancerotropic liposomes. Int J Pharm. 2012</w:t>
      </w:r>
      <w:r w:rsidRPr="00253D04">
        <w:rPr>
          <w:rFonts w:hint="eastAsia"/>
          <w:noProof/>
          <w:sz w:val="24"/>
          <w:szCs w:val="24"/>
        </w:rPr>
        <w:t xml:space="preserve">; </w:t>
      </w:r>
      <w:r w:rsidRPr="00253D04">
        <w:rPr>
          <w:noProof/>
          <w:sz w:val="24"/>
          <w:szCs w:val="24"/>
        </w:rPr>
        <w:t>432</w:t>
      </w:r>
      <w:r w:rsidRPr="00253D04">
        <w:rPr>
          <w:rFonts w:hint="eastAsia"/>
          <w:noProof/>
          <w:sz w:val="24"/>
          <w:szCs w:val="24"/>
        </w:rPr>
        <w:t>:</w:t>
      </w:r>
      <w:r w:rsidRPr="00253D04">
        <w:rPr>
          <w:noProof/>
          <w:sz w:val="24"/>
          <w:szCs w:val="24"/>
        </w:rPr>
        <w:t xml:space="preserve"> 63-74.</w:t>
      </w:r>
    </w:p>
    <w:sectPr w:rsidR="00253D04" w:rsidRPr="00253D04" w:rsidSect="002832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21316B" w14:textId="77777777" w:rsidR="00744844" w:rsidRDefault="00744844" w:rsidP="00C65124">
      <w:r>
        <w:separator/>
      </w:r>
    </w:p>
  </w:endnote>
  <w:endnote w:type="continuationSeparator" w:id="0">
    <w:p w14:paraId="01DCEAF0" w14:textId="77777777" w:rsidR="00744844" w:rsidRDefault="00744844" w:rsidP="00C65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inionPro-Regular">
    <w:altName w:val="Arial Unicode MS"/>
    <w:panose1 w:val="000B0500000000000000"/>
    <w:charset w:val="7A"/>
    <w:family w:val="auto"/>
    <w:pitch w:val="default"/>
    <w:sig w:usb0="00000000" w:usb1="080E0000" w:usb2="00000010" w:usb3="00000000" w:csb0="00040000" w:csb1="00000000"/>
  </w:font>
  <w:font w:name="Microsoft YaHei">
    <w:altName w:val="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9A8BF1" w14:textId="77777777" w:rsidR="00744844" w:rsidRDefault="00744844" w:rsidP="00C65124">
      <w:r>
        <w:separator/>
      </w:r>
    </w:p>
  </w:footnote>
  <w:footnote w:type="continuationSeparator" w:id="0">
    <w:p w14:paraId="5B6C7B34" w14:textId="77777777" w:rsidR="00744844" w:rsidRDefault="00744844" w:rsidP="00C651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35487"/>
    <w:multiLevelType w:val="hybridMultilevel"/>
    <w:tmpl w:val="3DB4B5F6"/>
    <w:lvl w:ilvl="0" w:tplc="0F86090A">
      <w:start w:val="3"/>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nsid w:val="11AE6ACD"/>
    <w:multiLevelType w:val="hybridMultilevel"/>
    <w:tmpl w:val="DAF801F2"/>
    <w:lvl w:ilvl="0" w:tplc="D3FAC6EC">
      <w:start w:val="3"/>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
    <w:nsid w:val="178E66D2"/>
    <w:multiLevelType w:val="hybridMultilevel"/>
    <w:tmpl w:val="A6F46786"/>
    <w:lvl w:ilvl="0" w:tplc="ED5C8900">
      <w:start w:val="1"/>
      <w:numFmt w:val="decimal"/>
      <w:lvlText w:val="%1"/>
      <w:lvlJc w:val="left"/>
      <w:pPr>
        <w:ind w:left="360" w:hanging="360"/>
      </w:pPr>
      <w:rPr>
        <w:rFonts w:ascii="Times New Roman" w:eastAsia="SimSun"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2346931"/>
    <w:multiLevelType w:val="hybridMultilevel"/>
    <w:tmpl w:val="7424FFF8"/>
    <w:lvl w:ilvl="0" w:tplc="82080A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7AB0873"/>
    <w:multiLevelType w:val="hybridMultilevel"/>
    <w:tmpl w:val="D27A26BC"/>
    <w:lvl w:ilvl="0" w:tplc="6BD2F7E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8D040D6"/>
    <w:multiLevelType w:val="hybridMultilevel"/>
    <w:tmpl w:val="89C26010"/>
    <w:lvl w:ilvl="0" w:tplc="775CA842">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6">
    <w:nsid w:val="6A870017"/>
    <w:multiLevelType w:val="hybridMultilevel"/>
    <w:tmpl w:val="27B0E5FC"/>
    <w:lvl w:ilvl="0" w:tplc="717034CE">
      <w:start w:val="1"/>
      <w:numFmt w:val="decimal"/>
      <w:lvlText w:val="%1."/>
      <w:lvlJc w:val="left"/>
      <w:pPr>
        <w:ind w:left="42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018234E"/>
    <w:multiLevelType w:val="hybridMultilevel"/>
    <w:tmpl w:val="44BC4390"/>
    <w:lvl w:ilvl="0" w:tplc="D67E5D0E">
      <w:start w:val="2"/>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2"/>
  </w:num>
  <w:num w:numId="2">
    <w:abstractNumId w:val="4"/>
  </w:num>
  <w:num w:numId="3">
    <w:abstractNumId w:val="3"/>
  </w:num>
  <w:num w:numId="4">
    <w:abstractNumId w:val="5"/>
  </w:num>
  <w:num w:numId="5">
    <w:abstractNumId w:val="7"/>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D42210"/>
    <w:rsid w:val="00150209"/>
    <w:rsid w:val="001E28A0"/>
    <w:rsid w:val="002500DD"/>
    <w:rsid w:val="00253D04"/>
    <w:rsid w:val="00283270"/>
    <w:rsid w:val="00492093"/>
    <w:rsid w:val="006F45A1"/>
    <w:rsid w:val="007235B0"/>
    <w:rsid w:val="00744844"/>
    <w:rsid w:val="00754D33"/>
    <w:rsid w:val="00826611"/>
    <w:rsid w:val="009416CE"/>
    <w:rsid w:val="009A21A1"/>
    <w:rsid w:val="00A35247"/>
    <w:rsid w:val="00B60D1C"/>
    <w:rsid w:val="00C25C50"/>
    <w:rsid w:val="00C65124"/>
    <w:rsid w:val="00D3108A"/>
    <w:rsid w:val="00D32B46"/>
    <w:rsid w:val="00D42210"/>
    <w:rsid w:val="00D8185A"/>
    <w:rsid w:val="00E22057"/>
    <w:rsid w:val="00E87C90"/>
    <w:rsid w:val="00EC1302"/>
    <w:rsid w:val="00FC52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0D2884"/>
  <w15:chartTrackingRefBased/>
  <w15:docId w15:val="{0A3B8257-D7E3-47C3-8CF1-0CA4BCB0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210"/>
    <w:pPr>
      <w:widowControl w:val="0"/>
      <w:jc w:val="both"/>
    </w:pPr>
    <w:rPr>
      <w:rFonts w:ascii="Times New Roman" w:eastAsia="SimSu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BibliographyTitleChar">
    <w:name w:val="EndNote Bibliography Title Char"/>
    <w:link w:val="EndNoteBibliographyTitle"/>
    <w:rsid w:val="00D42210"/>
    <w:rPr>
      <w:sz w:val="24"/>
      <w:lang w:val="en-US" w:eastAsia="zh-CN"/>
    </w:rPr>
  </w:style>
  <w:style w:type="character" w:styleId="Hyperlink">
    <w:name w:val="Hyperlink"/>
    <w:uiPriority w:val="99"/>
    <w:unhideWhenUsed/>
    <w:rsid w:val="00D42210"/>
    <w:rPr>
      <w:color w:val="0000FF"/>
      <w:u w:val="single"/>
    </w:rPr>
  </w:style>
  <w:style w:type="character" w:customStyle="1" w:styleId="NormalWebChar">
    <w:name w:val="Normal (Web) Char"/>
    <w:link w:val="NormalWeb"/>
    <w:uiPriority w:val="99"/>
    <w:rsid w:val="00D42210"/>
    <w:rPr>
      <w:sz w:val="24"/>
    </w:rPr>
  </w:style>
  <w:style w:type="character" w:customStyle="1" w:styleId="EndNoteBibliographyChar">
    <w:name w:val="EndNote Bibliography Char"/>
    <w:link w:val="EndNoteBibliography"/>
    <w:rsid w:val="00D42210"/>
    <w:rPr>
      <w:sz w:val="24"/>
    </w:rPr>
  </w:style>
  <w:style w:type="paragraph" w:customStyle="1" w:styleId="EndNoteBibliographyTitle">
    <w:name w:val="EndNote Bibliography Title"/>
    <w:basedOn w:val="Normal"/>
    <w:link w:val="EndNoteBibliographyTitleChar"/>
    <w:rsid w:val="00D42210"/>
    <w:pPr>
      <w:jc w:val="center"/>
    </w:pPr>
    <w:rPr>
      <w:rFonts w:asciiTheme="minorHAnsi" w:eastAsiaTheme="minorEastAsia" w:hAnsiTheme="minorHAnsi" w:cstheme="minorBidi"/>
      <w:sz w:val="24"/>
      <w:szCs w:val="22"/>
    </w:rPr>
  </w:style>
  <w:style w:type="paragraph" w:customStyle="1" w:styleId="EndNoteBibliography">
    <w:name w:val="EndNote Bibliography"/>
    <w:link w:val="EndNoteBibliographyChar"/>
    <w:rsid w:val="00D42210"/>
    <w:pPr>
      <w:pBdr>
        <w:top w:val="none" w:sz="8" w:space="0" w:color="auto"/>
        <w:left w:val="none" w:sz="8" w:space="0" w:color="auto"/>
        <w:bottom w:val="none" w:sz="8" w:space="0" w:color="auto"/>
        <w:right w:val="none" w:sz="8" w:space="0" w:color="auto"/>
        <w:between w:val="none" w:sz="8" w:space="0" w:color="auto"/>
      </w:pBdr>
      <w:jc w:val="both"/>
    </w:pPr>
    <w:rPr>
      <w:sz w:val="24"/>
    </w:rPr>
  </w:style>
  <w:style w:type="paragraph" w:customStyle="1" w:styleId="Title2">
    <w:name w:val="Title2"/>
    <w:basedOn w:val="Normal"/>
    <w:rsid w:val="00D42210"/>
    <w:pPr>
      <w:widowControl/>
      <w:jc w:val="left"/>
    </w:pPr>
    <w:rPr>
      <w:rFonts w:eastAsia="MS Mincho"/>
      <w:b/>
      <w:kern w:val="0"/>
      <w:sz w:val="24"/>
      <w:szCs w:val="24"/>
      <w:lang w:eastAsia="ja-JP"/>
    </w:rPr>
  </w:style>
  <w:style w:type="paragraph" w:styleId="Header">
    <w:name w:val="header"/>
    <w:basedOn w:val="Normal"/>
    <w:link w:val="HeaderChar"/>
    <w:rsid w:val="00D4221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rsid w:val="00D42210"/>
    <w:rPr>
      <w:rFonts w:ascii="Times New Roman" w:eastAsia="SimSun" w:hAnsi="Times New Roman" w:cs="Times New Roman"/>
      <w:sz w:val="18"/>
      <w:szCs w:val="20"/>
    </w:rPr>
  </w:style>
  <w:style w:type="paragraph" w:styleId="NormalWeb">
    <w:name w:val="Normal (Web)"/>
    <w:basedOn w:val="Normal"/>
    <w:link w:val="NormalWebChar"/>
    <w:uiPriority w:val="99"/>
    <w:unhideWhenUsed/>
    <w:rsid w:val="00D42210"/>
    <w:pPr>
      <w:jc w:val="left"/>
    </w:pPr>
    <w:rPr>
      <w:rFonts w:asciiTheme="minorHAnsi" w:eastAsiaTheme="minorEastAsia" w:hAnsiTheme="minorHAnsi" w:cstheme="minorBidi"/>
      <w:sz w:val="24"/>
      <w:szCs w:val="22"/>
    </w:rPr>
  </w:style>
  <w:style w:type="paragraph" w:styleId="Footer">
    <w:name w:val="footer"/>
    <w:basedOn w:val="Normal"/>
    <w:link w:val="FooterChar"/>
    <w:rsid w:val="00D42210"/>
    <w:pPr>
      <w:tabs>
        <w:tab w:val="center" w:pos="4153"/>
        <w:tab w:val="right" w:pos="8306"/>
      </w:tabs>
      <w:snapToGrid w:val="0"/>
      <w:jc w:val="left"/>
    </w:pPr>
    <w:rPr>
      <w:sz w:val="18"/>
    </w:rPr>
  </w:style>
  <w:style w:type="character" w:customStyle="1" w:styleId="FooterChar">
    <w:name w:val="Footer Char"/>
    <w:basedOn w:val="DefaultParagraphFont"/>
    <w:link w:val="Footer"/>
    <w:rsid w:val="00D42210"/>
    <w:rPr>
      <w:rFonts w:ascii="Times New Roman" w:eastAsia="SimSun" w:hAnsi="Times New Roman" w:cs="Times New Roman"/>
      <w:sz w:val="18"/>
      <w:szCs w:val="20"/>
    </w:rPr>
  </w:style>
  <w:style w:type="character" w:customStyle="1" w:styleId="1">
    <w:name w:val="未处理的提及1"/>
    <w:uiPriority w:val="99"/>
    <w:semiHidden/>
    <w:unhideWhenUsed/>
    <w:rsid w:val="00D42210"/>
    <w:rPr>
      <w:color w:val="605E5C"/>
      <w:shd w:val="clear" w:color="auto" w:fill="E1DFDD"/>
    </w:rPr>
  </w:style>
  <w:style w:type="paragraph" w:styleId="BalloonText">
    <w:name w:val="Balloon Text"/>
    <w:basedOn w:val="Normal"/>
    <w:link w:val="BalloonTextChar"/>
    <w:uiPriority w:val="99"/>
    <w:semiHidden/>
    <w:unhideWhenUsed/>
    <w:rsid w:val="00D42210"/>
    <w:rPr>
      <w:sz w:val="18"/>
      <w:szCs w:val="18"/>
    </w:rPr>
  </w:style>
  <w:style w:type="character" w:customStyle="1" w:styleId="Char">
    <w:name w:val="批注框文本 Char"/>
    <w:basedOn w:val="DefaultParagraphFont"/>
    <w:uiPriority w:val="99"/>
    <w:semiHidden/>
    <w:rsid w:val="00D42210"/>
    <w:rPr>
      <w:rFonts w:ascii="Times New Roman" w:eastAsia="SimSun" w:hAnsi="Times New Roman" w:cs="Times New Roman"/>
      <w:sz w:val="18"/>
      <w:szCs w:val="18"/>
    </w:rPr>
  </w:style>
  <w:style w:type="character" w:customStyle="1" w:styleId="BalloonTextChar">
    <w:name w:val="Balloon Text Char"/>
    <w:link w:val="BalloonText"/>
    <w:uiPriority w:val="99"/>
    <w:semiHidden/>
    <w:rsid w:val="00D42210"/>
    <w:rPr>
      <w:rFonts w:ascii="Times New Roman" w:eastAsia="SimSun" w:hAnsi="Times New Roman" w:cs="Times New Roman"/>
      <w:sz w:val="18"/>
      <w:szCs w:val="18"/>
    </w:rPr>
  </w:style>
  <w:style w:type="paragraph" w:styleId="ListParagraph">
    <w:name w:val="List Paragraph"/>
    <w:basedOn w:val="Normal"/>
    <w:uiPriority w:val="34"/>
    <w:qFormat/>
    <w:rsid w:val="00C65124"/>
    <w:pPr>
      <w:ind w:firstLineChars="200" w:firstLine="420"/>
    </w:pPr>
  </w:style>
  <w:style w:type="character" w:styleId="LineNumber">
    <w:name w:val="line number"/>
    <w:basedOn w:val="DefaultParagraphFont"/>
    <w:uiPriority w:val="99"/>
    <w:semiHidden/>
    <w:unhideWhenUsed/>
    <w:rsid w:val="00D310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image" Target="media/image1.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springhong@126.com" TargetMode="External"/><Relationship Id="rId5" Type="http://schemas.openxmlformats.org/officeDocument/2006/relationships/footnotes" Target="footnotes.xml"/><Relationship Id="rId15" Type="http://schemas.openxmlformats.org/officeDocument/2006/relationships/image" Target="media/image4.tiff"/><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javascript:void(0);" TargetMode="External"/><Relationship Id="rId14"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601</Words>
  <Characters>3429</Characters>
  <Application>Microsoft Office Word</Application>
  <DocSecurity>0</DocSecurity>
  <Lines>28</Lines>
  <Paragraphs>8</Paragraphs>
  <ScaleCrop>false</ScaleCrop>
  <Company>微软中国</Company>
  <LinksUpToDate>false</LinksUpToDate>
  <CharactersWithSpaces>4022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Priya V.</cp:lastModifiedBy>
  <cp:revision>12</cp:revision>
  <dcterms:created xsi:type="dcterms:W3CDTF">2020-06-03T04:58:00Z</dcterms:created>
  <dcterms:modified xsi:type="dcterms:W3CDTF">2020-08-13T13:30:00Z</dcterms:modified>
</cp:coreProperties>
</file>