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480" w:lineRule="auto"/>
      </w:pPr>
      <w:r>
        <w:rPr>
          <w:rFonts w:hint="eastAsia"/>
        </w:rPr>
        <w:t>Curves and table Section</w:t>
      </w:r>
    </w:p>
    <w:p>
      <w:pPr>
        <w:spacing w:line="480" w:lineRule="auto"/>
      </w:pPr>
      <w:r>
        <w:rPr>
          <w:rFonts w:hint="eastAsia"/>
        </w:rPr>
        <w:drawing>
          <wp:inline distT="0" distB="0" distL="114300" distR="114300">
            <wp:extent cx="3687445" cy="4819015"/>
            <wp:effectExtent l="0" t="0" r="8255" b="6985"/>
            <wp:docPr id="4" name="图片 4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7445" cy="481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</w:rPr>
        <w:t>S1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synthesis steps of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CS-ADH-Rh-LA conjugates.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drawing>
          <wp:inline distT="0" distB="0" distL="114300" distR="114300">
            <wp:extent cx="4958080" cy="1503680"/>
            <wp:effectExtent l="0" t="0" r="7620" b="7620"/>
            <wp:docPr id="3" name="图片 3" descr="S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1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8080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226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The </w:t>
      </w:r>
      <w:bookmarkStart w:id="0" w:name="OLE_LINK2"/>
      <w:r>
        <w:rPr>
          <w:rFonts w:ascii="Times New Roman" w:hAnsi="Times New Roman" w:cs="Times New Roman"/>
          <w:sz w:val="24"/>
        </w:rPr>
        <w:t>characterization of CS-ADH-Rh-LA</w:t>
      </w:r>
      <w:bookmarkEnd w:id="0"/>
      <w:r>
        <w:rPr>
          <w:rFonts w:ascii="Times New Roman" w:hAnsi="Times New Roman" w:cs="Times New Roman"/>
          <w:sz w:val="24"/>
        </w:rPr>
        <w:t xml:space="preserve">. The 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H NMR (</w:t>
      </w:r>
      <w:r>
        <w:rPr>
          <w:rFonts w:hint="eastAsia"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) and </w:t>
      </w:r>
      <w:r>
        <w:rPr>
          <w:rFonts w:ascii="Times New Roman" w:hAnsi="Times New Roman" w:cs="Times New Roman"/>
          <w:sz w:val="24"/>
          <w:vertAlign w:val="superscript"/>
        </w:rPr>
        <w:t>13</w:t>
      </w:r>
      <w:r>
        <w:rPr>
          <w:rFonts w:ascii="Times New Roman" w:hAnsi="Times New Roman" w:cs="Times New Roman"/>
          <w:sz w:val="24"/>
        </w:rPr>
        <w:t>C NMR (</w:t>
      </w:r>
      <w:r>
        <w:rPr>
          <w:rFonts w:hint="eastAsia"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) spectra of CS, CS-ADH-Rh and CS-ADH-Rh-LA copolymers. </w:t>
      </w:r>
      <w:r>
        <w:rPr>
          <w:rFonts w:hint="eastAsia" w:ascii="Times New Roman" w:hAnsi="Times New Roman" w:cs="Times New Roman"/>
          <w:sz w:val="24"/>
        </w:rPr>
        <w:t xml:space="preserve">(C) The FT-IR spectra of </w:t>
      </w:r>
      <w:r>
        <w:rPr>
          <w:rFonts w:ascii="Times New Roman" w:hAnsi="Times New Roman" w:cs="Times New Roman"/>
          <w:sz w:val="24"/>
        </w:rPr>
        <w:t xml:space="preserve"> CS, CS-ADH-Rh and CS-ADH-Rh-LA copolymers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3411220" cy="1694180"/>
            <wp:effectExtent l="0" t="0" r="5080" b="7620"/>
            <wp:docPr id="11" name="图片 1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.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122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226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The DLS result of C-NPs after incubating in 20 μM DTT solution for 24 h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2938145" cy="1842135"/>
            <wp:effectExtent l="0" t="0" r="8255" b="12065"/>
            <wp:docPr id="12" name="图片 12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.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8145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</w:t>
      </w:r>
      <w:r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Size changes of C-NPs and NC-NPs in 10% FBS solution within 6 days. </w:t>
      </w: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3319145" cy="2757170"/>
            <wp:effectExtent l="0" t="0" r="8255" b="11430"/>
            <wp:docPr id="13" name="图片 13" descr="Fig.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.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</w:t>
      </w:r>
      <w:r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Transcellular transport assay of C6/C-NPs in A549 cells. Scar bar, 100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μm.</w:t>
      </w: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3079750" cy="2138045"/>
            <wp:effectExtent l="0" t="0" r="6350" b="8255"/>
            <wp:docPr id="14" name="图片 14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.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975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226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</w:t>
      </w:r>
      <w:r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The cell viability of A549 cells after incubating with different concentrations of DTX.</w:t>
      </w:r>
    </w:p>
    <w:p>
      <w:pPr>
        <w:tabs>
          <w:tab w:val="left" w:pos="6226"/>
        </w:tabs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2461895" cy="1881505"/>
            <wp:effectExtent l="0" t="0" r="1905" b="10795"/>
            <wp:docPr id="15" name="图片 15" descr="Fig.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.S5"/>
                    <pic:cNvPicPr>
                      <a:picLocks noChangeAspect="1"/>
                    </pic:cNvPicPr>
                  </pic:nvPicPr>
                  <pic:blipFill>
                    <a:blip r:embed="rId10"/>
                    <a:srcRect l="8364" t="8139" r="12240" b="4373"/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226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Cytotoxicity result of CS-ADH-LA with different concentrations.</w:t>
      </w: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3856990" cy="2352675"/>
            <wp:effectExtent l="0" t="0" r="3810" b="9525"/>
            <wp:docPr id="16" name="图片 16" descr="Fig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. S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</w:rPr>
        <w:t>8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CLSM images of ROS production in A549 cells after incubating with different solutions with/without SDT treatment. Scar bar, 100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μm.</w:t>
      </w: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3996690" cy="3215005"/>
            <wp:effectExtent l="0" t="0" r="3810" b="10795"/>
            <wp:docPr id="17" name="图片 17" descr="Fig.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. S6"/>
                    <pic:cNvPicPr>
                      <a:picLocks noChangeAspect="1"/>
                    </pic:cNvPicPr>
                  </pic:nvPicPr>
                  <pic:blipFill>
                    <a:blip r:embed="rId12"/>
                    <a:srcRect l="7866" r="7355" b="9102"/>
                    <a:stretch>
                      <a:fillRect/>
                    </a:stretch>
                  </pic:blipFill>
                  <pic:spPr>
                    <a:xfrm>
                      <a:off x="0" y="0"/>
                      <a:ext cx="399669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</w:t>
      </w:r>
      <w:r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The H&amp;E staining results of heart, liver, spleen, lung and kidney after incubating with NS, C-NPs with SDT, Taxotere, DTX with Rh, DTX/C-NPs and DTX/C-NPs with SDT. Scar bar, 100</w:t>
      </w:r>
      <w:bookmarkStart w:id="1" w:name="OLE_LINK53"/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μ</w:t>
      </w:r>
      <w:bookmarkEnd w:id="1"/>
      <w:r>
        <w:rPr>
          <w:rFonts w:ascii="Times New Roman" w:hAnsi="Times New Roman" w:cs="Times New Roman"/>
          <w:sz w:val="24"/>
        </w:rPr>
        <w:t>m.</w:t>
      </w:r>
    </w:p>
    <w:p>
      <w:pPr>
        <w:tabs>
          <w:tab w:val="left" w:pos="6226"/>
        </w:tabs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3679825" cy="2180590"/>
            <wp:effectExtent l="0" t="0" r="3175" b="3810"/>
            <wp:docPr id="18" name="图片 18" descr="Fig.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.S9"/>
                    <pic:cNvPicPr>
                      <a:picLocks noChangeAspect="1"/>
                    </pic:cNvPicPr>
                  </pic:nvPicPr>
                  <pic:blipFill>
                    <a:blip r:embed="rId13"/>
                    <a:srcRect t="7315" b="13714"/>
                    <a:stretch>
                      <a:fillRect/>
                    </a:stretch>
                  </pic:blipFill>
                  <pic:spPr>
                    <a:xfrm>
                      <a:off x="0" y="0"/>
                      <a:ext cx="3679825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226"/>
        </w:tabs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</w:t>
      </w:r>
      <w:r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</w:rPr>
        <w:t>10</w:t>
      </w:r>
      <w:r>
        <w:rPr>
          <w:rFonts w:ascii="Times New Roman" w:hAnsi="Times New Roman" w:cs="Times New Roman"/>
          <w:sz w:val="24"/>
        </w:rPr>
        <w:t xml:space="preserve"> TUNEL images of Left tumor tissues from bilateral tumor bearing mice treated with NS, C-NPs +SDT, Taxotere, DTX+Rh, DTX/C-NPs and DTX/C-NPs+SDT. Scar bar, 100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μm.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13D91"/>
    <w:rsid w:val="0F31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1"/>
    <w:qFormat/>
    <w:uiPriority w:val="0"/>
    <w:pPr>
      <w:keepNext/>
      <w:spacing w:before="240" w:after="18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2020-11-13T09:52:00Z</dcterms:created>
  <dc:creator>Cathy</dc:creator>
  <cp:lastModifiedBy>Cathy</cp:lastModifiedBy>
  <dcterms:modified xsi:type="dcterms:W3CDTF">2020-11-13T09:52:50Z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