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B" w:rsidRPr="0020710B" w:rsidRDefault="0020710B" w:rsidP="0020710B">
      <w:pPr>
        <w:spacing w:line="360" w:lineRule="auto"/>
        <w:jc w:val="both"/>
        <w:rPr>
          <w:rFonts w:ascii="Arial" w:hAnsi="Arial" w:cs="Arial"/>
          <w:b/>
          <w:lang w:val="en-GB"/>
        </w:rPr>
      </w:pPr>
      <w:r w:rsidRPr="0020710B">
        <w:rPr>
          <w:rFonts w:ascii="Arial" w:hAnsi="Arial" w:cs="Arial"/>
          <w:b/>
          <w:lang w:val="en-GB"/>
        </w:rPr>
        <w:t>SUPPLEMENTARY MATERIAL</w:t>
      </w:r>
    </w:p>
    <w:p w:rsidR="00D06AD5" w:rsidRDefault="00D06AD5" w:rsidP="00D06AD5">
      <w:pPr>
        <w:jc w:val="both"/>
        <w:rPr>
          <w:rFonts w:ascii="Arial" w:hAnsi="Arial" w:cs="Arial"/>
          <w:i/>
          <w:sz w:val="20"/>
          <w:lang w:val="en-GB"/>
        </w:rPr>
      </w:pPr>
    </w:p>
    <w:p w:rsidR="00D06AD5" w:rsidRDefault="000B72FC" w:rsidP="00D06AD5">
      <w:pPr>
        <w:jc w:val="both"/>
        <w:rPr>
          <w:rFonts w:ascii="Arial" w:hAnsi="Arial" w:cs="Arial"/>
          <w:i/>
          <w:color w:val="FF0000"/>
          <w:sz w:val="20"/>
          <w:lang w:val="en-GB"/>
        </w:rPr>
      </w:pPr>
      <w:r>
        <w:rPr>
          <w:rFonts w:ascii="Arial" w:hAnsi="Arial" w:cs="Arial"/>
          <w:i/>
          <w:color w:val="FF0000"/>
          <w:sz w:val="20"/>
          <w:lang w:val="en-GB"/>
        </w:rPr>
        <w:t xml:space="preserve">Table S1. Lipid 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 xml:space="preserve">composition </w:t>
      </w:r>
      <w:r>
        <w:rPr>
          <w:rFonts w:ascii="Arial" w:hAnsi="Arial" w:cs="Arial"/>
          <w:i/>
          <w:color w:val="FF0000"/>
          <w:sz w:val="20"/>
          <w:lang w:val="en-GB"/>
        </w:rPr>
        <w:t xml:space="preserve">of the different formulations developed and assayed in this work. 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 xml:space="preserve"> </w:t>
      </w:r>
      <w:r>
        <w:rPr>
          <w:rFonts w:ascii="Arial" w:hAnsi="Arial" w:cs="Arial"/>
          <w:i/>
          <w:color w:val="FF0000"/>
          <w:sz w:val="20"/>
          <w:lang w:val="en-GB"/>
        </w:rPr>
        <w:t xml:space="preserve">Encapsulation Efficiency (EE) of 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 xml:space="preserve">Dox </w:t>
      </w:r>
      <w:r>
        <w:rPr>
          <w:rFonts w:ascii="Arial" w:hAnsi="Arial" w:cs="Arial"/>
          <w:i/>
          <w:color w:val="FF0000"/>
          <w:sz w:val="20"/>
          <w:lang w:val="en-GB"/>
        </w:rPr>
        <w:t>was higher than 90% whereas the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 xml:space="preserve"> </w:t>
      </w:r>
      <w:r>
        <w:rPr>
          <w:rFonts w:ascii="Arial" w:hAnsi="Arial" w:cs="Arial"/>
          <w:i/>
          <w:color w:val="FF0000"/>
          <w:sz w:val="20"/>
          <w:lang w:val="en-GB"/>
        </w:rPr>
        <w:t xml:space="preserve">efficiency of 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 xml:space="preserve">PD-L1 Fab´ fragments </w:t>
      </w:r>
      <w:r>
        <w:rPr>
          <w:rFonts w:ascii="Arial" w:hAnsi="Arial" w:cs="Arial"/>
          <w:i/>
          <w:color w:val="FF0000"/>
          <w:sz w:val="20"/>
          <w:lang w:val="en-GB"/>
        </w:rPr>
        <w:t>conjugation was about 80-90 molecules per liposome</w:t>
      </w:r>
      <w:r w:rsidR="00D06AD5" w:rsidRPr="00D8642A">
        <w:rPr>
          <w:rFonts w:ascii="Arial" w:hAnsi="Arial" w:cs="Arial"/>
          <w:i/>
          <w:color w:val="FF0000"/>
          <w:sz w:val="20"/>
          <w:lang w:val="en-GB"/>
        </w:rPr>
        <w:t>.</w:t>
      </w:r>
    </w:p>
    <w:p w:rsidR="000B72FC" w:rsidRPr="00D8642A" w:rsidRDefault="000B72FC" w:rsidP="000B72FC">
      <w:pPr>
        <w:jc w:val="both"/>
        <w:rPr>
          <w:rFonts w:ascii="Arial" w:hAnsi="Arial" w:cs="Arial"/>
          <w:i/>
          <w:color w:val="FF0000"/>
          <w:sz w:val="20"/>
          <w:lang w:val="en-GB"/>
        </w:rPr>
      </w:pPr>
    </w:p>
    <w:tbl>
      <w:tblPr>
        <w:tblW w:w="50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1"/>
        <w:gridCol w:w="2640"/>
        <w:gridCol w:w="1177"/>
        <w:gridCol w:w="755"/>
        <w:gridCol w:w="2515"/>
      </w:tblGrid>
      <w:tr w:rsidR="000B72FC" w:rsidRPr="00FD77DB" w:rsidTr="00AB0D77">
        <w:trPr>
          <w:trHeight w:val="300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  <w:t>Formulation ID</w:t>
            </w:r>
          </w:p>
        </w:tc>
        <w:tc>
          <w:tcPr>
            <w:tcW w:w="15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  <w:t>Lipid composition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  <w:t>Molar ratio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0B72FC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  <w:t>Dox</w:t>
            </w:r>
          </w:p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FFFFFF"/>
                <w:lang w:val="en-US"/>
              </w:rPr>
              <w:t>EE(</w:t>
            </w:r>
            <w:proofErr w:type="gramEnd"/>
            <w:r>
              <w:rPr>
                <w:rFonts w:ascii="Calibri" w:hAnsi="Calibri"/>
                <w:b/>
                <w:bCs/>
                <w:color w:val="FFFFFF"/>
                <w:lang w:val="en-US"/>
              </w:rPr>
              <w:t>%)</w:t>
            </w:r>
          </w:p>
        </w:tc>
        <w:tc>
          <w:tcPr>
            <w:tcW w:w="14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en-US"/>
              </w:rPr>
              <w:t>PD-L1 Fab´</w:t>
            </w:r>
          </w:p>
        </w:tc>
      </w:tr>
      <w:tr w:rsidR="000B72FC" w:rsidRPr="00FD77DB" w:rsidTr="00AB0D77">
        <w:trPr>
          <w:trHeight w:val="375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LP</w:t>
            </w:r>
          </w:p>
        </w:tc>
        <w:tc>
          <w:tcPr>
            <w:tcW w:w="15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HSPC:CH:DSPE-PEG</w:t>
            </w:r>
            <w:r w:rsidRPr="00FD77DB">
              <w:rPr>
                <w:rFonts w:ascii="Arial" w:hAnsi="Arial" w:cs="Arial"/>
                <w:color w:val="000000"/>
                <w:sz w:val="22"/>
                <w:szCs w:val="22"/>
                <w:vertAlign w:val="subscript"/>
                <w:lang w:val="en-GB"/>
              </w:rPr>
              <w:t>2000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1.85:1:0.12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0B72FC" w:rsidRPr="00FD77DB" w:rsidTr="00AB0D77">
        <w:trPr>
          <w:trHeight w:val="375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en-US"/>
              </w:rPr>
              <w:t>LPD</w:t>
            </w:r>
          </w:p>
        </w:tc>
        <w:tc>
          <w:tcPr>
            <w:tcW w:w="15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FD77D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HSPC:CH:DSPE-PEG</w:t>
            </w:r>
            <w:r w:rsidRPr="00FD77DB">
              <w:rPr>
                <w:rFonts w:ascii="Arial" w:hAnsi="Arial" w:cs="Arial"/>
                <w:color w:val="000000"/>
                <w:sz w:val="22"/>
                <w:szCs w:val="22"/>
                <w:vertAlign w:val="subscript"/>
                <w:lang w:val="en-US"/>
              </w:rPr>
              <w:t>2001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1.85:1:0.12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 xml:space="preserve">&gt; 90% </w:t>
            </w:r>
          </w:p>
        </w:tc>
        <w:tc>
          <w:tcPr>
            <w:tcW w:w="14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0B72FC" w:rsidRPr="00FD77DB" w:rsidTr="00AB0D77">
        <w:trPr>
          <w:trHeight w:val="375"/>
        </w:trPr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D77D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LPF</w:t>
            </w:r>
          </w:p>
        </w:tc>
        <w:tc>
          <w:tcPr>
            <w:tcW w:w="153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7DB">
              <w:rPr>
                <w:rFonts w:ascii="Arial" w:hAnsi="Arial" w:cs="Arial"/>
                <w:color w:val="000000"/>
                <w:sz w:val="22"/>
                <w:szCs w:val="22"/>
              </w:rPr>
              <w:t>HSPC:CH:DSPE-PEG</w:t>
            </w:r>
            <w:r w:rsidRPr="00FD77DB">
              <w:rPr>
                <w:rFonts w:ascii="Arial" w:hAnsi="Arial" w:cs="Arial"/>
                <w:color w:val="000000"/>
                <w:sz w:val="22"/>
                <w:szCs w:val="22"/>
                <w:vertAlign w:val="subscript"/>
              </w:rPr>
              <w:t>2002</w:t>
            </w: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1.85:1:0.12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 xml:space="preserve">&gt; 90% </w:t>
            </w:r>
          </w:p>
        </w:tc>
        <w:tc>
          <w:tcPr>
            <w:tcW w:w="14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2FC" w:rsidRPr="00FD77DB" w:rsidRDefault="000B72FC" w:rsidP="00AB0D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 xml:space="preserve">80-90 </w:t>
            </w:r>
            <w:proofErr w:type="spellStart"/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molecules</w:t>
            </w:r>
            <w:proofErr w:type="spellEnd"/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 w:rsidRPr="00FD77DB">
              <w:rPr>
                <w:rFonts w:ascii="Calibri" w:hAnsi="Calibri"/>
                <w:color w:val="000000"/>
                <w:sz w:val="22"/>
                <w:szCs w:val="22"/>
              </w:rPr>
              <w:t>liposome</w:t>
            </w:r>
            <w:proofErr w:type="spellEnd"/>
          </w:p>
        </w:tc>
      </w:tr>
    </w:tbl>
    <w:p w:rsidR="00D06AD5" w:rsidRPr="00924680" w:rsidRDefault="00D06AD5" w:rsidP="00D06AD5">
      <w:pPr>
        <w:jc w:val="both"/>
        <w:rPr>
          <w:rFonts w:ascii="Arial" w:hAnsi="Arial" w:cs="Arial"/>
          <w:i/>
          <w:color w:val="FF0000"/>
          <w:sz w:val="18"/>
          <w:lang w:val="en-GB"/>
        </w:rPr>
      </w:pPr>
      <w:bookmarkStart w:id="0" w:name="_GoBack"/>
      <w:bookmarkEnd w:id="0"/>
      <w:r w:rsidRPr="00924680">
        <w:rPr>
          <w:rFonts w:ascii="Arial" w:hAnsi="Arial" w:cs="Arial"/>
          <w:i/>
          <w:color w:val="FF0000"/>
          <w:sz w:val="18"/>
          <w:lang w:val="en-GB"/>
        </w:rPr>
        <w:t xml:space="preserve">Dox: doxorubicin; </w:t>
      </w:r>
      <w:r w:rsidR="000B72FC">
        <w:rPr>
          <w:rFonts w:ascii="Arial" w:hAnsi="Arial" w:cs="Arial"/>
          <w:i/>
          <w:color w:val="FF0000"/>
          <w:sz w:val="18"/>
          <w:lang w:val="en-GB"/>
        </w:rPr>
        <w:t>LP: E</w:t>
      </w:r>
      <w:r>
        <w:rPr>
          <w:rFonts w:ascii="Arial" w:hAnsi="Arial" w:cs="Arial"/>
          <w:i/>
          <w:color w:val="FF0000"/>
          <w:sz w:val="18"/>
          <w:lang w:val="en-GB"/>
        </w:rPr>
        <w:t xml:space="preserve">mpty conventional liposome; </w:t>
      </w:r>
      <w:r w:rsidR="000B72FC">
        <w:rPr>
          <w:rFonts w:ascii="Arial" w:hAnsi="Arial" w:cs="Arial"/>
          <w:i/>
          <w:color w:val="FF0000"/>
          <w:sz w:val="18"/>
          <w:lang w:val="en-GB"/>
        </w:rPr>
        <w:t>LPD: C</w:t>
      </w:r>
      <w:r w:rsidRPr="00924680">
        <w:rPr>
          <w:rFonts w:ascii="Arial" w:hAnsi="Arial" w:cs="Arial"/>
          <w:i/>
          <w:color w:val="FF0000"/>
          <w:sz w:val="18"/>
          <w:lang w:val="en-GB"/>
        </w:rPr>
        <w:t xml:space="preserve">onventional </w:t>
      </w:r>
      <w:r w:rsidR="000B72FC">
        <w:rPr>
          <w:rFonts w:ascii="Arial" w:hAnsi="Arial" w:cs="Arial"/>
          <w:i/>
          <w:color w:val="FF0000"/>
          <w:sz w:val="18"/>
          <w:lang w:val="en-GB"/>
        </w:rPr>
        <w:t>Dox liposomes; LPF: Targeted Dox</w:t>
      </w:r>
      <w:r w:rsidRPr="00924680">
        <w:rPr>
          <w:rFonts w:ascii="Arial" w:hAnsi="Arial" w:cs="Arial"/>
          <w:i/>
          <w:color w:val="FF0000"/>
          <w:sz w:val="18"/>
          <w:lang w:val="en-GB"/>
        </w:rPr>
        <w:t xml:space="preserve"> liposomes</w:t>
      </w:r>
      <w:r>
        <w:rPr>
          <w:rFonts w:ascii="Arial" w:hAnsi="Arial" w:cs="Arial"/>
          <w:i/>
          <w:color w:val="FF0000"/>
          <w:sz w:val="18"/>
          <w:lang w:val="en-GB"/>
        </w:rPr>
        <w:t>.</w:t>
      </w:r>
    </w:p>
    <w:p w:rsidR="0020710B" w:rsidRDefault="0020710B" w:rsidP="0020710B">
      <w:pPr>
        <w:spacing w:line="360" w:lineRule="auto"/>
        <w:jc w:val="both"/>
        <w:rPr>
          <w:rFonts w:ascii="Arial" w:hAnsi="Arial" w:cs="Arial"/>
          <w:lang w:val="en-GB"/>
        </w:rPr>
      </w:pPr>
    </w:p>
    <w:p w:rsidR="00D06AD5" w:rsidRPr="0020710B" w:rsidRDefault="00D06AD5" w:rsidP="0020710B">
      <w:pPr>
        <w:spacing w:line="360" w:lineRule="auto"/>
        <w:jc w:val="both"/>
        <w:rPr>
          <w:rFonts w:ascii="Arial" w:hAnsi="Arial" w:cs="Arial"/>
          <w:lang w:val="en-GB"/>
        </w:rPr>
      </w:pPr>
    </w:p>
    <w:p w:rsidR="0020710B" w:rsidRPr="0020710B" w:rsidRDefault="00C715E0" w:rsidP="0020710B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1936750</wp:posOffset>
                </wp:positionV>
                <wp:extent cx="330200" cy="2540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0B" w:rsidRDefault="0020710B" w:rsidP="0020710B">
                            <w: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20.9pt;margin-top:152.5pt;width:26pt;height: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" filled="f" stroked="f">
                <v:textbox>
                  <w:txbxContent>
                    <w:p w:rsidR="0020710B" w:rsidRDefault="0020710B" w:rsidP="0020710B">
                      <w: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958850</wp:posOffset>
                </wp:positionV>
                <wp:extent cx="330200" cy="254000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0B" w:rsidRDefault="0020710B" w:rsidP="0020710B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5" o:spid="_x0000_s1027" type="#_x0000_t202" style="position:absolute;left:0;text-align:left;margin-left:-20.9pt;margin-top:75.5pt;width:26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" filled="f" stroked="f">
                <v:textbox>
                  <w:txbxContent>
                    <w:p w:rsidR="0020710B" w:rsidRDefault="0020710B" w:rsidP="0020710B">
                      <w: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0</wp:posOffset>
                </wp:positionV>
                <wp:extent cx="330200" cy="254000"/>
                <wp:effectExtent l="0" t="0" r="0" b="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10B" w:rsidRDefault="0020710B" w:rsidP="0020710B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07" o:spid="_x0000_s1028" type="#_x0000_t202" style="position:absolute;left:0;text-align:left;margin-left:-20.9pt;margin-top:0;width:26pt;height:2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" filled="f" stroked="f">
                <v:textbox>
                  <w:txbxContent>
                    <w:p w:rsidR="0020710B" w:rsidRDefault="0020710B" w:rsidP="0020710B">
                      <w: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20710B" w:rsidRPr="0020710B">
        <w:rPr>
          <w:rFonts w:ascii="Arial" w:hAnsi="Arial" w:cs="Arial"/>
          <w:noProof/>
        </w:rPr>
        <w:drawing>
          <wp:inline distT="0" distB="0" distL="0" distR="0">
            <wp:extent cx="5143500" cy="2878911"/>
            <wp:effectExtent l="0" t="0" r="0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20" cy="288026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0710B" w:rsidRDefault="0020710B" w:rsidP="0020710B">
      <w:pPr>
        <w:jc w:val="both"/>
        <w:rPr>
          <w:rFonts w:ascii="Arial" w:hAnsi="Arial" w:cs="Arial"/>
          <w:i/>
          <w:sz w:val="20"/>
          <w:lang w:val="en-GB"/>
        </w:rPr>
      </w:pPr>
      <w:r w:rsidRPr="0020710B">
        <w:rPr>
          <w:rFonts w:ascii="Arial" w:hAnsi="Arial" w:cs="Arial"/>
          <w:i/>
          <w:sz w:val="20"/>
          <w:lang w:val="en-GB"/>
        </w:rPr>
        <w:t xml:space="preserve">Figure S1. HPLC analysis of Dox after plasma extraction. The first pick correspond to Dox signal and the second to </w:t>
      </w:r>
      <w:proofErr w:type="spellStart"/>
      <w:r w:rsidRPr="0020710B">
        <w:rPr>
          <w:rFonts w:ascii="Arial" w:hAnsi="Arial" w:cs="Arial"/>
          <w:i/>
          <w:sz w:val="20"/>
          <w:lang w:val="en-GB"/>
        </w:rPr>
        <w:t>Daunorubicin</w:t>
      </w:r>
      <w:proofErr w:type="spellEnd"/>
      <w:r w:rsidRPr="0020710B">
        <w:rPr>
          <w:rFonts w:ascii="Arial" w:hAnsi="Arial" w:cs="Arial"/>
          <w:i/>
          <w:sz w:val="20"/>
          <w:lang w:val="en-GB"/>
        </w:rPr>
        <w:t xml:space="preserve"> standard. A) Free Dox after 5 minutes of administration; B) LPD after 4 hours of administration; C) LPF after 4 hours of administration.</w:t>
      </w:r>
    </w:p>
    <w:p w:rsidR="00C715E0" w:rsidRPr="00D06AD5" w:rsidRDefault="00C715E0" w:rsidP="0020710B">
      <w:pPr>
        <w:jc w:val="both"/>
        <w:rPr>
          <w:rFonts w:ascii="Arial" w:hAnsi="Arial" w:cs="Arial"/>
          <w:i/>
          <w:sz w:val="18"/>
          <w:lang w:val="en-GB"/>
        </w:rPr>
      </w:pPr>
      <w:r w:rsidRPr="00D06AD5">
        <w:rPr>
          <w:rFonts w:ascii="Arial" w:hAnsi="Arial" w:cs="Arial"/>
          <w:i/>
          <w:sz w:val="18"/>
          <w:lang w:val="en-GB"/>
        </w:rPr>
        <w:t>Dox: doxorubicin; LPD: conventional Doxorubicin liposomes; LPF: targeted doxorubicin liposomes</w:t>
      </w:r>
    </w:p>
    <w:p w:rsidR="0020710B" w:rsidRPr="0020710B" w:rsidRDefault="0020710B" w:rsidP="0020710B">
      <w:pPr>
        <w:spacing w:line="360" w:lineRule="auto"/>
        <w:jc w:val="both"/>
        <w:rPr>
          <w:rFonts w:ascii="Arial" w:hAnsi="Arial" w:cs="Arial"/>
          <w:lang w:val="en-GB"/>
        </w:rPr>
      </w:pPr>
    </w:p>
    <w:p w:rsidR="0020710B" w:rsidRPr="0020710B" w:rsidRDefault="0020710B" w:rsidP="0020710B">
      <w:pPr>
        <w:spacing w:line="360" w:lineRule="auto"/>
        <w:jc w:val="both"/>
        <w:rPr>
          <w:rFonts w:ascii="Arial" w:hAnsi="Arial" w:cs="Arial"/>
          <w:lang w:val="en-GB"/>
        </w:rPr>
      </w:pPr>
    </w:p>
    <w:p w:rsidR="0020710B" w:rsidRPr="0020710B" w:rsidRDefault="0020710B" w:rsidP="0020710B">
      <w:pPr>
        <w:spacing w:line="360" w:lineRule="auto"/>
        <w:jc w:val="both"/>
        <w:rPr>
          <w:rFonts w:ascii="Arial" w:hAnsi="Arial" w:cs="Arial"/>
          <w:lang w:val="en-GB"/>
        </w:rPr>
      </w:pPr>
      <w:r w:rsidRPr="0020710B">
        <w:rPr>
          <w:rFonts w:ascii="Arial" w:hAnsi="Arial" w:cs="Arial"/>
        </w:rPr>
        <w:object w:dxaOrig="8442" w:dyaOrig="4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8pt;height:245.95pt" o:ole="">
            <v:imagedata r:id="rId5" o:title=""/>
          </v:shape>
          <o:OLEObject Type="Embed" ProgID="Prism6.Document" ShapeID="_x0000_i1025" DrawAspect="Content" ObjectID="_1678203255" r:id="rId6"/>
        </w:object>
      </w:r>
    </w:p>
    <w:p w:rsidR="0020710B" w:rsidRPr="00D06AD5" w:rsidRDefault="0020710B" w:rsidP="0020710B">
      <w:pPr>
        <w:jc w:val="both"/>
        <w:rPr>
          <w:rFonts w:ascii="Arial" w:hAnsi="Arial" w:cs="Arial"/>
          <w:i/>
          <w:sz w:val="20"/>
          <w:lang w:val="en-GB"/>
        </w:rPr>
      </w:pPr>
      <w:r w:rsidRPr="00D06AD5">
        <w:rPr>
          <w:rFonts w:ascii="Arial" w:hAnsi="Arial" w:cs="Arial"/>
          <w:i/>
          <w:sz w:val="20"/>
          <w:lang w:val="en-GB"/>
        </w:rPr>
        <w:t xml:space="preserve">Figure S2. Mice weight evolution of the different treatment groups. </w:t>
      </w:r>
      <w:r w:rsidR="006576A3" w:rsidRPr="00D06AD5">
        <w:rPr>
          <w:rFonts w:ascii="Arial" w:hAnsi="Arial" w:cs="Arial"/>
          <w:i/>
          <w:sz w:val="20"/>
          <w:lang w:val="en-GB"/>
        </w:rPr>
        <w:t xml:space="preserve">Mice were administered with B16OVA cells subcutaneously. Seven days later mice were divided into different groups: Control, free Dox, LPD, LPD + 28 </w:t>
      </w:r>
      <w:r w:rsidR="006576A3" w:rsidRPr="00D06AD5">
        <w:rPr>
          <w:rFonts w:ascii="Calibri" w:hAnsi="Calibri" w:cs="Arial"/>
          <w:i/>
          <w:sz w:val="20"/>
          <w:lang w:val="en-GB"/>
        </w:rPr>
        <w:t>µ</w:t>
      </w:r>
      <w:r w:rsidR="006576A3" w:rsidRPr="00D06AD5">
        <w:rPr>
          <w:rFonts w:ascii="Arial" w:hAnsi="Arial" w:cs="Arial"/>
          <w:i/>
          <w:sz w:val="20"/>
          <w:lang w:val="en-GB"/>
        </w:rPr>
        <w:t xml:space="preserve">G of free α-PD-L1 and LPF. Three doses of 3 mg/kg of Dox were administered every three days. </w:t>
      </w:r>
      <w:r w:rsidRPr="00D06AD5">
        <w:rPr>
          <w:rFonts w:ascii="Arial" w:hAnsi="Arial" w:cs="Arial"/>
          <w:i/>
          <w:sz w:val="20"/>
          <w:lang w:val="en-GB"/>
        </w:rPr>
        <w:t>Data correspond to the average of individual weight changes of each treatment group. (n=12)</w:t>
      </w:r>
    </w:p>
    <w:p w:rsidR="00C715E0" w:rsidRPr="00D06AD5" w:rsidRDefault="00C715E0" w:rsidP="0020710B">
      <w:pPr>
        <w:jc w:val="both"/>
        <w:rPr>
          <w:rFonts w:ascii="Arial" w:hAnsi="Arial" w:cs="Arial"/>
          <w:i/>
          <w:sz w:val="18"/>
          <w:lang w:val="en-GB"/>
        </w:rPr>
      </w:pPr>
      <w:r w:rsidRPr="00D06AD5">
        <w:rPr>
          <w:rFonts w:ascii="Arial" w:hAnsi="Arial" w:cs="Arial"/>
          <w:i/>
          <w:sz w:val="18"/>
          <w:lang w:val="en-GB"/>
        </w:rPr>
        <w:t>Dox: doxorubicin; LPD: conventional Doxorubicin liposomes; LPF: targeted doxorubicin liposomes</w:t>
      </w:r>
    </w:p>
    <w:p w:rsidR="0020710B" w:rsidRPr="0020710B" w:rsidRDefault="0020710B" w:rsidP="0020710B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eastAsia="Calibri" w:hAnsi="Arial" w:cs="Arial"/>
          <w:sz w:val="22"/>
          <w:szCs w:val="24"/>
          <w:bdr w:val="none" w:sz="0" w:space="0" w:color="auto" w:frame="1"/>
          <w:lang w:val="en-GB" w:eastAsia="en-US"/>
        </w:rPr>
      </w:pPr>
    </w:p>
    <w:p w:rsidR="0020710B" w:rsidRPr="0020710B" w:rsidRDefault="0020710B" w:rsidP="0020710B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eastAsia="Calibri" w:hAnsi="Arial" w:cs="Arial"/>
          <w:sz w:val="22"/>
          <w:szCs w:val="24"/>
          <w:lang w:val="en-US" w:eastAsia="en-US"/>
        </w:rPr>
      </w:pPr>
      <w:r w:rsidRPr="0020710B">
        <w:rPr>
          <w:rFonts w:ascii="Arial" w:eastAsia="Calibri" w:hAnsi="Arial" w:cs="Arial"/>
          <w:noProof/>
        </w:rPr>
        <w:drawing>
          <wp:inline distT="0" distB="0" distL="0" distR="0">
            <wp:extent cx="5400040" cy="3043049"/>
            <wp:effectExtent l="0" t="0" r="0" b="0"/>
            <wp:docPr id="1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AEF" w:rsidRPr="00D06AD5" w:rsidRDefault="0020710B" w:rsidP="0042647F">
      <w:pPr>
        <w:jc w:val="both"/>
        <w:rPr>
          <w:rFonts w:ascii="Arial" w:hAnsi="Arial" w:cs="Arial"/>
          <w:i/>
          <w:sz w:val="20"/>
          <w:lang w:val="en-GB"/>
        </w:rPr>
      </w:pPr>
      <w:r w:rsidRPr="0020710B">
        <w:rPr>
          <w:rFonts w:ascii="Arial" w:hAnsi="Arial" w:cs="Arial"/>
          <w:i/>
          <w:sz w:val="20"/>
          <w:lang w:val="en-GB"/>
        </w:rPr>
        <w:t xml:space="preserve">Figure S3. Ex vivo liposome interaction assay. Bone marrow cells were </w:t>
      </w:r>
      <w:proofErr w:type="spellStart"/>
      <w:r w:rsidRPr="0020710B">
        <w:rPr>
          <w:rFonts w:ascii="Arial" w:hAnsi="Arial" w:cs="Arial"/>
          <w:i/>
          <w:sz w:val="20"/>
          <w:lang w:val="en-GB"/>
        </w:rPr>
        <w:t>differenciated</w:t>
      </w:r>
      <w:proofErr w:type="spellEnd"/>
      <w:r w:rsidRPr="0020710B">
        <w:rPr>
          <w:rFonts w:ascii="Arial" w:hAnsi="Arial" w:cs="Arial"/>
          <w:i/>
          <w:sz w:val="20"/>
          <w:lang w:val="en-GB"/>
        </w:rPr>
        <w:t xml:space="preserve"> to myeloid populations prior to be exposed to </w:t>
      </w:r>
      <w:proofErr w:type="gramStart"/>
      <w:r w:rsidR="006576A3">
        <w:rPr>
          <w:rFonts w:ascii="Arial" w:hAnsi="Arial" w:cs="Arial"/>
          <w:i/>
          <w:sz w:val="20"/>
          <w:lang w:val="en-GB"/>
        </w:rPr>
        <w:t>targeted</w:t>
      </w:r>
      <w:proofErr w:type="gramEnd"/>
      <w:r w:rsidR="006576A3">
        <w:rPr>
          <w:rFonts w:ascii="Arial" w:hAnsi="Arial" w:cs="Arial"/>
          <w:i/>
          <w:sz w:val="20"/>
          <w:lang w:val="en-GB"/>
        </w:rPr>
        <w:t xml:space="preserve"> and non-targeted </w:t>
      </w:r>
      <w:r w:rsidRPr="0020710B">
        <w:rPr>
          <w:rFonts w:ascii="Arial" w:hAnsi="Arial" w:cs="Arial"/>
          <w:i/>
          <w:sz w:val="20"/>
          <w:lang w:val="en-GB"/>
        </w:rPr>
        <w:t>fluorescent liposomes</w:t>
      </w:r>
      <w:r w:rsidR="006576A3">
        <w:rPr>
          <w:rFonts w:ascii="Arial" w:hAnsi="Arial" w:cs="Arial"/>
          <w:i/>
          <w:sz w:val="20"/>
          <w:lang w:val="en-GB"/>
        </w:rPr>
        <w:t xml:space="preserve"> for 4 h</w:t>
      </w:r>
      <w:r w:rsidRPr="0020710B">
        <w:rPr>
          <w:rFonts w:ascii="Arial" w:hAnsi="Arial" w:cs="Arial"/>
          <w:i/>
          <w:sz w:val="20"/>
          <w:lang w:val="en-GB"/>
        </w:rPr>
        <w:t xml:space="preserve">. A) </w:t>
      </w:r>
      <w:proofErr w:type="spellStart"/>
      <w:r w:rsidRPr="00D06AD5">
        <w:rPr>
          <w:rFonts w:ascii="Arial" w:hAnsi="Arial" w:cs="Arial"/>
          <w:i/>
          <w:sz w:val="20"/>
          <w:lang w:val="en-GB"/>
        </w:rPr>
        <w:t>Geomean</w:t>
      </w:r>
      <w:proofErr w:type="spellEnd"/>
      <w:r w:rsidRPr="00D06AD5">
        <w:rPr>
          <w:rFonts w:ascii="Arial" w:hAnsi="Arial" w:cs="Arial"/>
          <w:i/>
          <w:sz w:val="20"/>
          <w:lang w:val="en-GB"/>
        </w:rPr>
        <w:t xml:space="preserve"> fluorescent signal of myeloid cells after be exposed to different lipid amounts of targeted and non-targeted liposomes; B) PD-L1 expression</w:t>
      </w:r>
      <w:r w:rsidR="006576A3" w:rsidRPr="00D06AD5">
        <w:rPr>
          <w:rFonts w:ascii="Arial" w:hAnsi="Arial" w:cs="Arial"/>
          <w:i/>
          <w:sz w:val="20"/>
          <w:lang w:val="en-GB"/>
        </w:rPr>
        <w:t xml:space="preserve"> </w:t>
      </w:r>
      <w:r w:rsidR="0042647F" w:rsidRPr="00D06AD5">
        <w:rPr>
          <w:rFonts w:ascii="Arial" w:hAnsi="Arial" w:cs="Arial"/>
          <w:i/>
          <w:sz w:val="20"/>
          <w:lang w:val="en-GB"/>
        </w:rPr>
        <w:t>of control and treated cells with different lipid amounts of targeted and non-targeted liposomes.</w:t>
      </w:r>
    </w:p>
    <w:p w:rsidR="00C715E0" w:rsidRPr="00D06AD5" w:rsidRDefault="00C715E0" w:rsidP="0042647F">
      <w:pPr>
        <w:jc w:val="both"/>
        <w:rPr>
          <w:rFonts w:ascii="Arial" w:hAnsi="Arial" w:cs="Arial"/>
          <w:sz w:val="22"/>
          <w:lang w:val="en-GB"/>
        </w:rPr>
      </w:pPr>
      <w:r w:rsidRPr="00D06AD5">
        <w:rPr>
          <w:rFonts w:ascii="Arial" w:hAnsi="Arial" w:cs="Arial"/>
          <w:i/>
          <w:sz w:val="18"/>
          <w:lang w:val="en-GB"/>
        </w:rPr>
        <w:t>LP: conventional empty liposomes; LP Fab: targeted empty liposomes</w:t>
      </w:r>
    </w:p>
    <w:sectPr w:rsidR="00C715E0" w:rsidRPr="00D06AD5" w:rsidSect="005D78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B"/>
    <w:rsid w:val="000B72FC"/>
    <w:rsid w:val="0020710B"/>
    <w:rsid w:val="002C5670"/>
    <w:rsid w:val="0042647F"/>
    <w:rsid w:val="005D781E"/>
    <w:rsid w:val="006576A3"/>
    <w:rsid w:val="00893AEF"/>
    <w:rsid w:val="009117AC"/>
    <w:rsid w:val="00924680"/>
    <w:rsid w:val="00B70208"/>
    <w:rsid w:val="00C715E0"/>
    <w:rsid w:val="00D06AD5"/>
    <w:rsid w:val="00D8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DFD04"/>
  <w15:docId w15:val="{C1E67417-E7CF-4248-928E-8306188A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1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0710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10B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Navarra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Maria Jesus Garrido Cid</cp:lastModifiedBy>
  <cp:revision>3</cp:revision>
  <dcterms:created xsi:type="dcterms:W3CDTF">2021-03-24T18:52:00Z</dcterms:created>
  <dcterms:modified xsi:type="dcterms:W3CDTF">2021-03-25T17:48:00Z</dcterms:modified>
</cp:coreProperties>
</file>