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Arial" w:hAnsi="Arial" w:cs="Arial"/>
          <w:szCs w:val="21"/>
        </w:rPr>
      </w:pPr>
      <w:r>
        <w:rPr>
          <w:rFonts w:hint="eastAsia" w:ascii="Arial" w:hAnsi="Arial" w:cs="Arial"/>
          <w:b/>
          <w:bCs/>
          <w:highlight w:val="none"/>
        </w:rPr>
        <w:t>F</w:t>
      </w:r>
      <w:r>
        <w:rPr>
          <w:rFonts w:ascii="Arial" w:hAnsi="Arial" w:cs="Arial"/>
          <w:b/>
          <w:bCs/>
          <w:highlight w:val="none"/>
        </w:rPr>
        <w:t xml:space="preserve">igure S1. </w:t>
      </w:r>
      <w:r>
        <w:rPr>
          <w:rFonts w:ascii="Arial" w:hAnsi="Arial" w:cs="Arial"/>
          <w:highlight w:val="none"/>
        </w:rPr>
        <w:t xml:space="preserve">The hydrated particle size of MS measured by dynamic light scattering (A) </w:t>
      </w:r>
      <w:r>
        <w:rPr>
          <w:rFonts w:hint="eastAsia" w:ascii="Arial" w:hAnsi="Arial" w:cs="Arial"/>
          <w:highlight w:val="none"/>
        </w:rPr>
        <w:t>and</w:t>
      </w:r>
      <w:r>
        <w:rPr>
          <w:rFonts w:ascii="Arial" w:hAnsi="Arial" w:cs="Arial"/>
          <w:highlight w:val="none"/>
        </w:rPr>
        <w:t xml:space="preserve"> </w:t>
      </w:r>
      <w:r>
        <w:rPr>
          <w:rFonts w:hint="eastAsia" w:ascii="Arial" w:hAnsi="Arial" w:cs="Arial"/>
          <w:highlight w:val="none"/>
        </w:rPr>
        <w:t>in</w:t>
      </w:r>
      <w:r>
        <w:rPr>
          <w:rFonts w:ascii="Arial" w:hAnsi="Arial" w:cs="Arial"/>
          <w:highlight w:val="none"/>
        </w:rPr>
        <w:t xml:space="preserve"> </w:t>
      </w:r>
      <w:r>
        <w:rPr>
          <w:rFonts w:hint="eastAsia" w:ascii="Arial" w:hAnsi="Arial" w:cs="Arial"/>
          <w:highlight w:val="none"/>
        </w:rPr>
        <w:t>vitro</w:t>
      </w:r>
      <w:r>
        <w:rPr>
          <w:rFonts w:ascii="Arial" w:hAnsi="Arial" w:cs="Arial"/>
          <w:highlight w:val="none"/>
        </w:rPr>
        <w:t xml:space="preserve"> cytotoxicity </w:t>
      </w:r>
      <w:r>
        <w:rPr>
          <w:rFonts w:hint="eastAsia" w:ascii="Arial" w:hAnsi="Arial" w:cs="Arial"/>
          <w:highlight w:val="none"/>
        </w:rPr>
        <w:t>of</w:t>
      </w:r>
      <w:r>
        <w:rPr>
          <w:rFonts w:ascii="Arial" w:hAnsi="Arial" w:cs="Arial"/>
          <w:highlight w:val="none"/>
        </w:rPr>
        <w:t xml:space="preserve"> HA</w:t>
      </w:r>
      <w:r>
        <w:rPr>
          <w:rFonts w:hint="eastAsia" w:ascii="Arial" w:hAnsi="Arial" w:cs="Arial"/>
          <w:highlight w:val="none"/>
        </w:rPr>
        <w:t>uNS</w:t>
      </w:r>
      <w:r>
        <w:rPr>
          <w:rFonts w:ascii="Arial" w:hAnsi="Arial" w:cs="Arial"/>
          <w:highlight w:val="none"/>
        </w:rPr>
        <w:t>-M</w:t>
      </w:r>
      <w:r>
        <w:rPr>
          <w:rFonts w:hint="eastAsia" w:ascii="Arial" w:hAnsi="Arial" w:cs="Arial"/>
          <w:highlight w:val="none"/>
        </w:rPr>
        <w:t>et@</w:t>
      </w:r>
      <w:r>
        <w:rPr>
          <w:rFonts w:ascii="Arial" w:hAnsi="Arial" w:cs="Arial"/>
          <w:highlight w:val="none"/>
        </w:rPr>
        <w:t xml:space="preserve">MS </w:t>
      </w:r>
      <w:r>
        <w:rPr>
          <w:rFonts w:hint="eastAsia" w:ascii="Arial" w:hAnsi="Arial" w:cs="Arial"/>
          <w:highlight w:val="none"/>
        </w:rPr>
        <w:t>at</w:t>
      </w:r>
      <w:r>
        <w:rPr>
          <w:rFonts w:ascii="Arial" w:hAnsi="Arial" w:cs="Arial"/>
          <w:highlight w:val="none"/>
        </w:rPr>
        <w:t xml:space="preserve"> </w:t>
      </w:r>
      <w:r>
        <w:rPr>
          <w:rFonts w:hint="eastAsia" w:ascii="Arial" w:hAnsi="Arial" w:cs="Arial"/>
          <w:highlight w:val="none"/>
        </w:rPr>
        <w:t>various</w:t>
      </w:r>
      <w:r>
        <w:rPr>
          <w:rFonts w:ascii="Arial" w:hAnsi="Arial" w:cs="Arial"/>
          <w:highlight w:val="none"/>
        </w:rPr>
        <w:t xml:space="preserve"> </w:t>
      </w:r>
      <w:r>
        <w:rPr>
          <w:rFonts w:hint="eastAsia" w:ascii="Arial" w:hAnsi="Arial" w:cs="Arial"/>
          <w:highlight w:val="none"/>
        </w:rPr>
        <w:t>concentration</w:t>
      </w:r>
      <w:r>
        <w:rPr>
          <w:rFonts w:ascii="Arial" w:hAnsi="Arial" w:cs="Arial"/>
          <w:highlight w:val="none"/>
        </w:rPr>
        <w:t>.</w:t>
      </w:r>
      <w:r>
        <w:rPr>
          <w:rFonts w:hint="eastAsia" w:ascii="Arial" w:hAnsi="Arial" w:cs="Arial"/>
          <w:b/>
          <w:bCs/>
        </w:rPr>
        <w:t xml:space="preserve"> F</w:t>
      </w:r>
      <w:r>
        <w:rPr>
          <w:rFonts w:ascii="Arial" w:hAnsi="Arial" w:cs="Arial"/>
          <w:b/>
          <w:bCs/>
        </w:rPr>
        <w:t xml:space="preserve">igure S2. </w:t>
      </w:r>
      <w:r>
        <w:rPr>
          <w:rFonts w:ascii="Arial" w:hAnsi="Arial" w:cs="Arial"/>
        </w:rPr>
        <w:t>The standard curve of Met through HPLC.</w:t>
      </w:r>
      <w:bookmarkStart w:id="0" w:name="OLE_LINK3"/>
      <w:bookmarkStart w:id="1" w:name="OLE_LINK4"/>
      <w:r>
        <w:rPr>
          <w:rFonts w:ascii="Arial" w:hAnsi="Arial" w:cs="Arial"/>
          <w:b/>
          <w:bCs/>
        </w:rPr>
        <w:t>Figure S3.</w:t>
      </w:r>
      <w:r>
        <w:rPr>
          <w:rFonts w:ascii="Arial" w:hAnsi="Arial" w:cs="Arial"/>
        </w:rPr>
        <w:t xml:space="preserve"> Proliferation curve of CD8+T cell.</w:t>
      </w:r>
      <w:r>
        <w:rPr>
          <w:rFonts w:ascii="Arial" w:hAnsi="Arial" w:cs="Arial"/>
          <w:b/>
          <w:bCs/>
        </w:rPr>
        <w:t xml:space="preserve">Figure S4. </w:t>
      </w:r>
      <w:r>
        <w:rPr>
          <w:rFonts w:ascii="Arial" w:hAnsi="Arial" w:cs="Arial"/>
        </w:rPr>
        <w:t>(A) IC50 of free 2DG, Met and 2DG plus Met on B16F10 cells. (B) Cell viability of B16F10 after being incubated with free 2DG and Met at different concentration.</w:t>
      </w:r>
      <w:r>
        <w:rPr>
          <w:rFonts w:ascii="Arial" w:hAnsi="Arial" w:cs="Arial"/>
          <w:b/>
          <w:bCs/>
        </w:rPr>
        <w:t>Figure S5.</w:t>
      </w:r>
      <w:r>
        <w:rPr>
          <w:rFonts w:ascii="Arial" w:hAnsi="Arial" w:cs="Arial"/>
        </w:rPr>
        <w:t xml:space="preserve"> Mitochondrial membrane potential fluorescence of B16F10 tumor cells</w:t>
      </w:r>
      <w:r>
        <w:rPr>
          <w:rFonts w:hint="eastAsia" w:ascii="Arial" w:hAnsi="Arial" w:cs="Arial"/>
          <w:lang w:val="en-US" w:eastAsia="zh-CN"/>
        </w:rPr>
        <w:t>.</w:t>
      </w:r>
      <w:r>
        <w:rPr>
          <w:rFonts w:ascii="Arial" w:hAnsi="Arial" w:cs="Arial"/>
          <w:b/>
          <w:bCs/>
        </w:rPr>
        <w:t>Figure S6.</w:t>
      </w:r>
      <w:r>
        <w:rPr>
          <w:rFonts w:ascii="Arial" w:hAnsi="Arial" w:cs="Arial"/>
        </w:rPr>
        <w:t xml:space="preserve"> （A）</w:t>
      </w:r>
      <w:bookmarkStart w:id="2" w:name="OLE_LINK1"/>
      <w:bookmarkStart w:id="3" w:name="OLE_LINK2"/>
      <w:r>
        <w:rPr>
          <w:rFonts w:ascii="Arial" w:hAnsi="Arial" w:cs="Arial"/>
        </w:rPr>
        <w:t xml:space="preserve">Mitochondrial membrane potential fluorescence </w:t>
      </w:r>
      <w:bookmarkEnd w:id="2"/>
      <w:bookmarkEnd w:id="3"/>
      <w:r>
        <w:rPr>
          <w:rFonts w:ascii="Arial" w:hAnsi="Arial" w:cs="Arial"/>
        </w:rPr>
        <w:t>of EG7-OVA tumor cells. (B) Flow cytometry plot of mitochondrial membrane potential fluorescence. (C) Quantification based on (B)</w:t>
      </w:r>
      <w:r>
        <w:rPr>
          <w:rFonts w:hint="eastAsia" w:ascii="Arial" w:hAnsi="Arial" w:cs="Arial"/>
          <w:lang w:val="en-US" w:eastAsia="zh-CN"/>
        </w:rPr>
        <w:t>.</w:t>
      </w:r>
      <w:r>
        <w:rPr>
          <w:rFonts w:ascii="Arial" w:hAnsi="Arial" w:cs="Arial"/>
          <w:b/>
          <w:bCs/>
        </w:rPr>
        <w:t>Figure S</w:t>
      </w:r>
      <w:r>
        <w:rPr>
          <w:rFonts w:hint="eastAsia"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eastAsia="宋体" w:cs="Arial"/>
          <w:lang w:bidi="ar"/>
        </w:rPr>
        <w:t>Representative flow cytometry plots (A) and quantification (B) of apoptosis rates of EG7-OVA cells.</w:t>
      </w:r>
      <w:r>
        <w:rPr>
          <w:rFonts w:ascii="Arial" w:hAnsi="Arial" w:cs="Arial"/>
          <w:b/>
          <w:bCs/>
        </w:rPr>
        <w:t>Figure S8.</w:t>
      </w:r>
      <w:r>
        <w:rPr>
          <w:rFonts w:ascii="Arial" w:hAnsi="Arial" w:eastAsia="宋体" w:cs="Arial"/>
          <w:lang w:bidi="ar"/>
        </w:rPr>
        <w:t xml:space="preserve"> Flow cytometry analysis of DC maturation by analyzing CD11c+MHCI+ DCs.</w:t>
      </w:r>
      <w:r>
        <w:rPr>
          <w:rFonts w:ascii="Arial" w:hAnsi="Arial" w:cs="Arial"/>
          <w:b/>
          <w:bCs/>
        </w:rPr>
        <w:t>Figure S9.</w:t>
      </w:r>
      <w:r>
        <w:rPr>
          <w:rFonts w:ascii="Arial" w:hAnsi="Arial" w:cs="Arial"/>
        </w:rPr>
        <w:t xml:space="preserve"> H&amp;E staining of skin, lymph nodes, and tumor tissues isolated from B16F10 tumor bearing mice, the red arrows indicate areas of inflammation.</w:t>
      </w:r>
      <w:r>
        <w:rPr>
          <w:rFonts w:hint="eastAsia" w:ascii="Arial" w:hAnsi="Arial" w:cs="Arial"/>
          <w:lang w:val="en-US" w:eastAsia="zh-CN"/>
        </w:rPr>
        <w:t xml:space="preserve"> </w:t>
      </w:r>
      <w:r>
        <w:rPr>
          <w:rFonts w:ascii="Arial" w:hAnsi="Arial" w:cs="Arial"/>
          <w:b/>
          <w:bCs/>
        </w:rPr>
        <w:t>Figure S10.</w:t>
      </w:r>
      <w:r>
        <w:rPr>
          <w:rFonts w:ascii="Arial" w:hAnsi="Arial" w:cs="Arial"/>
        </w:rPr>
        <w:t xml:space="preserve"> Treatment and administration strategy</w:t>
      </w:r>
      <w:r>
        <w:rPr>
          <w:rFonts w:hint="eastAsia" w:ascii="Arial" w:hAnsi="Arial" w:cs="Arial"/>
          <w:lang w:val="en-US" w:eastAsia="zh-CN"/>
        </w:rPr>
        <w:t>.</w:t>
      </w:r>
      <w:r>
        <w:rPr>
          <w:rFonts w:ascii="Arial" w:hAnsi="Arial" w:cs="Arial"/>
          <w:b/>
          <w:bCs/>
        </w:rPr>
        <w:t>Figure S11</w:t>
      </w:r>
      <w:r>
        <w:rPr>
          <w:rFonts w:ascii="Arial" w:hAnsi="Arial" w:cs="Arial"/>
        </w:rPr>
        <w:t>. (A) Flow cytometry plots of DC and OVA-specific DC in lymph nodes of EG7-OVA mice, (B) Quantification of flow cytometry based on (A).</w:t>
      </w:r>
      <w:r>
        <w:rPr>
          <w:rFonts w:ascii="Arial" w:hAnsi="Arial" w:cs="Arial"/>
          <w:b/>
          <w:bCs/>
        </w:rPr>
        <w:t>Figure S12</w:t>
      </w:r>
      <w:r>
        <w:rPr>
          <w:rFonts w:ascii="Arial" w:hAnsi="Arial" w:cs="Arial"/>
        </w:rPr>
        <w:t xml:space="preserve">.Fow cytometry of lymphocytes (A), CD3+T (B) and CD3+CD8+T cells (C) in lymph nodes of EG7-OVA mice. </w:t>
      </w:r>
      <w:r>
        <w:rPr>
          <w:rFonts w:ascii="Arial" w:hAnsi="Arial" w:cs="Arial"/>
          <w:b/>
          <w:bCs/>
        </w:rPr>
        <w:t xml:space="preserve">Figure S13. </w:t>
      </w:r>
      <w:r>
        <w:rPr>
          <w:rFonts w:ascii="Arial" w:hAnsi="Arial" w:cs="Arial"/>
        </w:rPr>
        <w:t xml:space="preserve">Flow cytometry plots of OVA-specific CD8+T cells in lymph nodes (A), PBMC (B) and spleen (C) of EG7-OVA mice. </w:t>
      </w:r>
      <w:r>
        <w:rPr>
          <w:rFonts w:ascii="Arial" w:hAnsi="Arial" w:cs="Arial"/>
          <w:b/>
          <w:bCs/>
        </w:rPr>
        <w:t>Figure S14.</w:t>
      </w:r>
      <w:r>
        <w:rPr>
          <w:rFonts w:ascii="Arial" w:hAnsi="Arial" w:cs="Arial"/>
        </w:rPr>
        <w:t xml:space="preserve"> Flow cytometry</w:t>
      </w:r>
      <w:r>
        <w:rPr>
          <w:rFonts w:hint="eastAsia" w:ascii="Arial" w:hAnsi="Arial" w:cs="Arial"/>
        </w:rPr>
        <w:t xml:space="preserve"> </w:t>
      </w:r>
      <w:r>
        <w:rPr>
          <w:rFonts w:ascii="Arial" w:hAnsi="Arial" w:cs="Arial"/>
        </w:rPr>
        <w:t xml:space="preserve">of CD3+T cells in tumor of EG7-OVA mice. </w:t>
      </w:r>
      <w:r>
        <w:rPr>
          <w:rFonts w:ascii="Arial" w:hAnsi="Arial" w:cs="Arial"/>
          <w:b/>
          <w:bCs/>
        </w:rPr>
        <w:t>Figure S15.</w:t>
      </w:r>
      <w:r>
        <w:t xml:space="preserve"> </w:t>
      </w:r>
      <w:r>
        <w:rPr>
          <w:rFonts w:ascii="Arial" w:hAnsi="Arial" w:cs="Arial"/>
        </w:rPr>
        <w:t>EG7-OVA tumor model on C57 mice.</w:t>
      </w:r>
      <w:r>
        <w:rPr>
          <w:rFonts w:ascii="Arial" w:hAnsi="Arial" w:cs="Arial"/>
          <w:b/>
          <w:bCs/>
        </w:rPr>
        <w:t xml:space="preserve">Figure S16. </w:t>
      </w:r>
      <w:r>
        <w:rPr>
          <w:rFonts w:ascii="Arial" w:hAnsi="Arial" w:cs="Arial"/>
        </w:rPr>
        <w:t>B16F10 tumor model on C57 mice.</w:t>
      </w:r>
      <w:r>
        <w:rPr>
          <w:rFonts w:ascii="Arial" w:hAnsi="Arial" w:cs="Arial"/>
          <w:b/>
          <w:bCs/>
        </w:rPr>
        <w:t xml:space="preserve">Figure S17. </w:t>
      </w:r>
      <w:r>
        <w:rPr>
          <w:rFonts w:ascii="Arial" w:hAnsi="Arial" w:cs="Arial"/>
        </w:rPr>
        <w:t>H&amp;E assays of tumor cells in the MS (+) NIR plus 2DG group.</w:t>
      </w:r>
      <w:r>
        <w:rPr>
          <w:rFonts w:ascii="Arial" w:hAnsi="Arial" w:cs="Arial"/>
          <w:b/>
          <w:bCs/>
        </w:rPr>
        <w:t>Figure S18.</w:t>
      </w:r>
      <w:r>
        <w:rPr>
          <w:rFonts w:ascii="Arial" w:hAnsi="Arial" w:cs="Arial"/>
        </w:rPr>
        <w:t xml:space="preserve"> Flow cytometry plots of CD8+ T cells in LNs, spleen and PBMCs after different treatments.</w:t>
      </w:r>
      <w:r>
        <w:rPr>
          <w:rFonts w:ascii="Arial" w:hAnsi="Arial" w:cs="Arial"/>
          <w:b/>
          <w:bCs/>
          <w:szCs w:val="21"/>
        </w:rPr>
        <w:t>Figure S19.</w:t>
      </w:r>
      <w:r>
        <w:rPr>
          <w:rFonts w:ascii="Arial" w:hAnsi="Arial" w:cs="Arial"/>
          <w:szCs w:val="21"/>
        </w:rPr>
        <w:t xml:space="preserve"> Immunofluorescence images of Treg cells and functional CD8+T cells infiltrated tumor sections after different treatments (A); (B) Quantitation of Treg cells based on flow cytometry; (C) Quantitation of Treg cells based on immunofluorescence images.</w:t>
      </w:r>
    </w:p>
    <w:p>
      <w:pPr>
        <w:spacing w:line="360" w:lineRule="auto"/>
        <w:rPr>
          <w:rFonts w:ascii="Arial" w:hAnsi="Arial" w:cs="Arial"/>
        </w:rPr>
      </w:pPr>
      <w:bookmarkStart w:id="4" w:name="_GoBack"/>
      <w:bookmarkEnd w:id="4"/>
    </w:p>
    <w:p>
      <w:pPr>
        <w:spacing w:line="360" w:lineRule="auto"/>
        <w:rPr>
          <w:rFonts w:ascii="Arial" w:hAnsi="Arial" w:cs="Arial"/>
        </w:rPr>
      </w:pPr>
    </w:p>
    <w:p>
      <w:pPr>
        <w:spacing w:line="360" w:lineRule="auto"/>
        <w:rPr>
          <w:rFonts w:ascii="Arial" w:hAnsi="Arial" w:cs="Arial"/>
          <w:b/>
          <w:bCs/>
        </w:rPr>
      </w:pPr>
    </w:p>
    <w:p>
      <w:pPr>
        <w:spacing w:line="360" w:lineRule="auto"/>
        <w:rPr>
          <w:rFonts w:ascii="Arial" w:hAnsi="Arial" w:cs="Arial"/>
        </w:rPr>
      </w:pPr>
    </w:p>
    <w:p>
      <w:pPr>
        <w:spacing w:line="360" w:lineRule="auto"/>
        <w:rPr>
          <w:rFonts w:ascii="Arial" w:hAnsi="Arial" w:cs="Arial"/>
        </w:rPr>
      </w:pPr>
    </w:p>
    <w:p>
      <w:pPr>
        <w:spacing w:line="360" w:lineRule="auto"/>
        <w:rPr>
          <w:rFonts w:ascii="Arial" w:hAnsi="Arial" w:cs="Arial"/>
        </w:rPr>
      </w:pPr>
    </w:p>
    <w:p>
      <w:pPr>
        <w:spacing w:line="360" w:lineRule="auto"/>
        <w:rPr>
          <w:rFonts w:hint="eastAsia" w:ascii="Arial" w:hAnsi="Arial" w:cs="Arial" w:eastAsiaTheme="minorEastAsia"/>
          <w:lang w:val="en-US" w:eastAsia="zh-CN"/>
        </w:rPr>
      </w:pPr>
    </w:p>
    <w:p>
      <w:pPr>
        <w:spacing w:line="360" w:lineRule="auto"/>
        <w:rPr>
          <w:rFonts w:ascii="Arial" w:hAnsi="Arial" w:cs="Arial"/>
        </w:rPr>
      </w:pPr>
    </w:p>
    <w:p>
      <w:pPr>
        <w:spacing w:line="360" w:lineRule="auto"/>
        <w:rPr>
          <w:rFonts w:ascii="Arial" w:hAnsi="Arial" w:cs="Arial"/>
          <w:b/>
          <w:bCs/>
        </w:rPr>
      </w:pPr>
    </w:p>
    <w:p>
      <w:pPr>
        <w:spacing w:line="360" w:lineRule="auto"/>
        <w:rPr>
          <w:rFonts w:ascii="Arial" w:hAnsi="Arial" w:cs="Arial"/>
        </w:rPr>
      </w:pPr>
    </w:p>
    <w:p>
      <w:pPr>
        <w:spacing w:line="360" w:lineRule="auto"/>
        <w:rPr>
          <w:rFonts w:hint="eastAsia" w:ascii="Arial" w:hAnsi="Arial" w:cs="Arial" w:eastAsiaTheme="minorEastAsia"/>
          <w:b/>
          <w:bCs/>
          <w:lang w:val="en-US" w:eastAsia="zh-CN"/>
        </w:rPr>
      </w:pPr>
    </w:p>
    <w:p>
      <w:pPr>
        <w:spacing w:line="360" w:lineRule="auto"/>
        <w:rPr>
          <w:rFonts w:hint="eastAsia" w:ascii="Arial" w:hAnsi="Arial" w:cs="Arial" w:eastAsiaTheme="minorEastAsia"/>
          <w:lang w:val="en-US" w:eastAsia="zh-CN"/>
        </w:rPr>
      </w:pP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</w:p>
    <w:bookmarkEnd w:id="0"/>
    <w:bookmarkEnd w:id="1"/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C22197"/>
    <w:rsid w:val="7DC2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2021-09-27T08:29:00Z</dcterms:created>
  <dc:creator>llh</dc:creator>
  <cp:lastModifiedBy>llh</cp:lastModifiedBy>
  <dcterms:modified xsi:type="dcterms:W3CDTF">2021-09-27T08:32:32Z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E0D5B3EFCEBF409DAAEA54ED57384E06</vt:lpwstr>
  </property>
</Properties>
</file>