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Supplementary material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3813175" cy="2651760"/>
            <wp:effectExtent l="0" t="0" r="12065" b="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317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cs="Times New Roman"/>
          <w:b/>
          <w:bCs w:val="0"/>
          <w:kern w:val="2"/>
          <w:sz w:val="21"/>
          <w:szCs w:val="21"/>
          <w:lang w:val="en-US" w:eastAsia="zh-CN" w:bidi="ar"/>
        </w:rPr>
        <w:t>Fig.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 S1</w:t>
      </w:r>
      <w:r>
        <w:rPr>
          <w:rFonts w:hint="eastAsia" w:cs="Times New Roman"/>
          <w:b/>
          <w:bCs w:val="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cs="Times New Roman"/>
          <w:b w:val="0"/>
          <w:bCs/>
          <w:kern w:val="2"/>
          <w:sz w:val="21"/>
          <w:szCs w:val="21"/>
          <w:lang w:val="en-US" w:eastAsia="zh-CN" w:bidi="ar"/>
        </w:rPr>
        <w:t>Stability of (SFN+TPL)@LCNPs and (SFN+TPL)@CPLCNPs in plasma (n=3)</w:t>
      </w:r>
    </w:p>
    <w:p>
      <w:pPr>
        <w:spacing w:line="360" w:lineRule="auto"/>
        <w:ind w:firstLine="240" w:firstLineChars="100"/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</w:pPr>
      <w:r>
        <w:rPr>
          <w:rFonts w:hint="eastAsia"/>
          <w:sz w:val="24"/>
          <w:szCs w:val="24"/>
          <w:lang w:val="en-US" w:eastAsia="zh-CN"/>
        </w:rPr>
        <w:t>As shown in Fig. S1, the particle size of (SFN+TPL)@LCNPs and (SFN+TPL)@CPLCNPs did not change significantly after 72 h in plasma, and still remained stable, indicating that</w:t>
      </w:r>
      <w:bookmarkStart w:id="1" w:name="_GoBack"/>
      <w:bookmarkStart w:id="0" w:name="OLE_LINK1"/>
      <w:r>
        <w:rPr>
          <w:rFonts w:hint="eastAsia"/>
          <w:sz w:val="24"/>
          <w:szCs w:val="24"/>
          <w:lang w:val="en-US" w:eastAsia="zh-CN"/>
        </w:rPr>
        <w:t xml:space="preserve"> the preparation had good stability </w:t>
      </w:r>
      <w:bookmarkEnd w:id="1"/>
      <w:bookmarkEnd w:id="0"/>
      <w:r>
        <w:rPr>
          <w:rFonts w:hint="eastAsia"/>
          <w:sz w:val="24"/>
          <w:szCs w:val="24"/>
          <w:lang w:val="en-US" w:eastAsia="zh-CN"/>
        </w:rPr>
        <w:t>and no precipitation or aggregation occurred in.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Table </w:t>
      </w: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val="en-US" w:eastAsia="zh-CN" w:bidi="ar"/>
        </w:rPr>
        <w:t>S1.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The concentrations of SFN and TPL at a 50% inhibition rate against Huh-7 cells for different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combinations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and the corresponding CI (n=3)</w:t>
      </w:r>
    </w:p>
    <w:tbl>
      <w:tblPr>
        <w:tblStyle w:val="2"/>
        <w:tblpPr w:leftFromText="180" w:rightFromText="180" w:vertAnchor="text" w:horzAnchor="page" w:tblpX="1769" w:tblpY="250"/>
        <w:tblOverlap w:val="never"/>
        <w:tblW w:w="854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5"/>
        <w:gridCol w:w="2684"/>
        <w:gridCol w:w="2433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F</w:t>
            </w:r>
            <w:r>
              <w:rPr>
                <w:rFonts w:hint="eastAsia"/>
                <w:bCs/>
                <w:sz w:val="20"/>
                <w:szCs w:val="20"/>
              </w:rPr>
              <w:t>or</w:t>
            </w:r>
            <w:r>
              <w:rPr>
                <w:rFonts w:hint="default"/>
                <w:bCs/>
                <w:sz w:val="20"/>
                <w:szCs w:val="20"/>
              </w:rPr>
              <w:t>mulations</w:t>
            </w:r>
          </w:p>
        </w:tc>
        <w:tc>
          <w:tcPr>
            <w:tcW w:w="2684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 xml:space="preserve">Concentration of 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 xml:space="preserve">SFN </w:t>
            </w:r>
            <w:r>
              <w:rPr>
                <w:rFonts w:hint="default"/>
                <w:bCs/>
                <w:sz w:val="20"/>
                <w:szCs w:val="20"/>
              </w:rPr>
              <w:t>(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n</w:t>
            </w:r>
            <w:r>
              <w:rPr>
                <w:rFonts w:hint="default"/>
                <w:bCs/>
                <w:sz w:val="20"/>
                <w:szCs w:val="20"/>
              </w:rPr>
              <w:t>M)</w:t>
            </w:r>
          </w:p>
        </w:tc>
        <w:tc>
          <w:tcPr>
            <w:tcW w:w="2433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Concentration of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 xml:space="preserve"> TPL</w:t>
            </w:r>
            <w:r>
              <w:rPr>
                <w:rFonts w:hint="default"/>
                <w:bCs/>
                <w:sz w:val="20"/>
                <w:szCs w:val="20"/>
              </w:rPr>
              <w:t xml:space="preserve"> (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n</w:t>
            </w:r>
            <w:r>
              <w:rPr>
                <w:rFonts w:hint="default"/>
                <w:bCs/>
                <w:sz w:val="20"/>
                <w:szCs w:val="20"/>
              </w:rPr>
              <w:t>M)</w:t>
            </w:r>
          </w:p>
        </w:tc>
        <w:tc>
          <w:tcPr>
            <w:tcW w:w="851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CI</w:t>
            </w:r>
            <w:r>
              <w:rPr>
                <w:rFonts w:hint="default"/>
                <w:bCs/>
                <w:sz w:val="20"/>
                <w:szCs w:val="20"/>
                <w:vertAlign w:val="subscript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vMerge w:val="continue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</w:rPr>
            </w:pPr>
          </w:p>
        </w:tc>
        <w:tc>
          <w:tcPr>
            <w:tcW w:w="2684" w:type="dxa"/>
            <w:vMerge w:val="continue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</w:rPr>
            </w:pPr>
          </w:p>
        </w:tc>
        <w:tc>
          <w:tcPr>
            <w:tcW w:w="2433" w:type="dxa"/>
            <w:vMerge w:val="continue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Free SFN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8797.41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Free TPL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13.06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SFN:TPL=1:1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69.84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69.84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5.36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SFN:TPL=5:1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124.15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25.23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1.95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SFN:TPL=10:1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71.67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7.17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0.56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SFN:TPL=15:1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180.88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12.06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0.94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SFN:TPL=25:1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406.58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16.26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1.29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SFN:TPL=40:1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5511.98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137.80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11.18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57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SFN:TPL=50:1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715.46 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14.31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 xml:space="preserve">1.18 </w:t>
            </w:r>
          </w:p>
        </w:tc>
      </w:tr>
    </w:tbl>
    <w:p>
      <w:pPr>
        <w:jc w:val="both"/>
        <w:rPr>
          <w:rFonts w:hint="default" w:ascii="Times New Roman" w:hAnsi="Times New Roman" w:eastAsia="宋体" w:cs="Times New Roman"/>
          <w:b/>
          <w:sz w:val="20"/>
          <w:szCs w:val="20"/>
        </w:rPr>
      </w:pPr>
    </w:p>
    <w:p>
      <w:pPr>
        <w:spacing w:line="360" w:lineRule="auto"/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When the </w:t>
      </w:r>
      <w:r>
        <w:rPr>
          <w:rFonts w:hint="eastAsia"/>
          <w:sz w:val="24"/>
          <w:szCs w:val="24"/>
        </w:rPr>
        <w:t>molar ratio</w:t>
      </w:r>
      <w:r>
        <w:rPr>
          <w:rFonts w:hint="eastAsia"/>
          <w:sz w:val="24"/>
          <w:szCs w:val="24"/>
          <w:lang w:val="en-US" w:eastAsia="zh-CN"/>
        </w:rPr>
        <w:t xml:space="preserve"> of SFN and TPL was at 10:1, the CI</w:t>
      </w:r>
      <w:r>
        <w:rPr>
          <w:rFonts w:hint="eastAsia"/>
          <w:sz w:val="24"/>
          <w:szCs w:val="24"/>
          <w:vertAlign w:val="subscript"/>
          <w:lang w:val="en-US" w:eastAsia="zh-CN"/>
        </w:rPr>
        <w:t>50</w:t>
      </w:r>
      <w:r>
        <w:rPr>
          <w:rFonts w:hint="eastAsia"/>
          <w:sz w:val="24"/>
          <w:szCs w:val="24"/>
          <w:lang w:val="en-US" w:eastAsia="zh-CN"/>
        </w:rPr>
        <w:t xml:space="preserve"> was lowest. As a result, </w:t>
      </w:r>
      <w:r>
        <w:rPr>
          <w:rFonts w:hint="eastAsia"/>
          <w:sz w:val="24"/>
          <w:szCs w:val="24"/>
        </w:rPr>
        <w:t>SFN and TPL with molar ratio at 10:1 was selected as best drug combination for the treatment of HCC</w:t>
      </w:r>
      <w:r>
        <w:rPr>
          <w:rFonts w:hint="eastAsia"/>
          <w:sz w:val="24"/>
          <w:szCs w:val="24"/>
          <w:lang w:val="en-US" w:eastAsia="zh-CN"/>
        </w:rPr>
        <w:t xml:space="preserve">.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5F46CB0"/>
    <w:rsid w:val="23F63167"/>
    <w:rsid w:val="282C71E6"/>
    <w:rsid w:val="2F4269B5"/>
    <w:rsid w:val="313B5954"/>
    <w:rsid w:val="3A936BCB"/>
    <w:rsid w:val="421D0149"/>
    <w:rsid w:val="6E5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2021-04-27T06:58:00Z</dcterms:created>
  <dc:creator>黎哲</dc:creator>
  <cp:lastModifiedBy>黎哲</cp:lastModifiedBy>
  <dcterms:modified xsi:type="dcterms:W3CDTF">2021-09-15T08:59:36Z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193AFA44647F439DA2294A39A736F96F</vt:lpwstr>
  </property>
</Properties>
</file>