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87A424" w14:textId="0CEE4F43" w:rsidR="00DE1213" w:rsidRPr="00AF184B" w:rsidRDefault="006A1702" w:rsidP="00DE1213">
      <w:pPr>
        <w:snapToGrid w:val="0"/>
        <w:spacing w:line="360" w:lineRule="auto"/>
        <w:jc w:val="center"/>
        <w:rPr>
          <w:b/>
          <w:color w:val="000000" w:themeColor="text1"/>
          <w:sz w:val="28"/>
          <w:szCs w:val="28"/>
        </w:rPr>
      </w:pPr>
      <w:bookmarkStart w:id="0" w:name="_Hlk79135448"/>
      <w:bookmarkStart w:id="1" w:name="_Hlk79135379"/>
      <w:bookmarkStart w:id="2" w:name="_Hlk78738710"/>
      <w:r>
        <w:rPr>
          <w:b/>
          <w:color w:val="000000" w:themeColor="text1"/>
          <w:sz w:val="28"/>
          <w:szCs w:val="28"/>
        </w:rPr>
        <w:t>Additional</w:t>
      </w:r>
      <w:bookmarkStart w:id="3" w:name="_GoBack"/>
      <w:bookmarkEnd w:id="3"/>
      <w:r w:rsidR="00DE1213" w:rsidRPr="00AF184B">
        <w:rPr>
          <w:b/>
          <w:color w:val="000000" w:themeColor="text1"/>
          <w:sz w:val="28"/>
          <w:szCs w:val="28"/>
        </w:rPr>
        <w:t xml:space="preserve"> Materials and Methods</w:t>
      </w:r>
    </w:p>
    <w:p w14:paraId="2638BB08" w14:textId="31FF36FC" w:rsidR="001F5CF9" w:rsidRPr="00DE1213" w:rsidRDefault="00FB5834" w:rsidP="00C13AC1">
      <w:pPr>
        <w:spacing w:after="240"/>
        <w:jc w:val="center"/>
        <w:rPr>
          <w:b/>
          <w:color w:val="000000" w:themeColor="text1"/>
          <w:sz w:val="28"/>
          <w:szCs w:val="28"/>
        </w:rPr>
      </w:pPr>
      <w:r w:rsidRPr="00DE1213">
        <w:rPr>
          <w:b/>
          <w:color w:val="000000" w:themeColor="text1"/>
          <w:sz w:val="28"/>
          <w:szCs w:val="28"/>
        </w:rPr>
        <w:t xml:space="preserve">Prodrug polymeric micelles </w:t>
      </w:r>
      <w:bookmarkEnd w:id="0"/>
      <w:bookmarkEnd w:id="1"/>
      <w:r w:rsidRPr="00DE1213">
        <w:rPr>
          <w:b/>
          <w:color w:val="000000" w:themeColor="text1"/>
          <w:sz w:val="28"/>
          <w:szCs w:val="28"/>
        </w:rPr>
        <w:t xml:space="preserve">integrating </w:t>
      </w:r>
      <w:bookmarkStart w:id="4" w:name="_Hlk83557222"/>
      <w:bookmarkStart w:id="5" w:name="_Hlk79134626"/>
      <w:r w:rsidRPr="00DE1213">
        <w:rPr>
          <w:b/>
          <w:color w:val="000000" w:themeColor="text1"/>
          <w:sz w:val="28"/>
          <w:szCs w:val="28"/>
        </w:rPr>
        <w:t>cancer-associated fibroblasts deactivation</w:t>
      </w:r>
      <w:bookmarkEnd w:id="4"/>
      <w:r w:rsidRPr="00DE1213">
        <w:rPr>
          <w:b/>
          <w:color w:val="000000" w:themeColor="text1"/>
          <w:sz w:val="28"/>
          <w:szCs w:val="28"/>
        </w:rPr>
        <w:t xml:space="preserve"> and synergistic chemotherapy </w:t>
      </w:r>
      <w:bookmarkEnd w:id="5"/>
      <w:r w:rsidRPr="00DE1213">
        <w:rPr>
          <w:b/>
          <w:color w:val="000000" w:themeColor="text1"/>
          <w:sz w:val="28"/>
          <w:szCs w:val="28"/>
        </w:rPr>
        <w:t>for gastric cancer</w:t>
      </w:r>
      <w:bookmarkEnd w:id="2"/>
    </w:p>
    <w:p w14:paraId="3D7FE2CF" w14:textId="4F1CFD92" w:rsidR="009B6EC3" w:rsidRPr="00AF184B" w:rsidRDefault="009B6EC3" w:rsidP="009B6EC3">
      <w:pPr>
        <w:rPr>
          <w:color w:val="000000" w:themeColor="text1"/>
          <w:sz w:val="22"/>
          <w:szCs w:val="28"/>
        </w:rPr>
      </w:pPr>
      <w:r w:rsidRPr="00AF184B">
        <w:rPr>
          <w:color w:val="000000" w:themeColor="text1"/>
          <w:sz w:val="22"/>
          <w:szCs w:val="28"/>
        </w:rPr>
        <w:t>Sheng Zheng</w:t>
      </w:r>
      <w:r w:rsidRPr="00AF184B">
        <w:rPr>
          <w:color w:val="000000" w:themeColor="text1"/>
          <w:sz w:val="22"/>
          <w:szCs w:val="28"/>
          <w:vertAlign w:val="superscript"/>
        </w:rPr>
        <w:t>1,3,4,</w:t>
      </w:r>
      <w:r w:rsidRPr="00AF184B">
        <w:rPr>
          <w:color w:val="000000" w:themeColor="text1"/>
          <w:sz w:val="20"/>
          <w:szCs w:val="20"/>
          <w:vertAlign w:val="superscript"/>
          <w:lang w:val="en-GB"/>
        </w:rPr>
        <w:t>#</w:t>
      </w:r>
      <w:r w:rsidRPr="00AF184B">
        <w:rPr>
          <w:color w:val="000000" w:themeColor="text1"/>
          <w:sz w:val="22"/>
          <w:szCs w:val="28"/>
        </w:rPr>
        <w:t>, Jiafeng Wang</w:t>
      </w:r>
      <w:r w:rsidRPr="00AF184B">
        <w:rPr>
          <w:color w:val="000000" w:themeColor="text1"/>
          <w:sz w:val="22"/>
          <w:szCs w:val="28"/>
          <w:vertAlign w:val="superscript"/>
        </w:rPr>
        <w:t>2,4,</w:t>
      </w:r>
      <w:r w:rsidRPr="00AF184B">
        <w:rPr>
          <w:color w:val="000000" w:themeColor="text1"/>
          <w:sz w:val="20"/>
          <w:szCs w:val="20"/>
          <w:vertAlign w:val="superscript"/>
          <w:lang w:val="en-GB"/>
        </w:rPr>
        <w:t>#</w:t>
      </w:r>
      <w:r w:rsidRPr="00AF184B">
        <w:rPr>
          <w:color w:val="000000" w:themeColor="text1"/>
          <w:sz w:val="22"/>
          <w:szCs w:val="28"/>
        </w:rPr>
        <w:t>, Ning Ding</w:t>
      </w:r>
      <w:r w:rsidRPr="00AF184B">
        <w:rPr>
          <w:color w:val="000000" w:themeColor="text1"/>
          <w:sz w:val="22"/>
          <w:szCs w:val="28"/>
          <w:vertAlign w:val="superscript"/>
        </w:rPr>
        <w:t>1,3,4</w:t>
      </w:r>
      <w:r w:rsidRPr="00AF184B">
        <w:rPr>
          <w:color w:val="000000" w:themeColor="text1"/>
          <w:sz w:val="22"/>
          <w:szCs w:val="28"/>
        </w:rPr>
        <w:t>, Wenwen Chen</w:t>
      </w:r>
      <w:r w:rsidRPr="00AF184B">
        <w:rPr>
          <w:color w:val="000000" w:themeColor="text1"/>
          <w:sz w:val="22"/>
          <w:szCs w:val="28"/>
          <w:vertAlign w:val="superscript"/>
        </w:rPr>
        <w:t>1,3,4</w:t>
      </w:r>
      <w:r w:rsidRPr="00AF184B">
        <w:rPr>
          <w:color w:val="000000" w:themeColor="text1"/>
          <w:sz w:val="22"/>
          <w:szCs w:val="28"/>
        </w:rPr>
        <w:t>, Hongda Chen</w:t>
      </w:r>
      <w:r w:rsidRPr="00AF184B">
        <w:rPr>
          <w:color w:val="000000" w:themeColor="text1"/>
          <w:sz w:val="22"/>
          <w:szCs w:val="28"/>
          <w:vertAlign w:val="superscript"/>
        </w:rPr>
        <w:t>2,4</w:t>
      </w:r>
      <w:r w:rsidRPr="00AF184B">
        <w:rPr>
          <w:color w:val="000000" w:themeColor="text1"/>
          <w:sz w:val="22"/>
          <w:szCs w:val="28"/>
        </w:rPr>
        <w:t>, Meng Xue</w:t>
      </w:r>
      <w:r w:rsidRPr="00AF184B">
        <w:rPr>
          <w:color w:val="000000" w:themeColor="text1"/>
          <w:sz w:val="22"/>
          <w:szCs w:val="28"/>
          <w:vertAlign w:val="superscript"/>
        </w:rPr>
        <w:t>1,3,4</w:t>
      </w:r>
      <w:r w:rsidRPr="00AF184B">
        <w:rPr>
          <w:color w:val="000000" w:themeColor="text1"/>
          <w:sz w:val="22"/>
          <w:szCs w:val="28"/>
        </w:rPr>
        <w:t>, Fei Chen</w:t>
      </w:r>
      <w:r w:rsidRPr="00AF184B">
        <w:rPr>
          <w:color w:val="000000" w:themeColor="text1"/>
          <w:sz w:val="22"/>
          <w:szCs w:val="28"/>
          <w:vertAlign w:val="superscript"/>
        </w:rPr>
        <w:t>1,3,4</w:t>
      </w:r>
      <w:r w:rsidRPr="00AF184B">
        <w:rPr>
          <w:color w:val="000000" w:themeColor="text1"/>
          <w:sz w:val="22"/>
          <w:szCs w:val="28"/>
        </w:rPr>
        <w:t>, Jiaojiao Ni</w:t>
      </w:r>
      <w:r w:rsidRPr="00AF184B">
        <w:rPr>
          <w:color w:val="000000" w:themeColor="text1"/>
          <w:sz w:val="22"/>
          <w:szCs w:val="28"/>
          <w:vertAlign w:val="superscript"/>
        </w:rPr>
        <w:t>1,3,4</w:t>
      </w:r>
      <w:r w:rsidRPr="00AF184B">
        <w:rPr>
          <w:color w:val="000000" w:themeColor="text1"/>
          <w:sz w:val="22"/>
          <w:szCs w:val="28"/>
        </w:rPr>
        <w:t>, Zhuo Wang</w:t>
      </w:r>
      <w:r w:rsidRPr="00AF184B">
        <w:rPr>
          <w:color w:val="000000" w:themeColor="text1"/>
          <w:sz w:val="22"/>
          <w:szCs w:val="28"/>
          <w:vertAlign w:val="superscript"/>
        </w:rPr>
        <w:t>1,3,4</w:t>
      </w:r>
      <w:r w:rsidRPr="00AF184B">
        <w:rPr>
          <w:color w:val="000000" w:themeColor="text1"/>
          <w:sz w:val="22"/>
          <w:szCs w:val="28"/>
        </w:rPr>
        <w:t>, Zhenghua Lin</w:t>
      </w:r>
      <w:r w:rsidRPr="00AF184B">
        <w:rPr>
          <w:color w:val="000000" w:themeColor="text1"/>
          <w:sz w:val="22"/>
          <w:szCs w:val="28"/>
          <w:vertAlign w:val="superscript"/>
        </w:rPr>
        <w:t>1,3,4</w:t>
      </w:r>
      <w:r w:rsidRPr="00AF184B">
        <w:rPr>
          <w:color w:val="000000" w:themeColor="text1"/>
          <w:sz w:val="22"/>
          <w:szCs w:val="28"/>
        </w:rPr>
        <w:t>, Haiping Jiang</w:t>
      </w:r>
      <w:r w:rsidRPr="00AF184B">
        <w:rPr>
          <w:color w:val="000000" w:themeColor="text1"/>
          <w:sz w:val="22"/>
          <w:szCs w:val="28"/>
          <w:vertAlign w:val="superscript"/>
        </w:rPr>
        <w:t>5</w:t>
      </w:r>
      <w:r w:rsidRPr="00AF184B">
        <w:rPr>
          <w:color w:val="000000" w:themeColor="text1"/>
          <w:sz w:val="22"/>
          <w:szCs w:val="28"/>
        </w:rPr>
        <w:t>, Xiangrui Liu</w:t>
      </w:r>
      <w:r w:rsidRPr="00AF184B">
        <w:rPr>
          <w:color w:val="000000" w:themeColor="text1"/>
          <w:sz w:val="22"/>
          <w:szCs w:val="28"/>
          <w:vertAlign w:val="superscript"/>
        </w:rPr>
        <w:t>1,2,4,*</w:t>
      </w:r>
      <w:r w:rsidRPr="00AF184B">
        <w:rPr>
          <w:color w:val="000000" w:themeColor="text1"/>
          <w:sz w:val="22"/>
          <w:szCs w:val="28"/>
        </w:rPr>
        <w:t>, Liangjing Wang</w:t>
      </w:r>
      <w:r w:rsidRPr="00AF184B">
        <w:rPr>
          <w:color w:val="000000" w:themeColor="text1"/>
          <w:sz w:val="22"/>
          <w:szCs w:val="28"/>
          <w:vertAlign w:val="superscript"/>
        </w:rPr>
        <w:t>1,3,4,</w:t>
      </w:r>
      <w:bookmarkStart w:id="6" w:name="OLE_LINK12"/>
      <w:r w:rsidRPr="00AF184B">
        <w:rPr>
          <w:color w:val="000000" w:themeColor="text1"/>
          <w:sz w:val="22"/>
          <w:szCs w:val="28"/>
          <w:vertAlign w:val="superscript"/>
        </w:rPr>
        <w:t>*</w:t>
      </w:r>
      <w:bookmarkEnd w:id="6"/>
    </w:p>
    <w:p w14:paraId="6E2CF78A" w14:textId="77777777" w:rsidR="009B6EC3" w:rsidRPr="00AF184B" w:rsidRDefault="009B6EC3" w:rsidP="009B6EC3">
      <w:pPr>
        <w:rPr>
          <w:color w:val="000000" w:themeColor="text1"/>
          <w:sz w:val="22"/>
          <w:szCs w:val="28"/>
        </w:rPr>
      </w:pPr>
    </w:p>
    <w:p w14:paraId="4E2148E4" w14:textId="3EEE3519" w:rsidR="009B6EC3" w:rsidRPr="00AF184B" w:rsidRDefault="009B6EC3" w:rsidP="009B6EC3">
      <w:pPr>
        <w:spacing w:line="360" w:lineRule="auto"/>
        <w:rPr>
          <w:color w:val="000000" w:themeColor="text1"/>
          <w:sz w:val="20"/>
          <w:szCs w:val="20"/>
        </w:rPr>
      </w:pPr>
      <w:r w:rsidRPr="00AF184B">
        <w:rPr>
          <w:color w:val="000000" w:themeColor="text1"/>
          <w:sz w:val="20"/>
          <w:szCs w:val="20"/>
          <w:vertAlign w:val="superscript"/>
        </w:rPr>
        <w:t>1</w:t>
      </w:r>
      <w:r w:rsidRPr="00AF184B">
        <w:rPr>
          <w:color w:val="000000" w:themeColor="text1"/>
          <w:sz w:val="20"/>
          <w:szCs w:val="20"/>
        </w:rPr>
        <w:t xml:space="preserve">Department of Gastroenterology, </w:t>
      </w:r>
      <w:bookmarkStart w:id="7" w:name="OLE_LINK14"/>
      <w:r w:rsidRPr="00AF184B">
        <w:rPr>
          <w:color w:val="000000" w:themeColor="text1"/>
          <w:sz w:val="20"/>
          <w:szCs w:val="20"/>
        </w:rPr>
        <w:t>The Second Affiliated Hospital of Zhejiang University School of Medicine</w:t>
      </w:r>
      <w:bookmarkEnd w:id="7"/>
      <w:r w:rsidRPr="00AF184B">
        <w:rPr>
          <w:color w:val="000000" w:themeColor="text1"/>
          <w:sz w:val="20"/>
          <w:szCs w:val="20"/>
        </w:rPr>
        <w:t>, 88 Jiefang Road, Hangzhou, 310009, Zhejiang, China</w:t>
      </w:r>
    </w:p>
    <w:p w14:paraId="6DF6320F" w14:textId="77777777" w:rsidR="009B6EC3" w:rsidRPr="00AF184B" w:rsidRDefault="009B6EC3" w:rsidP="009B6EC3">
      <w:pPr>
        <w:spacing w:line="360" w:lineRule="auto"/>
        <w:rPr>
          <w:color w:val="000000" w:themeColor="text1"/>
          <w:sz w:val="20"/>
          <w:szCs w:val="20"/>
        </w:rPr>
      </w:pPr>
      <w:r w:rsidRPr="00AF184B">
        <w:rPr>
          <w:color w:val="000000" w:themeColor="text1"/>
          <w:sz w:val="20"/>
          <w:szCs w:val="20"/>
          <w:vertAlign w:val="superscript"/>
        </w:rPr>
        <w:t>2</w:t>
      </w:r>
      <w:r w:rsidRPr="00AF184B">
        <w:rPr>
          <w:color w:val="000000" w:themeColor="text1"/>
          <w:sz w:val="20"/>
          <w:szCs w:val="20"/>
        </w:rPr>
        <w:t>Department of Pharmacology, Zhejiang University School of Medicine, Hangzhou 310058, China</w:t>
      </w:r>
    </w:p>
    <w:p w14:paraId="18EB647C" w14:textId="5377D2A7" w:rsidR="009B6EC3" w:rsidRPr="00AF184B" w:rsidRDefault="009B6EC3" w:rsidP="009B6EC3">
      <w:pPr>
        <w:spacing w:line="360" w:lineRule="auto"/>
        <w:rPr>
          <w:color w:val="000000" w:themeColor="text1"/>
          <w:sz w:val="20"/>
          <w:szCs w:val="20"/>
        </w:rPr>
      </w:pPr>
      <w:r w:rsidRPr="00AF184B">
        <w:rPr>
          <w:color w:val="000000" w:themeColor="text1"/>
          <w:sz w:val="20"/>
          <w:szCs w:val="20"/>
          <w:vertAlign w:val="superscript"/>
        </w:rPr>
        <w:t>3</w:t>
      </w:r>
      <w:r w:rsidRPr="00AF184B">
        <w:rPr>
          <w:color w:val="000000" w:themeColor="text1"/>
          <w:sz w:val="20"/>
          <w:szCs w:val="20"/>
        </w:rPr>
        <w:t>Institute of Gastroenterology, Zhejiang University, Hangzhou 310058, China</w:t>
      </w:r>
    </w:p>
    <w:p w14:paraId="197AA66A" w14:textId="77777777" w:rsidR="009B6EC3" w:rsidRPr="00AF184B" w:rsidRDefault="009B6EC3" w:rsidP="009B6EC3">
      <w:pPr>
        <w:spacing w:line="360" w:lineRule="auto"/>
        <w:rPr>
          <w:color w:val="000000" w:themeColor="text1"/>
          <w:sz w:val="20"/>
          <w:szCs w:val="20"/>
        </w:rPr>
      </w:pPr>
      <w:r w:rsidRPr="00AF184B">
        <w:rPr>
          <w:color w:val="000000" w:themeColor="text1"/>
          <w:sz w:val="20"/>
          <w:szCs w:val="20"/>
          <w:vertAlign w:val="superscript"/>
        </w:rPr>
        <w:t>4</w:t>
      </w:r>
      <w:r w:rsidRPr="00AF184B">
        <w:rPr>
          <w:color w:val="000000" w:themeColor="text1"/>
          <w:sz w:val="20"/>
          <w:szCs w:val="20"/>
        </w:rPr>
        <w:t>Cancer Center, Zhejiang University, Hangzhou 310058, China</w:t>
      </w:r>
    </w:p>
    <w:p w14:paraId="114F0149" w14:textId="77777777" w:rsidR="009B6EC3" w:rsidRPr="00AF184B" w:rsidRDefault="009B6EC3" w:rsidP="009B6EC3">
      <w:pPr>
        <w:spacing w:line="360" w:lineRule="auto"/>
        <w:rPr>
          <w:color w:val="000000" w:themeColor="text1"/>
          <w:sz w:val="20"/>
          <w:szCs w:val="20"/>
        </w:rPr>
      </w:pPr>
      <w:r w:rsidRPr="00AF184B">
        <w:rPr>
          <w:color w:val="000000" w:themeColor="text1"/>
          <w:sz w:val="20"/>
          <w:szCs w:val="20"/>
          <w:vertAlign w:val="superscript"/>
        </w:rPr>
        <w:t>5</w:t>
      </w:r>
      <w:r w:rsidRPr="00AF184B">
        <w:rPr>
          <w:color w:val="000000" w:themeColor="text1"/>
          <w:sz w:val="20"/>
          <w:szCs w:val="20"/>
        </w:rPr>
        <w:t xml:space="preserve">Department of Medical Oncology, </w:t>
      </w:r>
      <w:bookmarkStart w:id="8" w:name="OLE_LINK15"/>
      <w:r w:rsidRPr="00AF184B">
        <w:rPr>
          <w:color w:val="000000" w:themeColor="text1"/>
          <w:sz w:val="20"/>
          <w:szCs w:val="20"/>
        </w:rPr>
        <w:t xml:space="preserve">The First Affiliated Hospital of </w:t>
      </w:r>
      <w:bookmarkEnd w:id="8"/>
      <w:r w:rsidRPr="00AF184B">
        <w:rPr>
          <w:color w:val="000000" w:themeColor="text1"/>
          <w:sz w:val="20"/>
          <w:szCs w:val="20"/>
        </w:rPr>
        <w:t>Medical School of Zhejiang University, Hangzhou, 310016, China</w:t>
      </w:r>
    </w:p>
    <w:p w14:paraId="1EF0F9A8" w14:textId="77777777" w:rsidR="009B6EC3" w:rsidRPr="00AF184B" w:rsidRDefault="009B6EC3" w:rsidP="009B6EC3">
      <w:pPr>
        <w:spacing w:line="360" w:lineRule="auto"/>
        <w:rPr>
          <w:color w:val="000000" w:themeColor="text1"/>
          <w:sz w:val="20"/>
          <w:szCs w:val="20"/>
        </w:rPr>
      </w:pPr>
      <w:r w:rsidRPr="00AF184B">
        <w:rPr>
          <w:color w:val="000000" w:themeColor="text1"/>
          <w:szCs w:val="21"/>
        </w:rPr>
        <w:t>*Correspondence:</w:t>
      </w:r>
      <w:r w:rsidRPr="00AF184B">
        <w:rPr>
          <w:color w:val="000000" w:themeColor="text1"/>
          <w:sz w:val="22"/>
          <w:szCs w:val="28"/>
        </w:rPr>
        <w:t xml:space="preserve"> </w:t>
      </w:r>
      <w:bookmarkStart w:id="9" w:name="OLE_LINK13"/>
      <w:r w:rsidRPr="00AF184B">
        <w:rPr>
          <w:color w:val="000000" w:themeColor="text1"/>
          <w:sz w:val="20"/>
          <w:szCs w:val="20"/>
          <w:lang w:val="en-GB"/>
        </w:rPr>
        <w:fldChar w:fldCharType="begin"/>
      </w:r>
      <w:r w:rsidRPr="00AF184B">
        <w:rPr>
          <w:color w:val="000000" w:themeColor="text1"/>
          <w:sz w:val="20"/>
          <w:szCs w:val="20"/>
          <w:lang w:val="en-GB"/>
        </w:rPr>
        <w:instrText xml:space="preserve"> HYPERLINK "mailto:wangljzju@zju.edu.cn" </w:instrText>
      </w:r>
      <w:r w:rsidRPr="00AF184B">
        <w:rPr>
          <w:color w:val="000000" w:themeColor="text1"/>
          <w:sz w:val="20"/>
          <w:szCs w:val="20"/>
          <w:lang w:val="en-GB"/>
        </w:rPr>
        <w:fldChar w:fldCharType="separate"/>
      </w:r>
      <w:r w:rsidRPr="00AF184B">
        <w:rPr>
          <w:color w:val="000000" w:themeColor="text1"/>
          <w:sz w:val="20"/>
          <w:szCs w:val="20"/>
          <w:lang w:val="en-GB"/>
        </w:rPr>
        <w:t>wangljzju@zju.edu.cn</w:t>
      </w:r>
      <w:r w:rsidRPr="00AF184B">
        <w:rPr>
          <w:color w:val="000000" w:themeColor="text1"/>
          <w:sz w:val="20"/>
          <w:szCs w:val="20"/>
          <w:lang w:val="en-GB"/>
        </w:rPr>
        <w:fldChar w:fldCharType="end"/>
      </w:r>
      <w:bookmarkEnd w:id="9"/>
      <w:r w:rsidRPr="00AF184B">
        <w:rPr>
          <w:color w:val="000000" w:themeColor="text1"/>
          <w:sz w:val="20"/>
          <w:szCs w:val="20"/>
          <w:lang w:val="en-GB"/>
        </w:rPr>
        <w:t>, xiangrui@zju.edu.cn</w:t>
      </w:r>
    </w:p>
    <w:p w14:paraId="1DA654FC" w14:textId="36D930F4" w:rsidR="009B6EC3" w:rsidRPr="00AF184B" w:rsidRDefault="009B6EC3" w:rsidP="009B6EC3">
      <w:pPr>
        <w:rPr>
          <w:color w:val="000000" w:themeColor="text1"/>
          <w:sz w:val="20"/>
          <w:szCs w:val="20"/>
          <w:lang w:val="en-GB"/>
        </w:rPr>
      </w:pPr>
      <w:r w:rsidRPr="00AF184B">
        <w:rPr>
          <w:color w:val="000000" w:themeColor="text1"/>
          <w:sz w:val="20"/>
          <w:szCs w:val="20"/>
          <w:vertAlign w:val="superscript"/>
          <w:lang w:val="en-GB"/>
        </w:rPr>
        <w:t>#</w:t>
      </w:r>
      <w:r w:rsidRPr="00AF184B">
        <w:rPr>
          <w:color w:val="000000" w:themeColor="text1"/>
          <w:sz w:val="20"/>
          <w:szCs w:val="20"/>
          <w:lang w:val="en-GB"/>
        </w:rPr>
        <w:t>Sheng Zheng and Jiafeng Wang contributed equally to this work</w:t>
      </w:r>
    </w:p>
    <w:p w14:paraId="6CEE026D" w14:textId="77777777" w:rsidR="00DE1213" w:rsidRDefault="00DE1213" w:rsidP="007244B8">
      <w:pPr>
        <w:snapToGrid w:val="0"/>
        <w:spacing w:line="360" w:lineRule="auto"/>
        <w:rPr>
          <w:b/>
          <w:color w:val="000000" w:themeColor="text1"/>
          <w:sz w:val="28"/>
          <w:szCs w:val="28"/>
        </w:rPr>
      </w:pPr>
    </w:p>
    <w:p w14:paraId="4ADB92C8" w14:textId="4D6D15E6" w:rsidR="007244B8" w:rsidRPr="00AF184B" w:rsidRDefault="007244B8" w:rsidP="007244B8">
      <w:pPr>
        <w:snapToGrid w:val="0"/>
        <w:spacing w:line="360" w:lineRule="auto"/>
        <w:rPr>
          <w:b/>
          <w:color w:val="000000" w:themeColor="text1"/>
          <w:sz w:val="24"/>
        </w:rPr>
      </w:pPr>
      <w:r w:rsidRPr="00AF184B">
        <w:rPr>
          <w:b/>
          <w:color w:val="000000" w:themeColor="text1"/>
          <w:sz w:val="24"/>
        </w:rPr>
        <w:t>1. Synthesis of PEG</w:t>
      </w:r>
      <w:r w:rsidRPr="00AF184B">
        <w:rPr>
          <w:b/>
          <w:color w:val="000000" w:themeColor="text1"/>
          <w:sz w:val="24"/>
          <w:vertAlign w:val="subscript"/>
        </w:rPr>
        <w:t>5k</w:t>
      </w:r>
      <w:r w:rsidRPr="00AF184B">
        <w:rPr>
          <w:b/>
          <w:color w:val="000000" w:themeColor="text1"/>
          <w:sz w:val="24"/>
        </w:rPr>
        <w:t>-P(MMESSN38)</w:t>
      </w:r>
      <w:r w:rsidRPr="00AF184B">
        <w:rPr>
          <w:b/>
          <w:color w:val="000000" w:themeColor="text1"/>
          <w:sz w:val="24"/>
          <w:vertAlign w:val="subscript"/>
        </w:rPr>
        <w:t>5k</w:t>
      </w:r>
      <w:r w:rsidRPr="00AF184B">
        <w:rPr>
          <w:b/>
          <w:color w:val="000000" w:themeColor="text1"/>
          <w:sz w:val="24"/>
        </w:rPr>
        <w:t xml:space="preserve"> (PSN38)</w:t>
      </w:r>
    </w:p>
    <w:p w14:paraId="649ADF6A" w14:textId="178DCDDC" w:rsidR="007244B8" w:rsidRPr="00AF184B" w:rsidRDefault="007244B8" w:rsidP="007244B8">
      <w:pPr>
        <w:pStyle w:val="ListParagraph"/>
        <w:wordWrap/>
        <w:spacing w:line="360" w:lineRule="auto"/>
        <w:ind w:firstLineChars="0" w:firstLine="0"/>
        <w:rPr>
          <w:color w:val="000000" w:themeColor="text1"/>
          <w:sz w:val="24"/>
        </w:rPr>
      </w:pPr>
      <w:bookmarkStart w:id="10" w:name="_Hlk75977814"/>
      <w:r w:rsidRPr="00AF184B">
        <w:rPr>
          <w:color w:val="000000" w:themeColor="text1"/>
          <w:sz w:val="24"/>
        </w:rPr>
        <w:t>1.1 Synthesis of 4-Cyano-4-(2-phenylethanesulfanylthiocarbonyl) sulfanylpentanoic acid (PETTC) (Fig. S</w:t>
      </w:r>
      <w:r w:rsidR="009F1049" w:rsidRPr="00AF184B">
        <w:rPr>
          <w:color w:val="000000" w:themeColor="text1"/>
          <w:sz w:val="24"/>
        </w:rPr>
        <w:t>1</w:t>
      </w:r>
      <w:r w:rsidRPr="00AF184B">
        <w:rPr>
          <w:color w:val="000000" w:themeColor="text1"/>
          <w:sz w:val="24"/>
        </w:rPr>
        <w:t>a)</w:t>
      </w:r>
    </w:p>
    <w:bookmarkEnd w:id="10"/>
    <w:p w14:paraId="2479E0C4" w14:textId="498B9211" w:rsidR="007244B8" w:rsidRPr="00AF184B" w:rsidRDefault="007244B8" w:rsidP="007244B8">
      <w:pPr>
        <w:spacing w:line="360" w:lineRule="auto"/>
        <w:ind w:firstLineChars="100" w:firstLine="240"/>
        <w:rPr>
          <w:color w:val="000000" w:themeColor="text1"/>
          <w:sz w:val="24"/>
        </w:rPr>
      </w:pPr>
      <w:r w:rsidRPr="00AF184B">
        <w:rPr>
          <w:color w:val="000000" w:themeColor="text1"/>
          <w:sz w:val="24"/>
        </w:rPr>
        <w:t xml:space="preserve">Sodium hydride (60% in oil) (3.15 g, 79 mmol) was dissolved in 150 ml </w:t>
      </w:r>
      <w:bookmarkStart w:id="11" w:name="_Hlk75975726"/>
      <w:r w:rsidRPr="00AF184B">
        <w:rPr>
          <w:color w:val="000000" w:themeColor="text1"/>
          <w:sz w:val="24"/>
        </w:rPr>
        <w:t>diethyl ether</w:t>
      </w:r>
      <w:bookmarkEnd w:id="11"/>
      <w:r w:rsidRPr="00AF184B">
        <w:rPr>
          <w:color w:val="000000" w:themeColor="text1"/>
          <w:sz w:val="24"/>
        </w:rPr>
        <w:t xml:space="preserve"> and then 2-Phenylethanethiol (10.5 g, 76 mmol) was added dropwise into the solution at 5~10 ℃. The reaction solution was stirred for 1 h and then CS</w:t>
      </w:r>
      <w:r w:rsidRPr="00AF184B">
        <w:rPr>
          <w:color w:val="000000" w:themeColor="text1"/>
          <w:sz w:val="24"/>
          <w:vertAlign w:val="subscript"/>
        </w:rPr>
        <w:t>2</w:t>
      </w:r>
      <w:r w:rsidRPr="00AF184B">
        <w:rPr>
          <w:color w:val="000000" w:themeColor="text1"/>
          <w:sz w:val="24"/>
        </w:rPr>
        <w:t xml:space="preserve"> (6.0 g, 79 mmol) was added dropwise at 0 ℃ to generate a yellow precipitate. After vigorous stirring for 0.5 h, the yellow precipitate was collected via vacuum filtration, washed with diethyl ether and dried to afford the intermediate product without further purification. 7.5 g product from previous steps was suspended in 100 ml diethyl ether and solid iodine (7.5 g, 29 mmol) was added with vigorous stirring for 1 h at room temperature. The precipitate NaI was filtrated to obtain a brown filtrate which was washed with saturated sodium thiosulfate aqueous solution (50 ml, 3 times) and brine (50 ml, 3 times). The product </w:t>
      </w:r>
      <w:r w:rsidRPr="00AF184B">
        <w:rPr>
          <w:color w:val="000000" w:themeColor="text1"/>
          <w:sz w:val="24"/>
        </w:rPr>
        <w:lastRenderedPageBreak/>
        <w:t>was collected via rotary evaporation without further purification. 4,4′-azobis(4-cyanopentanoicacid) (ACVA) (11.3 g, 40 mmol) and the product from the previous step (11.3 g) was dissolved in 100 ml anhydrous ethyl acetate (100 ml). Then the solution was bubbled with dry N</w:t>
      </w:r>
      <w:r w:rsidRPr="00AF184B">
        <w:rPr>
          <w:color w:val="000000" w:themeColor="text1"/>
          <w:sz w:val="24"/>
          <w:vertAlign w:val="subscript"/>
        </w:rPr>
        <w:t>2</w:t>
      </w:r>
      <w:r w:rsidRPr="00AF184B">
        <w:rPr>
          <w:color w:val="000000" w:themeColor="text1"/>
          <w:sz w:val="24"/>
        </w:rPr>
        <w:t xml:space="preserve"> for 30 min and subsequently was heated reflux at 80 ℃ for 18 h. The crude product of PETTC was obtained by washing the reaction solution with water (50</w:t>
      </w:r>
      <w:r w:rsidR="007B7072" w:rsidRPr="00AF184B">
        <w:rPr>
          <w:color w:val="000000" w:themeColor="text1"/>
          <w:sz w:val="24"/>
        </w:rPr>
        <w:t xml:space="preserve"> </w:t>
      </w:r>
      <w:r w:rsidRPr="00AF184B">
        <w:rPr>
          <w:color w:val="000000" w:themeColor="text1"/>
          <w:sz w:val="24"/>
        </w:rPr>
        <w:t xml:space="preserve">ml, 3 times) and brine (50 ml, 3 times). The crude product was </w:t>
      </w:r>
      <w:bookmarkStart w:id="12" w:name="_Hlk76479323"/>
      <w:r w:rsidRPr="00AF184B">
        <w:rPr>
          <w:color w:val="000000" w:themeColor="text1"/>
          <w:sz w:val="24"/>
        </w:rPr>
        <w:t>further purified by column chromatography</w:t>
      </w:r>
      <w:bookmarkEnd w:id="12"/>
      <w:r w:rsidRPr="00AF184B">
        <w:rPr>
          <w:color w:val="000000" w:themeColor="text1"/>
          <w:sz w:val="24"/>
        </w:rPr>
        <w:t xml:space="preserve"> (18.8</w:t>
      </w:r>
      <w:r w:rsidR="00FB5834" w:rsidRPr="00AF184B">
        <w:rPr>
          <w:color w:val="000000" w:themeColor="text1"/>
          <w:sz w:val="24"/>
        </w:rPr>
        <w:t xml:space="preserve"> </w:t>
      </w:r>
      <w:r w:rsidRPr="00AF184B">
        <w:rPr>
          <w:color w:val="000000" w:themeColor="text1"/>
          <w:sz w:val="24"/>
        </w:rPr>
        <w:t>g, 72.1%) (Fig. S</w:t>
      </w:r>
      <w:r w:rsidR="00445BC7" w:rsidRPr="00AF184B">
        <w:rPr>
          <w:color w:val="000000" w:themeColor="text1"/>
          <w:sz w:val="24"/>
        </w:rPr>
        <w:t>3</w:t>
      </w:r>
      <w:r w:rsidRPr="00AF184B">
        <w:rPr>
          <w:color w:val="000000" w:themeColor="text1"/>
          <w:sz w:val="24"/>
        </w:rPr>
        <w:t xml:space="preserve">a). </w:t>
      </w:r>
      <w:r w:rsidRPr="00AF184B">
        <w:rPr>
          <w:color w:val="000000" w:themeColor="text1"/>
          <w:sz w:val="24"/>
          <w:vertAlign w:val="superscript"/>
        </w:rPr>
        <w:t>1</w:t>
      </w:r>
      <w:r w:rsidRPr="00AF184B">
        <w:rPr>
          <w:color w:val="000000" w:themeColor="text1"/>
          <w:sz w:val="24"/>
        </w:rPr>
        <w:t>H NMR (400 MHz, CDCl</w:t>
      </w:r>
      <w:r w:rsidRPr="00AF184B">
        <w:rPr>
          <w:color w:val="000000" w:themeColor="text1"/>
          <w:sz w:val="24"/>
          <w:vertAlign w:val="subscript"/>
        </w:rPr>
        <w:t>3</w:t>
      </w:r>
      <w:r w:rsidRPr="00AF184B">
        <w:rPr>
          <w:color w:val="000000" w:themeColor="text1"/>
          <w:sz w:val="24"/>
        </w:rPr>
        <w:t>) δ (ppm): δ 7.36 – 7.21 (m, 5H), 3.64 – 3.49 (m, 2H), 3.07 – 2.92 (m, 2H), 2.79 – 2.63 (m, 2H), 2.60 – 2.48 (m, 1H), 2.43 – 2.33 (m, 1H), 1.88 (s, 3H).</w:t>
      </w:r>
    </w:p>
    <w:p w14:paraId="72B09152" w14:textId="55CA570C" w:rsidR="007244B8" w:rsidRPr="00AF184B" w:rsidRDefault="007244B8" w:rsidP="007244B8">
      <w:pPr>
        <w:pStyle w:val="ListParagraph"/>
        <w:numPr>
          <w:ilvl w:val="1"/>
          <w:numId w:val="5"/>
        </w:numPr>
        <w:spacing w:line="360" w:lineRule="auto"/>
        <w:ind w:firstLineChars="0"/>
        <w:rPr>
          <w:color w:val="000000" w:themeColor="text1"/>
          <w:sz w:val="24"/>
        </w:rPr>
      </w:pPr>
      <w:r w:rsidRPr="00AF184B">
        <w:rPr>
          <w:color w:val="000000" w:themeColor="text1"/>
          <w:sz w:val="24"/>
        </w:rPr>
        <w:t>Synthesis of PEG</w:t>
      </w:r>
      <w:r w:rsidRPr="00AF184B">
        <w:rPr>
          <w:color w:val="000000" w:themeColor="text1"/>
          <w:sz w:val="24"/>
          <w:vertAlign w:val="subscript"/>
        </w:rPr>
        <w:t>5k</w:t>
      </w:r>
      <w:r w:rsidRPr="00AF184B">
        <w:rPr>
          <w:color w:val="000000" w:themeColor="text1"/>
          <w:sz w:val="24"/>
        </w:rPr>
        <w:t>-PETTC (Fig. S</w:t>
      </w:r>
      <w:r w:rsidR="009F1049" w:rsidRPr="00AF184B">
        <w:rPr>
          <w:color w:val="000000" w:themeColor="text1"/>
          <w:sz w:val="24"/>
        </w:rPr>
        <w:t>1</w:t>
      </w:r>
      <w:r w:rsidRPr="00AF184B">
        <w:rPr>
          <w:color w:val="000000" w:themeColor="text1"/>
          <w:sz w:val="24"/>
        </w:rPr>
        <w:t>b)</w:t>
      </w:r>
    </w:p>
    <w:p w14:paraId="7AC3F9FC" w14:textId="4734A205" w:rsidR="007244B8" w:rsidRPr="00AF184B" w:rsidRDefault="007244B8" w:rsidP="007244B8">
      <w:pPr>
        <w:spacing w:line="360" w:lineRule="auto"/>
        <w:ind w:firstLineChars="100" w:firstLine="240"/>
        <w:rPr>
          <w:color w:val="000000" w:themeColor="text1"/>
          <w:sz w:val="24"/>
        </w:rPr>
      </w:pPr>
      <w:r w:rsidRPr="00AF184B">
        <w:rPr>
          <w:color w:val="000000" w:themeColor="text1"/>
          <w:sz w:val="24"/>
        </w:rPr>
        <w:t xml:space="preserve">Anhydrous poly (ethylene glycol) methyl ether (Mn = 5,000 Da) (5 g, 1 mmol), PETTC (1.4 g, 4 mmol) and 4-Dimethylaminopyridine (DMAP, 0.2 g, 1.6 mmol) were dissolved in 100 ml </w:t>
      </w:r>
      <w:bookmarkStart w:id="13" w:name="_Hlk76478686"/>
      <w:r w:rsidRPr="00AF184B">
        <w:rPr>
          <w:color w:val="000000" w:themeColor="text1"/>
          <w:sz w:val="24"/>
        </w:rPr>
        <w:t xml:space="preserve">anhydrous </w:t>
      </w:r>
      <w:bookmarkStart w:id="14" w:name="_Hlk83335090"/>
      <w:r w:rsidRPr="00AF184B">
        <w:rPr>
          <w:color w:val="000000" w:themeColor="text1"/>
          <w:sz w:val="24"/>
        </w:rPr>
        <w:t>Dichloromethane (DCM</w:t>
      </w:r>
      <w:bookmarkEnd w:id="13"/>
      <w:r w:rsidRPr="00AF184B">
        <w:rPr>
          <w:color w:val="000000" w:themeColor="text1"/>
          <w:sz w:val="24"/>
        </w:rPr>
        <w:t>)</w:t>
      </w:r>
      <w:bookmarkEnd w:id="14"/>
      <w:r w:rsidRPr="00AF184B">
        <w:rPr>
          <w:color w:val="000000" w:themeColor="text1"/>
          <w:sz w:val="24"/>
        </w:rPr>
        <w:t>. Dicyclohexylcarbodiimide (DCC, 1.65 g, 8 mmol) dissolved in 50 ml anhydrous DCM was added dropwise into the reaction solution at 0 ℃. The reaction was then stirred for 3 days at room temperature. The insoluble dicyclohexylurea (DCU) impurity was removed by filtration and the filtrate was concentrated via rotary evaporation. Further purification was affected by reprecipitation from cold anhydrous ethanol for 3 times to afford a faint yellow powder PEG</w:t>
      </w:r>
      <w:r w:rsidRPr="00AF184B">
        <w:rPr>
          <w:color w:val="000000" w:themeColor="text1"/>
          <w:sz w:val="24"/>
          <w:vertAlign w:val="subscript"/>
        </w:rPr>
        <w:t>5k</w:t>
      </w:r>
      <w:r w:rsidRPr="00AF184B">
        <w:rPr>
          <w:color w:val="000000" w:themeColor="text1"/>
          <w:sz w:val="24"/>
        </w:rPr>
        <w:t>-PETTC (5</w:t>
      </w:r>
      <w:r w:rsidR="00FB5834" w:rsidRPr="00AF184B">
        <w:rPr>
          <w:color w:val="000000" w:themeColor="text1"/>
          <w:sz w:val="24"/>
        </w:rPr>
        <w:t xml:space="preserve"> </w:t>
      </w:r>
      <w:r w:rsidRPr="00AF184B">
        <w:rPr>
          <w:color w:val="000000" w:themeColor="text1"/>
          <w:sz w:val="24"/>
        </w:rPr>
        <w:t>g, 94.7%) (Fig. S</w:t>
      </w:r>
      <w:r w:rsidR="00445BC7" w:rsidRPr="00AF184B">
        <w:rPr>
          <w:color w:val="000000" w:themeColor="text1"/>
          <w:sz w:val="24"/>
        </w:rPr>
        <w:t>3</w:t>
      </w:r>
      <w:r w:rsidRPr="00AF184B">
        <w:rPr>
          <w:color w:val="000000" w:themeColor="text1"/>
          <w:sz w:val="24"/>
        </w:rPr>
        <w:t>b).</w:t>
      </w:r>
    </w:p>
    <w:p w14:paraId="4B5A3AD9" w14:textId="308A83C6" w:rsidR="007244B8" w:rsidRPr="00AF184B" w:rsidRDefault="007244B8" w:rsidP="007244B8">
      <w:pPr>
        <w:pStyle w:val="ListParagraph"/>
        <w:numPr>
          <w:ilvl w:val="1"/>
          <w:numId w:val="5"/>
        </w:numPr>
        <w:spacing w:line="360" w:lineRule="auto"/>
        <w:ind w:firstLineChars="0"/>
        <w:rPr>
          <w:color w:val="000000" w:themeColor="text1"/>
          <w:sz w:val="24"/>
        </w:rPr>
      </w:pPr>
      <w:r w:rsidRPr="00AF184B">
        <w:rPr>
          <w:color w:val="000000" w:themeColor="text1"/>
          <w:sz w:val="24"/>
        </w:rPr>
        <w:t>Synthesis of MMESSN38 (Fig. S</w:t>
      </w:r>
      <w:r w:rsidR="009F1049" w:rsidRPr="00AF184B">
        <w:rPr>
          <w:color w:val="000000" w:themeColor="text1"/>
          <w:sz w:val="24"/>
        </w:rPr>
        <w:t>1</w:t>
      </w:r>
      <w:r w:rsidRPr="00AF184B">
        <w:rPr>
          <w:color w:val="000000" w:themeColor="text1"/>
          <w:sz w:val="24"/>
        </w:rPr>
        <w:t>c)</w:t>
      </w:r>
    </w:p>
    <w:p w14:paraId="5F906BE0" w14:textId="0A6F6168" w:rsidR="007244B8" w:rsidRPr="00AF184B" w:rsidRDefault="007244B8" w:rsidP="007244B8">
      <w:pPr>
        <w:spacing w:line="360" w:lineRule="auto"/>
        <w:ind w:firstLineChars="100" w:firstLine="240"/>
        <w:rPr>
          <w:color w:val="000000" w:themeColor="text1"/>
          <w:sz w:val="24"/>
        </w:rPr>
      </w:pPr>
      <w:r w:rsidRPr="00AF184B">
        <w:rPr>
          <w:color w:val="000000" w:themeColor="text1"/>
          <w:sz w:val="24"/>
        </w:rPr>
        <w:t>7-ethyl-10-hydroxycamptothecin (SN38, 1</w:t>
      </w:r>
      <w:r w:rsidR="007B7072" w:rsidRPr="00AF184B">
        <w:rPr>
          <w:color w:val="000000" w:themeColor="text1"/>
          <w:sz w:val="24"/>
        </w:rPr>
        <w:t xml:space="preserve"> </w:t>
      </w:r>
      <w:r w:rsidRPr="00AF184B">
        <w:rPr>
          <w:color w:val="000000" w:themeColor="text1"/>
          <w:sz w:val="24"/>
        </w:rPr>
        <w:t>g, 2.5 mmol), mono-2-(methacryloyloxy) ethyl succinate (2.4</w:t>
      </w:r>
      <w:r w:rsidR="00FB5834" w:rsidRPr="00AF184B">
        <w:rPr>
          <w:color w:val="000000" w:themeColor="text1"/>
          <w:sz w:val="24"/>
        </w:rPr>
        <w:t xml:space="preserve"> </w:t>
      </w:r>
      <w:r w:rsidRPr="00AF184B">
        <w:rPr>
          <w:color w:val="000000" w:themeColor="text1"/>
          <w:sz w:val="24"/>
        </w:rPr>
        <w:t>g, 10 mmol) and 10 ml pyridine were suspended in 100 ml anhydrous DCM. 40 ml anhydrous DCM containing (3-dimethylaminopropyl)-3-ethylcarbodiimide hydrochloride (EDC·HCl, 1.9 g, 10 mmol) was added dropwise to the reaction solution at 0 ℃. After stirring overnight, the reaction solution was washed with 1M HCl (50</w:t>
      </w:r>
      <w:r w:rsidR="00FB5834" w:rsidRPr="00AF184B">
        <w:rPr>
          <w:color w:val="000000" w:themeColor="text1"/>
          <w:sz w:val="24"/>
        </w:rPr>
        <w:t xml:space="preserve"> </w:t>
      </w:r>
      <w:r w:rsidRPr="00AF184B">
        <w:rPr>
          <w:color w:val="000000" w:themeColor="text1"/>
          <w:sz w:val="24"/>
        </w:rPr>
        <w:t>ml, 3 times) and dried by anhydrous NaSO</w:t>
      </w:r>
      <w:r w:rsidRPr="00AF184B">
        <w:rPr>
          <w:color w:val="000000" w:themeColor="text1"/>
          <w:sz w:val="24"/>
          <w:vertAlign w:val="subscript"/>
        </w:rPr>
        <w:t>4</w:t>
      </w:r>
      <w:r w:rsidRPr="00AF184B">
        <w:rPr>
          <w:color w:val="000000" w:themeColor="text1"/>
          <w:sz w:val="24"/>
        </w:rPr>
        <w:t>. Crude product was obtained by reprecipitation in cold ethyl ether and further purified by column chromatography (1.3</w:t>
      </w:r>
      <w:r w:rsidR="00FB5834" w:rsidRPr="00AF184B">
        <w:rPr>
          <w:color w:val="000000" w:themeColor="text1"/>
          <w:sz w:val="24"/>
        </w:rPr>
        <w:t xml:space="preserve"> </w:t>
      </w:r>
      <w:r w:rsidRPr="00AF184B">
        <w:rPr>
          <w:color w:val="000000" w:themeColor="text1"/>
          <w:sz w:val="24"/>
        </w:rPr>
        <w:t>g, 86%) (Fig. S</w:t>
      </w:r>
      <w:r w:rsidR="00445BC7" w:rsidRPr="00AF184B">
        <w:rPr>
          <w:color w:val="000000" w:themeColor="text1"/>
          <w:sz w:val="24"/>
        </w:rPr>
        <w:t>3</w:t>
      </w:r>
      <w:r w:rsidRPr="00AF184B">
        <w:rPr>
          <w:color w:val="000000" w:themeColor="text1"/>
          <w:sz w:val="24"/>
        </w:rPr>
        <w:t xml:space="preserve">c). </w:t>
      </w:r>
      <w:r w:rsidRPr="00AF184B">
        <w:rPr>
          <w:color w:val="000000" w:themeColor="text1"/>
          <w:sz w:val="24"/>
          <w:vertAlign w:val="superscript"/>
        </w:rPr>
        <w:t>1</w:t>
      </w:r>
      <w:r w:rsidRPr="00AF184B">
        <w:rPr>
          <w:color w:val="000000" w:themeColor="text1"/>
          <w:sz w:val="24"/>
        </w:rPr>
        <w:t>H NMR (400 MHz, CDCl</w:t>
      </w:r>
      <w:r w:rsidRPr="00AF184B">
        <w:rPr>
          <w:color w:val="000000" w:themeColor="text1"/>
          <w:sz w:val="24"/>
          <w:vertAlign w:val="subscript"/>
        </w:rPr>
        <w:t>3</w:t>
      </w:r>
      <w:r w:rsidRPr="00AF184B">
        <w:rPr>
          <w:color w:val="000000" w:themeColor="text1"/>
          <w:sz w:val="24"/>
        </w:rPr>
        <w:t xml:space="preserve">) δ (ppm): δ 8.22 (d, J = 9.1 Hz, 1H), 7.81 (d, J = 2.5 Hz, 1H), 7.67 (s, 1H), 7.54 (dd, J = 9.1, 2.5 Hz, 1H), 6.13 (s, 1H), 5.73 (d, J = 16.3 Hz, 1H), 5.58 (p, J = 1.7 Hz, 1H), 5.37 – 5.18 (m, 3H), </w:t>
      </w:r>
      <w:r w:rsidRPr="00AF184B">
        <w:rPr>
          <w:color w:val="000000" w:themeColor="text1"/>
          <w:sz w:val="24"/>
        </w:rPr>
        <w:lastRenderedPageBreak/>
        <w:t>4.51 – 4.33 (m, 4H), 4.18 (s, 1H), 3.14 (q, J = 7.6 Hz, 2H), 3.00 (dd, J = 7.6, 5.7 Hz, 2H), 2.85 (dd, J = 7.5, 5.7 Hz, 2H), 1.98 – 1.85 (m, 5H), 1.40 (t, J = 7.6 Hz, 3H), 1.02 (t, J = 7.3 Hz, 3H).</w:t>
      </w:r>
    </w:p>
    <w:p w14:paraId="4287506F" w14:textId="4552C398" w:rsidR="007244B8" w:rsidRPr="00AF184B" w:rsidRDefault="007244B8" w:rsidP="007244B8">
      <w:pPr>
        <w:pStyle w:val="ListParagraph"/>
        <w:numPr>
          <w:ilvl w:val="1"/>
          <w:numId w:val="5"/>
        </w:numPr>
        <w:spacing w:line="360" w:lineRule="auto"/>
        <w:ind w:firstLineChars="0"/>
        <w:rPr>
          <w:color w:val="000000" w:themeColor="text1"/>
          <w:sz w:val="24"/>
        </w:rPr>
      </w:pPr>
      <w:r w:rsidRPr="00AF184B">
        <w:rPr>
          <w:color w:val="000000" w:themeColor="text1"/>
          <w:sz w:val="24"/>
        </w:rPr>
        <w:t>Synthesis of PSN38 (Fig. S</w:t>
      </w:r>
      <w:r w:rsidR="009F1049" w:rsidRPr="00AF184B">
        <w:rPr>
          <w:color w:val="000000" w:themeColor="text1"/>
          <w:sz w:val="24"/>
        </w:rPr>
        <w:t>1</w:t>
      </w:r>
      <w:r w:rsidRPr="00AF184B">
        <w:rPr>
          <w:color w:val="000000" w:themeColor="text1"/>
          <w:sz w:val="24"/>
        </w:rPr>
        <w:t>d)</w:t>
      </w:r>
    </w:p>
    <w:p w14:paraId="5C2586EB" w14:textId="7AADAE54" w:rsidR="007244B8" w:rsidRPr="00AF184B" w:rsidRDefault="007244B8" w:rsidP="007244B8">
      <w:pPr>
        <w:spacing w:line="360" w:lineRule="auto"/>
        <w:ind w:firstLineChars="100" w:firstLine="240"/>
        <w:rPr>
          <w:color w:val="000000" w:themeColor="text1"/>
          <w:sz w:val="24"/>
        </w:rPr>
      </w:pPr>
      <w:r w:rsidRPr="00AF184B">
        <w:rPr>
          <w:color w:val="000000" w:themeColor="text1"/>
          <w:sz w:val="24"/>
        </w:rPr>
        <w:t>PEG</w:t>
      </w:r>
      <w:r w:rsidRPr="00AF184B">
        <w:rPr>
          <w:color w:val="000000" w:themeColor="text1"/>
          <w:sz w:val="24"/>
          <w:vertAlign w:val="subscript"/>
        </w:rPr>
        <w:t>5k</w:t>
      </w:r>
      <w:r w:rsidRPr="00AF184B">
        <w:rPr>
          <w:color w:val="000000" w:themeColor="text1"/>
          <w:sz w:val="24"/>
        </w:rPr>
        <w:t>-PETTC (200 mg, 0.04 mmol), monomer MMESSN38 (200 mg, 0.34 mmol), and</w:t>
      </w:r>
      <w:bookmarkStart w:id="15" w:name="_Hlk83547709"/>
      <w:r w:rsidRPr="00AF184B">
        <w:rPr>
          <w:color w:val="000000" w:themeColor="text1"/>
          <w:sz w:val="24"/>
        </w:rPr>
        <w:t xml:space="preserve"> Azobisisobutyronitrile (AIBN</w:t>
      </w:r>
      <w:bookmarkEnd w:id="15"/>
      <w:r w:rsidRPr="00AF184B">
        <w:rPr>
          <w:color w:val="000000" w:themeColor="text1"/>
          <w:sz w:val="24"/>
        </w:rPr>
        <w:t>, 2 mg, 0.012 mmol) were dissolved in anhydrous 1,4-dioxane (4 ml) and bubbled with dry N</w:t>
      </w:r>
      <w:r w:rsidRPr="00AF184B">
        <w:rPr>
          <w:color w:val="000000" w:themeColor="text1"/>
          <w:sz w:val="24"/>
          <w:vertAlign w:val="subscript"/>
        </w:rPr>
        <w:t>2</w:t>
      </w:r>
      <w:r w:rsidRPr="00AF184B">
        <w:rPr>
          <w:color w:val="000000" w:themeColor="text1"/>
          <w:sz w:val="24"/>
        </w:rPr>
        <w:t xml:space="preserve"> for 30 min. The reaction was stirring at 75 ℃ for 12 h. After that, the product was obtained by reprecipitation in 100 ml cold anhydrous ethanol for 3 times and dried in a vacuum oven. MMESSN38 content in polymer conjugate was analyzed by </w:t>
      </w:r>
      <w:r w:rsidRPr="00AF184B">
        <w:rPr>
          <w:color w:val="000000" w:themeColor="text1"/>
          <w:sz w:val="24"/>
          <w:vertAlign w:val="superscript"/>
        </w:rPr>
        <w:t>1</w:t>
      </w:r>
      <w:r w:rsidRPr="00AF184B">
        <w:rPr>
          <w:color w:val="000000" w:themeColor="text1"/>
          <w:sz w:val="24"/>
        </w:rPr>
        <w:t>H-NMR (Fig. S</w:t>
      </w:r>
      <w:r w:rsidR="00445BC7" w:rsidRPr="00AF184B">
        <w:rPr>
          <w:color w:val="000000" w:themeColor="text1"/>
          <w:sz w:val="24"/>
        </w:rPr>
        <w:t>3</w:t>
      </w:r>
      <w:r w:rsidRPr="00AF184B">
        <w:rPr>
          <w:color w:val="000000" w:themeColor="text1"/>
          <w:sz w:val="24"/>
        </w:rPr>
        <w:t>d).</w:t>
      </w:r>
    </w:p>
    <w:p w14:paraId="26B5C1FC" w14:textId="77777777" w:rsidR="007244B8" w:rsidRPr="00AF184B" w:rsidRDefault="007244B8" w:rsidP="007244B8">
      <w:pPr>
        <w:spacing w:line="360" w:lineRule="auto"/>
        <w:ind w:firstLineChars="100" w:firstLine="240"/>
        <w:rPr>
          <w:color w:val="000000" w:themeColor="text1"/>
          <w:sz w:val="24"/>
        </w:rPr>
      </w:pPr>
    </w:p>
    <w:p w14:paraId="25DFA782" w14:textId="0633FCE8" w:rsidR="007244B8" w:rsidRPr="00AF184B" w:rsidRDefault="007244B8" w:rsidP="007244B8">
      <w:pPr>
        <w:snapToGrid w:val="0"/>
        <w:spacing w:line="360" w:lineRule="auto"/>
        <w:rPr>
          <w:b/>
          <w:color w:val="000000" w:themeColor="text1"/>
          <w:sz w:val="24"/>
        </w:rPr>
      </w:pPr>
      <w:r w:rsidRPr="00AF184B">
        <w:rPr>
          <w:b/>
          <w:color w:val="000000" w:themeColor="text1"/>
          <w:sz w:val="24"/>
        </w:rPr>
        <w:t>2. Synthesis of triptolide-naphthalene sulfonamide (TPL-nsa)</w:t>
      </w:r>
    </w:p>
    <w:p w14:paraId="1029DA3B" w14:textId="1F268E2D" w:rsidR="007244B8" w:rsidRPr="00AF184B" w:rsidRDefault="007244B8" w:rsidP="007244B8">
      <w:pPr>
        <w:spacing w:line="360" w:lineRule="auto"/>
        <w:ind w:firstLineChars="100" w:firstLine="240"/>
        <w:rPr>
          <w:color w:val="000000" w:themeColor="text1"/>
          <w:sz w:val="24"/>
        </w:rPr>
      </w:pPr>
      <w:r w:rsidRPr="00AF184B">
        <w:rPr>
          <w:color w:val="000000" w:themeColor="text1"/>
          <w:sz w:val="24"/>
        </w:rPr>
        <w:t>Triptolide (0.36 g, 1 mmol), succinic anhydride (0.5 g, 5 mmol), DMAP (0.6</w:t>
      </w:r>
      <w:r w:rsidR="00CE3733" w:rsidRPr="00AF184B">
        <w:rPr>
          <w:color w:val="000000" w:themeColor="text1"/>
          <w:sz w:val="24"/>
        </w:rPr>
        <w:t xml:space="preserve"> </w:t>
      </w:r>
      <w:r w:rsidRPr="00AF184B">
        <w:rPr>
          <w:color w:val="000000" w:themeColor="text1"/>
          <w:sz w:val="24"/>
        </w:rPr>
        <w:t>g, 5</w:t>
      </w:r>
      <w:r w:rsidR="00CE3733" w:rsidRPr="00AF184B">
        <w:rPr>
          <w:color w:val="000000" w:themeColor="text1"/>
          <w:sz w:val="24"/>
        </w:rPr>
        <w:t xml:space="preserve"> </w:t>
      </w:r>
      <w:r w:rsidRPr="00AF184B">
        <w:rPr>
          <w:color w:val="000000" w:themeColor="text1"/>
          <w:sz w:val="24"/>
        </w:rPr>
        <w:t>mmol) and Trimethylamine (TEA, 1.03</w:t>
      </w:r>
      <w:r w:rsidR="00CE3733" w:rsidRPr="00AF184B">
        <w:rPr>
          <w:color w:val="000000" w:themeColor="text1"/>
          <w:sz w:val="24"/>
        </w:rPr>
        <w:t xml:space="preserve"> </w:t>
      </w:r>
      <w:r w:rsidRPr="00AF184B">
        <w:rPr>
          <w:color w:val="000000" w:themeColor="text1"/>
          <w:sz w:val="24"/>
        </w:rPr>
        <w:t>g, 5 mmol) were dissolved in 2 ml anhydrous DCM and reacted for 1 h at room temperature. The reaction solution was diluted with 100 ml DCM, washed with 1 M HCl (30 ml, 3 times) and water (30 ml, 3 times) and dried by anhydrous NaSO</w:t>
      </w:r>
      <w:r w:rsidRPr="00AF184B">
        <w:rPr>
          <w:color w:val="000000" w:themeColor="text1"/>
          <w:sz w:val="24"/>
          <w:vertAlign w:val="subscript"/>
        </w:rPr>
        <w:t>4</w:t>
      </w:r>
      <w:r w:rsidRPr="00AF184B">
        <w:rPr>
          <w:color w:val="000000" w:themeColor="text1"/>
          <w:sz w:val="24"/>
        </w:rPr>
        <w:t>. The intermediate product was collected via rotary evaporation without further purification. Then the intermediate product (0.46 g, 1 mmol), naphthalene sulfonamide (0.25 g, 1.2 mmol), DMAP (0.18 g, 1.5 mmol) and EDC·HCl (0.23 g, 1.2 mmol) were dissolved in 20 ml anhydrous DCM and stirred overnight at room temperature. The crude product was further purified by column chromatography to yield triptolide-naphthalene sulfonamide (TPL-nsa) (</w:t>
      </w:r>
      <w:r w:rsidRPr="00AF184B">
        <w:rPr>
          <w:color w:val="000000" w:themeColor="text1"/>
          <w:sz w:val="24"/>
          <w:szCs w:val="28"/>
        </w:rPr>
        <w:t>Fig. S</w:t>
      </w:r>
      <w:r w:rsidR="009F1049" w:rsidRPr="00AF184B">
        <w:rPr>
          <w:color w:val="000000" w:themeColor="text1"/>
          <w:sz w:val="24"/>
          <w:szCs w:val="28"/>
        </w:rPr>
        <w:t>1</w:t>
      </w:r>
      <w:r w:rsidRPr="00AF184B">
        <w:rPr>
          <w:color w:val="000000" w:themeColor="text1"/>
          <w:sz w:val="24"/>
          <w:szCs w:val="28"/>
        </w:rPr>
        <w:t xml:space="preserve">e </w:t>
      </w:r>
      <w:r w:rsidRPr="00AF184B">
        <w:rPr>
          <w:rFonts w:hint="eastAsia"/>
          <w:color w:val="000000" w:themeColor="text1"/>
          <w:sz w:val="24"/>
          <w:szCs w:val="28"/>
        </w:rPr>
        <w:t>and</w:t>
      </w:r>
      <w:r w:rsidRPr="00AF184B">
        <w:rPr>
          <w:color w:val="000000" w:themeColor="text1"/>
          <w:sz w:val="24"/>
          <w:szCs w:val="28"/>
        </w:rPr>
        <w:t xml:space="preserve"> Fig. S</w:t>
      </w:r>
      <w:r w:rsidR="00445BC7" w:rsidRPr="00AF184B">
        <w:rPr>
          <w:color w:val="000000" w:themeColor="text1"/>
          <w:sz w:val="24"/>
          <w:szCs w:val="28"/>
        </w:rPr>
        <w:t>3</w:t>
      </w:r>
      <w:r w:rsidRPr="00AF184B">
        <w:rPr>
          <w:color w:val="000000" w:themeColor="text1"/>
          <w:sz w:val="24"/>
          <w:szCs w:val="28"/>
        </w:rPr>
        <w:t>e</w:t>
      </w:r>
      <w:r w:rsidRPr="00AF184B">
        <w:rPr>
          <w:color w:val="000000" w:themeColor="text1"/>
          <w:sz w:val="24"/>
        </w:rPr>
        <w:t xml:space="preserve">). </w:t>
      </w:r>
      <w:r w:rsidRPr="00AF184B">
        <w:rPr>
          <w:color w:val="000000" w:themeColor="text1"/>
          <w:sz w:val="24"/>
          <w:vertAlign w:val="superscript"/>
        </w:rPr>
        <w:t>1</w:t>
      </w:r>
      <w:r w:rsidRPr="00AF184B">
        <w:rPr>
          <w:color w:val="000000" w:themeColor="text1"/>
          <w:sz w:val="24"/>
        </w:rPr>
        <w:t>H NMR (400 MHz, CDCl</w:t>
      </w:r>
      <w:r w:rsidRPr="00AF184B">
        <w:rPr>
          <w:color w:val="000000" w:themeColor="text1"/>
          <w:sz w:val="24"/>
          <w:vertAlign w:val="subscript"/>
        </w:rPr>
        <w:t>3</w:t>
      </w:r>
      <w:r w:rsidRPr="00AF184B">
        <w:rPr>
          <w:color w:val="000000" w:themeColor="text1"/>
          <w:sz w:val="24"/>
        </w:rPr>
        <w:t>): δ 9.46 (s, 1H), 8.67 (d, J = 1.8 Hz, 1H), 8.06 – 7.95 (m, 3H), 7.94 – 7.89 (m, 1H), 7.65 (dddd, J = 20.4, 8.2, 7.0, 1.4 Hz, 2H), 5.06 (s, 1H), 4.74 – 4.63 (m, 2H), 3.96 (d, J = 3.2 Hz, 1H), 3.64 (dd, J = 3.1, 0.9 Hz, 1H), 3.49 (d, J = 5.6 Hz, 1H), 2.88 – 2.46 (m, 5H), 2.17 (dt, J = 14.9, 5.8 Hz, 2H), 1.95 – 1.84 (m, 2H), 1.61 (t, J = 6.4 Hz, 1H), 1.25 (td, J = 12.1, 5.8 Hz, 2H), 1.04 (s, 3H), 0.89 (d, J = 7.0 Hz, 3H), 0.81 (d, J = 6.9 Hz, 3H).</w:t>
      </w:r>
    </w:p>
    <w:p w14:paraId="243F92C8" w14:textId="77777777" w:rsidR="007244B8" w:rsidRPr="00AF184B" w:rsidRDefault="007244B8" w:rsidP="0026666B">
      <w:pPr>
        <w:snapToGrid w:val="0"/>
        <w:spacing w:line="360" w:lineRule="auto"/>
        <w:rPr>
          <w:b/>
          <w:color w:val="000000" w:themeColor="text1"/>
          <w:sz w:val="28"/>
          <w:szCs w:val="28"/>
        </w:rPr>
      </w:pPr>
    </w:p>
    <w:p w14:paraId="79364E47" w14:textId="4DB21B55" w:rsidR="009B6EC3" w:rsidRPr="00AF184B" w:rsidRDefault="007244B8" w:rsidP="0026666B">
      <w:pPr>
        <w:snapToGrid w:val="0"/>
        <w:spacing w:line="360" w:lineRule="auto"/>
        <w:rPr>
          <w:b/>
          <w:color w:val="000000" w:themeColor="text1"/>
          <w:sz w:val="24"/>
        </w:rPr>
      </w:pPr>
      <w:r w:rsidRPr="00AF184B">
        <w:rPr>
          <w:b/>
          <w:color w:val="000000" w:themeColor="text1"/>
          <w:sz w:val="24"/>
        </w:rPr>
        <w:t>3</w:t>
      </w:r>
      <w:r w:rsidR="009B6EC3" w:rsidRPr="00AF184B">
        <w:rPr>
          <w:b/>
          <w:color w:val="000000" w:themeColor="text1"/>
          <w:sz w:val="24"/>
        </w:rPr>
        <w:t xml:space="preserve">. Isolation and culturing of fibroblasts </w:t>
      </w:r>
    </w:p>
    <w:p w14:paraId="3365F8A6" w14:textId="5ABE8217" w:rsidR="009B6EC3" w:rsidRPr="00AF184B" w:rsidRDefault="009B6EC3" w:rsidP="0026666B">
      <w:pPr>
        <w:spacing w:line="360" w:lineRule="auto"/>
        <w:ind w:firstLineChars="100" w:firstLine="240"/>
        <w:rPr>
          <w:color w:val="000000" w:themeColor="text1"/>
          <w:sz w:val="24"/>
        </w:rPr>
      </w:pPr>
      <w:r w:rsidRPr="00AF184B">
        <w:rPr>
          <w:color w:val="000000" w:themeColor="text1"/>
          <w:sz w:val="24"/>
        </w:rPr>
        <w:lastRenderedPageBreak/>
        <w:t>Fibroblast isolation was approved by the ethics committee of The Second Affiliated Hospital of Zhejiang University School of Medicine and we got informed consent from all patients. Human</w:t>
      </w:r>
      <w:r w:rsidR="00CB54F4" w:rsidRPr="00AF184B">
        <w:rPr>
          <w:color w:val="000000" w:themeColor="text1"/>
          <w:sz w:val="24"/>
        </w:rPr>
        <w:t xml:space="preserve"> gastric cancer</w:t>
      </w:r>
      <w:r w:rsidRPr="00AF184B">
        <w:rPr>
          <w:color w:val="000000" w:themeColor="text1"/>
          <w:sz w:val="24"/>
        </w:rPr>
        <w:t xml:space="preserve"> </w:t>
      </w:r>
      <w:r w:rsidR="00CB54F4" w:rsidRPr="00AF184B">
        <w:rPr>
          <w:color w:val="000000" w:themeColor="text1"/>
          <w:sz w:val="24"/>
        </w:rPr>
        <w:t>(</w:t>
      </w:r>
      <w:r w:rsidRPr="00AF184B">
        <w:rPr>
          <w:color w:val="000000" w:themeColor="text1"/>
          <w:sz w:val="24"/>
        </w:rPr>
        <w:t>GC</w:t>
      </w:r>
      <w:r w:rsidR="00CB54F4" w:rsidRPr="00AF184B">
        <w:rPr>
          <w:color w:val="000000" w:themeColor="text1"/>
          <w:sz w:val="24"/>
        </w:rPr>
        <w:t>)</w:t>
      </w:r>
      <w:r w:rsidRPr="00AF184B">
        <w:rPr>
          <w:color w:val="000000" w:themeColor="text1"/>
          <w:sz w:val="24"/>
        </w:rPr>
        <w:t xml:space="preserve"> specimens were obtained from patients that underwent tumor resection surgery at The Second Affiliated Hospital of Zhejiang University School of Medicine (Hangzhou, China). The fresh specimen from radical correction of GC was taken from the operating room and sheared into small blocks 1 mm in diameter on an aseptic bench and then placed uniformly onto the culture face of a disposable culture flask with an elbow straw (the interval between the blocks was 5 mm). High-sugar DMEM (2 ml) containing 20%</w:t>
      </w:r>
      <w:r w:rsidR="00B24D26" w:rsidRPr="00AF184B">
        <w:rPr>
          <w:color w:val="000000" w:themeColor="text1"/>
        </w:rPr>
        <w:t xml:space="preserve"> </w:t>
      </w:r>
      <w:r w:rsidR="00B24D26" w:rsidRPr="00AF184B">
        <w:rPr>
          <w:color w:val="000000" w:themeColor="text1"/>
          <w:sz w:val="24"/>
        </w:rPr>
        <w:t>fetal bovine serum</w:t>
      </w:r>
      <w:r w:rsidRPr="00AF184B">
        <w:rPr>
          <w:color w:val="000000" w:themeColor="text1"/>
          <w:sz w:val="24"/>
        </w:rPr>
        <w:t xml:space="preserve"> </w:t>
      </w:r>
      <w:r w:rsidR="00B24D26" w:rsidRPr="00AF184B">
        <w:rPr>
          <w:color w:val="000000" w:themeColor="text1"/>
          <w:sz w:val="24"/>
        </w:rPr>
        <w:t>(</w:t>
      </w:r>
      <w:r w:rsidRPr="00AF184B">
        <w:rPr>
          <w:color w:val="000000" w:themeColor="text1"/>
          <w:sz w:val="24"/>
        </w:rPr>
        <w:t>FBS</w:t>
      </w:r>
      <w:r w:rsidR="00B24D26" w:rsidRPr="00AF184B">
        <w:rPr>
          <w:color w:val="000000" w:themeColor="text1"/>
          <w:sz w:val="24"/>
        </w:rPr>
        <w:t>)</w:t>
      </w:r>
      <w:r w:rsidRPr="00AF184B">
        <w:rPr>
          <w:color w:val="000000" w:themeColor="text1"/>
          <w:sz w:val="24"/>
        </w:rPr>
        <w:t xml:space="preserve"> was added, the culture flask was then inverted and cultured for 4 h in the incubator containing 5% CO</w:t>
      </w:r>
      <w:r w:rsidRPr="00AF184B">
        <w:rPr>
          <w:color w:val="000000" w:themeColor="text1"/>
          <w:sz w:val="24"/>
          <w:vertAlign w:val="subscript"/>
        </w:rPr>
        <w:t>2</w:t>
      </w:r>
      <w:r w:rsidRPr="00AF184B">
        <w:rPr>
          <w:color w:val="000000" w:themeColor="text1"/>
          <w:sz w:val="24"/>
        </w:rPr>
        <w:t xml:space="preserve"> at 37˚C. Subsequently, the culture flask was overturned. The culture liquid was replaced on the third day and then every subsequent three days. The soonest cells were seen to appear was following 5 to 7 days. After ~2 to 3 weeks, cells covered the whole base of the flask. The enzyme digestion method was used to purify the cells. Following the first passage, the medium was replaced with DMEM medium containing 10% FBS and 1% antibiotics to conduct a conventional culture. In the current study, three paired </w:t>
      </w:r>
      <w:r w:rsidR="0026666B" w:rsidRPr="00AF184B">
        <w:rPr>
          <w:color w:val="000000" w:themeColor="text1"/>
          <w:sz w:val="24"/>
        </w:rPr>
        <w:t>cancer associated fibroblasts (CAFs)</w:t>
      </w:r>
      <w:r w:rsidRPr="00AF184B">
        <w:rPr>
          <w:color w:val="000000" w:themeColor="text1"/>
          <w:sz w:val="24"/>
        </w:rPr>
        <w:t xml:space="preserve"> and </w:t>
      </w:r>
      <w:r w:rsidR="0026666B" w:rsidRPr="00AF184B">
        <w:rPr>
          <w:color w:val="000000" w:themeColor="text1"/>
          <w:sz w:val="24"/>
        </w:rPr>
        <w:t>normal associated fibroblasts (NAFs)</w:t>
      </w:r>
      <w:r w:rsidRPr="00AF184B">
        <w:rPr>
          <w:color w:val="000000" w:themeColor="text1"/>
          <w:sz w:val="24"/>
        </w:rPr>
        <w:t xml:space="preserve"> samples harvested from three different patients were used. The pathologic characteristics are described below.</w:t>
      </w:r>
    </w:p>
    <w:tbl>
      <w:tblPr>
        <w:tblpPr w:leftFromText="142" w:rightFromText="142" w:vertAnchor="text" w:horzAnchor="page" w:tblpX="1767" w:tblpY="46"/>
        <w:tblW w:w="8647" w:type="dxa"/>
        <w:tblLayout w:type="fixed"/>
        <w:tblCellMar>
          <w:left w:w="0" w:type="dxa"/>
          <w:right w:w="0" w:type="dxa"/>
        </w:tblCellMar>
        <w:tblLook w:val="04A0" w:firstRow="1" w:lastRow="0" w:firstColumn="1" w:lastColumn="0" w:noHBand="0" w:noVBand="1"/>
      </w:tblPr>
      <w:tblGrid>
        <w:gridCol w:w="893"/>
        <w:gridCol w:w="643"/>
        <w:gridCol w:w="626"/>
        <w:gridCol w:w="780"/>
        <w:gridCol w:w="911"/>
        <w:gridCol w:w="910"/>
        <w:gridCol w:w="765"/>
        <w:gridCol w:w="1276"/>
        <w:gridCol w:w="992"/>
        <w:gridCol w:w="851"/>
      </w:tblGrid>
      <w:tr w:rsidR="00AF184B" w:rsidRPr="00AF184B" w14:paraId="66CCB45F" w14:textId="77777777" w:rsidTr="00742C9D">
        <w:trPr>
          <w:trHeight w:val="615"/>
        </w:trPr>
        <w:tc>
          <w:tcPr>
            <w:tcW w:w="893"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6A00BFB6" w14:textId="77777777" w:rsidR="009B6EC3" w:rsidRPr="00AF184B" w:rsidRDefault="009B6EC3" w:rsidP="00742C9D">
            <w:pPr>
              <w:snapToGrid w:val="0"/>
              <w:spacing w:line="480" w:lineRule="auto"/>
              <w:jc w:val="center"/>
              <w:rPr>
                <w:color w:val="000000" w:themeColor="text1"/>
                <w:sz w:val="16"/>
                <w:szCs w:val="16"/>
              </w:rPr>
            </w:pPr>
            <w:bookmarkStart w:id="16" w:name="_Hlk83552351"/>
            <w:r w:rsidRPr="00AF184B">
              <w:rPr>
                <w:b/>
                <w:bCs/>
                <w:color w:val="000000" w:themeColor="text1"/>
                <w:sz w:val="16"/>
                <w:szCs w:val="16"/>
              </w:rPr>
              <w:t>Fibroblasts</w:t>
            </w:r>
          </w:p>
        </w:tc>
        <w:tc>
          <w:tcPr>
            <w:tcW w:w="643"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39C786EE"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Gender</w:t>
            </w:r>
          </w:p>
        </w:tc>
        <w:tc>
          <w:tcPr>
            <w:tcW w:w="626"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36901BD3"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Age</w:t>
            </w:r>
          </w:p>
          <w:p w14:paraId="51882C71"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(year)</w:t>
            </w:r>
          </w:p>
        </w:tc>
        <w:tc>
          <w:tcPr>
            <w:tcW w:w="780"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701DCD21"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Tumor size (cm)</w:t>
            </w:r>
          </w:p>
        </w:tc>
        <w:tc>
          <w:tcPr>
            <w:tcW w:w="911"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42536246"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Depth of invasion</w:t>
            </w:r>
          </w:p>
        </w:tc>
        <w:tc>
          <w:tcPr>
            <w:tcW w:w="910"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13EDF7DE"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Location</w:t>
            </w:r>
          </w:p>
        </w:tc>
        <w:tc>
          <w:tcPr>
            <w:tcW w:w="765"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2B4AAA5C"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Operation</w:t>
            </w:r>
          </w:p>
        </w:tc>
        <w:tc>
          <w:tcPr>
            <w:tcW w:w="1276"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6A76536D"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WHO</w:t>
            </w:r>
          </w:p>
          <w:p w14:paraId="586B6BCA"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classification</w:t>
            </w:r>
          </w:p>
        </w:tc>
        <w:tc>
          <w:tcPr>
            <w:tcW w:w="992"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2C131381" w14:textId="77777777" w:rsidR="009B6EC3" w:rsidRPr="00AF184B" w:rsidRDefault="009B6EC3" w:rsidP="00742C9D">
            <w:pPr>
              <w:snapToGrid w:val="0"/>
              <w:spacing w:line="480" w:lineRule="auto"/>
              <w:jc w:val="center"/>
              <w:rPr>
                <w:color w:val="000000" w:themeColor="text1"/>
                <w:sz w:val="16"/>
                <w:szCs w:val="16"/>
              </w:rPr>
            </w:pPr>
            <w:r w:rsidRPr="00AF184B">
              <w:rPr>
                <w:b/>
                <w:bCs/>
                <w:color w:val="000000" w:themeColor="text1"/>
                <w:sz w:val="16"/>
                <w:szCs w:val="16"/>
              </w:rPr>
              <w:t>Lauren</w:t>
            </w:r>
          </w:p>
          <w:p w14:paraId="72DFFDA6"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classification</w:t>
            </w:r>
          </w:p>
        </w:tc>
        <w:tc>
          <w:tcPr>
            <w:tcW w:w="851" w:type="dxa"/>
            <w:tcBorders>
              <w:top w:val="single" w:sz="12" w:space="0" w:color="auto"/>
              <w:bottom w:val="single" w:sz="4" w:space="0" w:color="auto"/>
            </w:tcBorders>
            <w:vAlign w:val="center"/>
          </w:tcPr>
          <w:p w14:paraId="1612B594"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Metastasis</w:t>
            </w:r>
          </w:p>
        </w:tc>
      </w:tr>
      <w:tr w:rsidR="00AF184B" w:rsidRPr="00AF184B" w14:paraId="08991F40" w14:textId="77777777" w:rsidTr="00742C9D">
        <w:trPr>
          <w:trHeight w:val="615"/>
        </w:trPr>
        <w:tc>
          <w:tcPr>
            <w:tcW w:w="893" w:type="dxa"/>
            <w:tcBorders>
              <w:top w:val="single" w:sz="4" w:space="0" w:color="auto"/>
            </w:tcBorders>
            <w:shd w:val="clear" w:color="auto" w:fill="auto"/>
            <w:tcMar>
              <w:top w:w="28" w:type="dxa"/>
              <w:left w:w="28" w:type="dxa"/>
              <w:bottom w:w="28" w:type="dxa"/>
              <w:right w:w="28" w:type="dxa"/>
            </w:tcMar>
            <w:vAlign w:val="center"/>
            <w:hideMark/>
          </w:tcPr>
          <w:p w14:paraId="563096E6"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CAF1/NAF1</w:t>
            </w:r>
          </w:p>
        </w:tc>
        <w:tc>
          <w:tcPr>
            <w:tcW w:w="643" w:type="dxa"/>
            <w:tcBorders>
              <w:top w:val="single" w:sz="4" w:space="0" w:color="auto"/>
            </w:tcBorders>
            <w:shd w:val="clear" w:color="auto" w:fill="auto"/>
            <w:tcMar>
              <w:top w:w="28" w:type="dxa"/>
              <w:left w:w="28" w:type="dxa"/>
              <w:bottom w:w="28" w:type="dxa"/>
              <w:right w:w="28" w:type="dxa"/>
            </w:tcMar>
            <w:vAlign w:val="center"/>
            <w:hideMark/>
          </w:tcPr>
          <w:p w14:paraId="2119CF19"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Male</w:t>
            </w:r>
          </w:p>
        </w:tc>
        <w:tc>
          <w:tcPr>
            <w:tcW w:w="626" w:type="dxa"/>
            <w:tcBorders>
              <w:top w:val="single" w:sz="4" w:space="0" w:color="auto"/>
            </w:tcBorders>
            <w:shd w:val="clear" w:color="auto" w:fill="auto"/>
            <w:tcMar>
              <w:top w:w="28" w:type="dxa"/>
              <w:left w:w="28" w:type="dxa"/>
              <w:bottom w:w="28" w:type="dxa"/>
              <w:right w:w="28" w:type="dxa"/>
            </w:tcMar>
            <w:vAlign w:val="center"/>
            <w:hideMark/>
          </w:tcPr>
          <w:p w14:paraId="762AA7E1"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55</w:t>
            </w:r>
          </w:p>
        </w:tc>
        <w:tc>
          <w:tcPr>
            <w:tcW w:w="780" w:type="dxa"/>
            <w:tcBorders>
              <w:top w:val="single" w:sz="4" w:space="0" w:color="auto"/>
            </w:tcBorders>
            <w:shd w:val="clear" w:color="auto" w:fill="auto"/>
            <w:tcMar>
              <w:top w:w="28" w:type="dxa"/>
              <w:left w:w="28" w:type="dxa"/>
              <w:bottom w:w="28" w:type="dxa"/>
              <w:right w:w="28" w:type="dxa"/>
            </w:tcMar>
            <w:vAlign w:val="center"/>
            <w:hideMark/>
          </w:tcPr>
          <w:p w14:paraId="5D774C9C"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3.5*2.5</w:t>
            </w:r>
          </w:p>
        </w:tc>
        <w:tc>
          <w:tcPr>
            <w:tcW w:w="911" w:type="dxa"/>
            <w:tcBorders>
              <w:top w:val="single" w:sz="4" w:space="0" w:color="auto"/>
            </w:tcBorders>
            <w:shd w:val="clear" w:color="auto" w:fill="auto"/>
            <w:tcMar>
              <w:top w:w="28" w:type="dxa"/>
              <w:left w:w="28" w:type="dxa"/>
              <w:bottom w:w="28" w:type="dxa"/>
              <w:right w:w="28" w:type="dxa"/>
            </w:tcMar>
            <w:vAlign w:val="center"/>
            <w:hideMark/>
          </w:tcPr>
          <w:p w14:paraId="44C2EFD6"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 xml:space="preserve">Subserous </w:t>
            </w:r>
          </w:p>
        </w:tc>
        <w:tc>
          <w:tcPr>
            <w:tcW w:w="910" w:type="dxa"/>
            <w:tcBorders>
              <w:top w:val="single" w:sz="4" w:space="0" w:color="auto"/>
            </w:tcBorders>
            <w:shd w:val="clear" w:color="auto" w:fill="auto"/>
            <w:tcMar>
              <w:top w:w="28" w:type="dxa"/>
              <w:left w:w="28" w:type="dxa"/>
              <w:bottom w:w="28" w:type="dxa"/>
              <w:right w:w="28" w:type="dxa"/>
            </w:tcMar>
            <w:vAlign w:val="center"/>
            <w:hideMark/>
          </w:tcPr>
          <w:p w14:paraId="0577C58E"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Body</w:t>
            </w:r>
          </w:p>
        </w:tc>
        <w:tc>
          <w:tcPr>
            <w:tcW w:w="765" w:type="dxa"/>
            <w:tcBorders>
              <w:top w:val="single" w:sz="4" w:space="0" w:color="auto"/>
            </w:tcBorders>
            <w:shd w:val="clear" w:color="auto" w:fill="auto"/>
            <w:tcMar>
              <w:top w:w="28" w:type="dxa"/>
              <w:left w:w="28" w:type="dxa"/>
              <w:bottom w:w="28" w:type="dxa"/>
              <w:right w:w="28" w:type="dxa"/>
            </w:tcMar>
            <w:vAlign w:val="center"/>
            <w:hideMark/>
          </w:tcPr>
          <w:p w14:paraId="5EE27FC6"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Total</w:t>
            </w:r>
          </w:p>
        </w:tc>
        <w:tc>
          <w:tcPr>
            <w:tcW w:w="1276" w:type="dxa"/>
            <w:tcBorders>
              <w:top w:val="single" w:sz="4" w:space="0" w:color="auto"/>
            </w:tcBorders>
            <w:shd w:val="clear" w:color="auto" w:fill="auto"/>
            <w:tcMar>
              <w:top w:w="28" w:type="dxa"/>
              <w:left w:w="28" w:type="dxa"/>
              <w:bottom w:w="28" w:type="dxa"/>
              <w:right w:w="28" w:type="dxa"/>
            </w:tcMar>
            <w:vAlign w:val="center"/>
            <w:hideMark/>
          </w:tcPr>
          <w:p w14:paraId="324CA8B2" w14:textId="77777777" w:rsidR="009B6EC3" w:rsidRPr="00AF184B" w:rsidRDefault="009B6EC3" w:rsidP="00742C9D">
            <w:pPr>
              <w:snapToGrid w:val="0"/>
              <w:spacing w:line="480" w:lineRule="auto"/>
              <w:jc w:val="center"/>
              <w:rPr>
                <w:color w:val="000000" w:themeColor="text1"/>
                <w:sz w:val="16"/>
                <w:szCs w:val="16"/>
              </w:rPr>
            </w:pPr>
            <w:r w:rsidRPr="00AF184B">
              <w:rPr>
                <w:rFonts w:eastAsiaTheme="minorEastAsia"/>
                <w:color w:val="000000" w:themeColor="text1"/>
                <w:sz w:val="16"/>
                <w:szCs w:val="16"/>
              </w:rPr>
              <w:t>Moderately-Poor</w:t>
            </w:r>
            <w:r w:rsidRPr="00AF184B">
              <w:rPr>
                <w:color w:val="000000" w:themeColor="text1"/>
                <w:sz w:val="16"/>
                <w:szCs w:val="16"/>
              </w:rPr>
              <w:t>ly adenocarcinoma</w:t>
            </w:r>
          </w:p>
        </w:tc>
        <w:tc>
          <w:tcPr>
            <w:tcW w:w="992" w:type="dxa"/>
            <w:tcBorders>
              <w:top w:val="single" w:sz="4" w:space="0" w:color="auto"/>
            </w:tcBorders>
            <w:shd w:val="clear" w:color="auto" w:fill="auto"/>
            <w:tcMar>
              <w:top w:w="28" w:type="dxa"/>
              <w:left w:w="28" w:type="dxa"/>
              <w:bottom w:w="28" w:type="dxa"/>
              <w:right w:w="28" w:type="dxa"/>
            </w:tcMar>
            <w:vAlign w:val="center"/>
            <w:hideMark/>
          </w:tcPr>
          <w:p w14:paraId="41F07F5E"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Mixed</w:t>
            </w:r>
          </w:p>
        </w:tc>
        <w:tc>
          <w:tcPr>
            <w:tcW w:w="851" w:type="dxa"/>
            <w:tcBorders>
              <w:top w:val="single" w:sz="4" w:space="0" w:color="auto"/>
            </w:tcBorders>
            <w:vAlign w:val="center"/>
          </w:tcPr>
          <w:p w14:paraId="425316A9"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Lymph node</w:t>
            </w:r>
          </w:p>
        </w:tc>
      </w:tr>
      <w:tr w:rsidR="00AF184B" w:rsidRPr="00AF184B" w14:paraId="0EBCB9EE" w14:textId="77777777" w:rsidTr="00742C9D">
        <w:trPr>
          <w:trHeight w:val="615"/>
        </w:trPr>
        <w:tc>
          <w:tcPr>
            <w:tcW w:w="893" w:type="dxa"/>
            <w:shd w:val="clear" w:color="auto" w:fill="auto"/>
            <w:tcMar>
              <w:top w:w="28" w:type="dxa"/>
              <w:left w:w="28" w:type="dxa"/>
              <w:bottom w:w="28" w:type="dxa"/>
              <w:right w:w="28" w:type="dxa"/>
            </w:tcMar>
            <w:vAlign w:val="center"/>
            <w:hideMark/>
          </w:tcPr>
          <w:p w14:paraId="75508328"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CAF2/NAF2</w:t>
            </w:r>
          </w:p>
        </w:tc>
        <w:tc>
          <w:tcPr>
            <w:tcW w:w="643" w:type="dxa"/>
            <w:shd w:val="clear" w:color="auto" w:fill="auto"/>
            <w:tcMar>
              <w:top w:w="28" w:type="dxa"/>
              <w:left w:w="28" w:type="dxa"/>
              <w:bottom w:w="28" w:type="dxa"/>
              <w:right w:w="28" w:type="dxa"/>
            </w:tcMar>
            <w:vAlign w:val="center"/>
            <w:hideMark/>
          </w:tcPr>
          <w:p w14:paraId="2CC49C7B"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Female</w:t>
            </w:r>
          </w:p>
        </w:tc>
        <w:tc>
          <w:tcPr>
            <w:tcW w:w="626" w:type="dxa"/>
            <w:shd w:val="clear" w:color="auto" w:fill="auto"/>
            <w:tcMar>
              <w:top w:w="28" w:type="dxa"/>
              <w:left w:w="28" w:type="dxa"/>
              <w:bottom w:w="28" w:type="dxa"/>
              <w:right w:w="28" w:type="dxa"/>
            </w:tcMar>
            <w:vAlign w:val="center"/>
            <w:hideMark/>
          </w:tcPr>
          <w:p w14:paraId="0DB3D368"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57</w:t>
            </w:r>
          </w:p>
        </w:tc>
        <w:tc>
          <w:tcPr>
            <w:tcW w:w="780" w:type="dxa"/>
            <w:shd w:val="clear" w:color="auto" w:fill="auto"/>
            <w:tcMar>
              <w:top w:w="28" w:type="dxa"/>
              <w:left w:w="28" w:type="dxa"/>
              <w:bottom w:w="28" w:type="dxa"/>
              <w:right w:w="28" w:type="dxa"/>
            </w:tcMar>
            <w:vAlign w:val="center"/>
            <w:hideMark/>
          </w:tcPr>
          <w:p w14:paraId="46C20383"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9*6.5</w:t>
            </w:r>
          </w:p>
        </w:tc>
        <w:tc>
          <w:tcPr>
            <w:tcW w:w="911" w:type="dxa"/>
            <w:shd w:val="clear" w:color="auto" w:fill="auto"/>
            <w:tcMar>
              <w:top w:w="28" w:type="dxa"/>
              <w:left w:w="28" w:type="dxa"/>
              <w:bottom w:w="28" w:type="dxa"/>
              <w:right w:w="28" w:type="dxa"/>
            </w:tcMar>
            <w:vAlign w:val="center"/>
            <w:hideMark/>
          </w:tcPr>
          <w:p w14:paraId="1C0DA46A"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 xml:space="preserve">Serosa </w:t>
            </w:r>
          </w:p>
        </w:tc>
        <w:tc>
          <w:tcPr>
            <w:tcW w:w="910" w:type="dxa"/>
            <w:shd w:val="clear" w:color="auto" w:fill="auto"/>
            <w:tcMar>
              <w:top w:w="28" w:type="dxa"/>
              <w:left w:w="28" w:type="dxa"/>
              <w:bottom w:w="28" w:type="dxa"/>
              <w:right w:w="28" w:type="dxa"/>
            </w:tcMar>
            <w:vAlign w:val="center"/>
            <w:hideMark/>
          </w:tcPr>
          <w:p w14:paraId="52693898"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Body</w:t>
            </w:r>
          </w:p>
        </w:tc>
        <w:tc>
          <w:tcPr>
            <w:tcW w:w="765" w:type="dxa"/>
            <w:shd w:val="clear" w:color="auto" w:fill="auto"/>
            <w:tcMar>
              <w:top w:w="28" w:type="dxa"/>
              <w:left w:w="28" w:type="dxa"/>
              <w:bottom w:w="28" w:type="dxa"/>
              <w:right w:w="28" w:type="dxa"/>
            </w:tcMar>
            <w:vAlign w:val="center"/>
            <w:hideMark/>
          </w:tcPr>
          <w:p w14:paraId="29AD0100"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Total</w:t>
            </w:r>
          </w:p>
        </w:tc>
        <w:tc>
          <w:tcPr>
            <w:tcW w:w="1276" w:type="dxa"/>
            <w:shd w:val="clear" w:color="auto" w:fill="auto"/>
            <w:tcMar>
              <w:top w:w="28" w:type="dxa"/>
              <w:left w:w="28" w:type="dxa"/>
              <w:bottom w:w="28" w:type="dxa"/>
              <w:right w:w="28" w:type="dxa"/>
            </w:tcMar>
            <w:vAlign w:val="center"/>
            <w:hideMark/>
          </w:tcPr>
          <w:p w14:paraId="6D0C3869" w14:textId="77777777" w:rsidR="009B6EC3" w:rsidRPr="00AF184B" w:rsidRDefault="009B6EC3" w:rsidP="00742C9D">
            <w:pPr>
              <w:snapToGrid w:val="0"/>
              <w:spacing w:line="480" w:lineRule="auto"/>
              <w:jc w:val="center"/>
              <w:rPr>
                <w:color w:val="000000" w:themeColor="text1"/>
                <w:sz w:val="16"/>
                <w:szCs w:val="16"/>
              </w:rPr>
            </w:pPr>
            <w:r w:rsidRPr="00AF184B">
              <w:rPr>
                <w:rFonts w:eastAsia="Microsoft YaHei"/>
                <w:color w:val="000000" w:themeColor="text1"/>
                <w:sz w:val="16"/>
                <w:szCs w:val="16"/>
                <w:shd w:val="clear" w:color="auto" w:fill="FFFFFF"/>
              </w:rPr>
              <w:t>Mucinous adenocarcinoma</w:t>
            </w:r>
          </w:p>
        </w:tc>
        <w:tc>
          <w:tcPr>
            <w:tcW w:w="992" w:type="dxa"/>
            <w:shd w:val="clear" w:color="auto" w:fill="auto"/>
            <w:tcMar>
              <w:top w:w="28" w:type="dxa"/>
              <w:left w:w="28" w:type="dxa"/>
              <w:bottom w:w="28" w:type="dxa"/>
              <w:right w:w="28" w:type="dxa"/>
            </w:tcMar>
            <w:vAlign w:val="center"/>
            <w:hideMark/>
          </w:tcPr>
          <w:p w14:paraId="08DD0511"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Mixed</w:t>
            </w:r>
          </w:p>
        </w:tc>
        <w:tc>
          <w:tcPr>
            <w:tcW w:w="851" w:type="dxa"/>
            <w:vAlign w:val="center"/>
          </w:tcPr>
          <w:p w14:paraId="22180677"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Lymph node</w:t>
            </w:r>
          </w:p>
        </w:tc>
      </w:tr>
      <w:tr w:rsidR="00AF184B" w:rsidRPr="00AF184B" w14:paraId="17F9A307" w14:textId="77777777" w:rsidTr="00742C9D">
        <w:trPr>
          <w:trHeight w:val="615"/>
        </w:trPr>
        <w:tc>
          <w:tcPr>
            <w:tcW w:w="893" w:type="dxa"/>
            <w:tcBorders>
              <w:bottom w:val="single" w:sz="12" w:space="0" w:color="auto"/>
            </w:tcBorders>
            <w:shd w:val="clear" w:color="auto" w:fill="auto"/>
            <w:tcMar>
              <w:top w:w="28" w:type="dxa"/>
              <w:left w:w="28" w:type="dxa"/>
              <w:bottom w:w="28" w:type="dxa"/>
              <w:right w:w="28" w:type="dxa"/>
            </w:tcMar>
            <w:vAlign w:val="center"/>
            <w:hideMark/>
          </w:tcPr>
          <w:p w14:paraId="7935A9DD"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CAF3/NAF3</w:t>
            </w:r>
          </w:p>
        </w:tc>
        <w:tc>
          <w:tcPr>
            <w:tcW w:w="643" w:type="dxa"/>
            <w:tcBorders>
              <w:bottom w:val="single" w:sz="12" w:space="0" w:color="auto"/>
            </w:tcBorders>
            <w:shd w:val="clear" w:color="auto" w:fill="auto"/>
            <w:tcMar>
              <w:top w:w="28" w:type="dxa"/>
              <w:left w:w="28" w:type="dxa"/>
              <w:bottom w:w="28" w:type="dxa"/>
              <w:right w:w="28" w:type="dxa"/>
            </w:tcMar>
            <w:vAlign w:val="center"/>
            <w:hideMark/>
          </w:tcPr>
          <w:p w14:paraId="1AC26B4A"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Male</w:t>
            </w:r>
          </w:p>
        </w:tc>
        <w:tc>
          <w:tcPr>
            <w:tcW w:w="626" w:type="dxa"/>
            <w:tcBorders>
              <w:bottom w:val="single" w:sz="12" w:space="0" w:color="auto"/>
            </w:tcBorders>
            <w:shd w:val="clear" w:color="auto" w:fill="auto"/>
            <w:tcMar>
              <w:top w:w="28" w:type="dxa"/>
              <w:left w:w="28" w:type="dxa"/>
              <w:bottom w:w="28" w:type="dxa"/>
              <w:right w:w="28" w:type="dxa"/>
            </w:tcMar>
            <w:vAlign w:val="center"/>
            <w:hideMark/>
          </w:tcPr>
          <w:p w14:paraId="2F9AADDB"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55</w:t>
            </w:r>
          </w:p>
        </w:tc>
        <w:tc>
          <w:tcPr>
            <w:tcW w:w="780" w:type="dxa"/>
            <w:tcBorders>
              <w:bottom w:val="single" w:sz="12" w:space="0" w:color="auto"/>
            </w:tcBorders>
            <w:shd w:val="clear" w:color="auto" w:fill="auto"/>
            <w:tcMar>
              <w:top w:w="28" w:type="dxa"/>
              <w:left w:w="28" w:type="dxa"/>
              <w:bottom w:w="28" w:type="dxa"/>
              <w:right w:w="28" w:type="dxa"/>
            </w:tcMar>
            <w:vAlign w:val="center"/>
            <w:hideMark/>
          </w:tcPr>
          <w:p w14:paraId="5C0C7855"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3*2</w:t>
            </w:r>
          </w:p>
        </w:tc>
        <w:tc>
          <w:tcPr>
            <w:tcW w:w="911" w:type="dxa"/>
            <w:tcBorders>
              <w:bottom w:val="single" w:sz="12" w:space="0" w:color="auto"/>
            </w:tcBorders>
            <w:shd w:val="clear" w:color="auto" w:fill="auto"/>
            <w:tcMar>
              <w:top w:w="28" w:type="dxa"/>
              <w:left w:w="28" w:type="dxa"/>
              <w:bottom w:w="28" w:type="dxa"/>
              <w:right w:w="28" w:type="dxa"/>
            </w:tcMar>
            <w:vAlign w:val="center"/>
            <w:hideMark/>
          </w:tcPr>
          <w:p w14:paraId="6571438C"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Submucosa</w:t>
            </w:r>
          </w:p>
        </w:tc>
        <w:tc>
          <w:tcPr>
            <w:tcW w:w="910" w:type="dxa"/>
            <w:tcBorders>
              <w:bottom w:val="single" w:sz="12" w:space="0" w:color="auto"/>
            </w:tcBorders>
            <w:shd w:val="clear" w:color="auto" w:fill="auto"/>
            <w:tcMar>
              <w:top w:w="28" w:type="dxa"/>
              <w:left w:w="28" w:type="dxa"/>
              <w:bottom w:w="28" w:type="dxa"/>
              <w:right w:w="28" w:type="dxa"/>
            </w:tcMar>
            <w:vAlign w:val="center"/>
            <w:hideMark/>
          </w:tcPr>
          <w:p w14:paraId="45393690"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Body</w:t>
            </w:r>
          </w:p>
        </w:tc>
        <w:tc>
          <w:tcPr>
            <w:tcW w:w="765" w:type="dxa"/>
            <w:tcBorders>
              <w:bottom w:val="single" w:sz="12" w:space="0" w:color="auto"/>
            </w:tcBorders>
            <w:shd w:val="clear" w:color="auto" w:fill="auto"/>
            <w:tcMar>
              <w:top w:w="28" w:type="dxa"/>
              <w:left w:w="28" w:type="dxa"/>
              <w:bottom w:w="28" w:type="dxa"/>
              <w:right w:w="28" w:type="dxa"/>
            </w:tcMar>
            <w:vAlign w:val="center"/>
            <w:hideMark/>
          </w:tcPr>
          <w:p w14:paraId="3EEF10F3"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Total</w:t>
            </w:r>
          </w:p>
        </w:tc>
        <w:tc>
          <w:tcPr>
            <w:tcW w:w="1276" w:type="dxa"/>
            <w:tcBorders>
              <w:bottom w:val="single" w:sz="12" w:space="0" w:color="auto"/>
            </w:tcBorders>
            <w:shd w:val="clear" w:color="auto" w:fill="auto"/>
            <w:tcMar>
              <w:top w:w="28" w:type="dxa"/>
              <w:left w:w="28" w:type="dxa"/>
              <w:bottom w:w="28" w:type="dxa"/>
              <w:right w:w="28" w:type="dxa"/>
            </w:tcMar>
            <w:vAlign w:val="center"/>
            <w:hideMark/>
          </w:tcPr>
          <w:p w14:paraId="7469FD8F" w14:textId="77777777" w:rsidR="009B6EC3" w:rsidRPr="00AF184B" w:rsidRDefault="009B6EC3" w:rsidP="00742C9D">
            <w:pPr>
              <w:snapToGrid w:val="0"/>
              <w:spacing w:line="480" w:lineRule="auto"/>
              <w:jc w:val="center"/>
              <w:rPr>
                <w:color w:val="000000" w:themeColor="text1"/>
                <w:sz w:val="16"/>
                <w:szCs w:val="16"/>
              </w:rPr>
            </w:pPr>
            <w:r w:rsidRPr="00AF184B">
              <w:rPr>
                <w:rFonts w:eastAsiaTheme="minorEastAsia"/>
                <w:color w:val="000000" w:themeColor="text1"/>
                <w:sz w:val="16"/>
                <w:szCs w:val="16"/>
              </w:rPr>
              <w:t>Poor</w:t>
            </w:r>
            <w:r w:rsidRPr="00AF184B">
              <w:rPr>
                <w:color w:val="000000" w:themeColor="text1"/>
                <w:sz w:val="16"/>
                <w:szCs w:val="16"/>
              </w:rPr>
              <w:t>ly adenocarcinoma</w:t>
            </w:r>
          </w:p>
        </w:tc>
        <w:tc>
          <w:tcPr>
            <w:tcW w:w="992" w:type="dxa"/>
            <w:tcBorders>
              <w:bottom w:val="single" w:sz="12" w:space="0" w:color="auto"/>
            </w:tcBorders>
            <w:shd w:val="clear" w:color="auto" w:fill="auto"/>
            <w:tcMar>
              <w:top w:w="28" w:type="dxa"/>
              <w:left w:w="28" w:type="dxa"/>
              <w:bottom w:w="28" w:type="dxa"/>
              <w:right w:w="28" w:type="dxa"/>
            </w:tcMar>
            <w:vAlign w:val="center"/>
            <w:hideMark/>
          </w:tcPr>
          <w:p w14:paraId="21315B80"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Diffuse</w:t>
            </w:r>
          </w:p>
        </w:tc>
        <w:tc>
          <w:tcPr>
            <w:tcW w:w="851" w:type="dxa"/>
            <w:tcBorders>
              <w:bottom w:val="single" w:sz="12" w:space="0" w:color="auto"/>
            </w:tcBorders>
            <w:vAlign w:val="center"/>
          </w:tcPr>
          <w:p w14:paraId="7D8FFD69" w14:textId="77777777" w:rsidR="009B6EC3" w:rsidRPr="00AF184B" w:rsidRDefault="009B6EC3" w:rsidP="00742C9D">
            <w:pPr>
              <w:snapToGrid w:val="0"/>
              <w:spacing w:line="480" w:lineRule="auto"/>
              <w:jc w:val="center"/>
              <w:rPr>
                <w:rFonts w:eastAsiaTheme="minorEastAsia"/>
                <w:color w:val="000000" w:themeColor="text1"/>
                <w:sz w:val="16"/>
                <w:szCs w:val="16"/>
              </w:rPr>
            </w:pPr>
            <w:r w:rsidRPr="00AF184B">
              <w:rPr>
                <w:rFonts w:eastAsiaTheme="minorEastAsia"/>
                <w:color w:val="000000" w:themeColor="text1"/>
                <w:sz w:val="16"/>
                <w:szCs w:val="16"/>
              </w:rPr>
              <w:t>NA</w:t>
            </w:r>
          </w:p>
        </w:tc>
      </w:tr>
      <w:bookmarkEnd w:id="16"/>
    </w:tbl>
    <w:p w14:paraId="435724DB" w14:textId="77777777" w:rsidR="00C13AC1" w:rsidRPr="00AF184B" w:rsidRDefault="00C13AC1" w:rsidP="00C13AC1">
      <w:pPr>
        <w:spacing w:line="360" w:lineRule="auto"/>
        <w:rPr>
          <w:color w:val="000000" w:themeColor="text1"/>
          <w:sz w:val="24"/>
        </w:rPr>
      </w:pPr>
    </w:p>
    <w:p w14:paraId="55C43398" w14:textId="2017EF6A" w:rsidR="009B6EC3" w:rsidRPr="00AF184B" w:rsidRDefault="009B6EC3" w:rsidP="0026666B">
      <w:pPr>
        <w:tabs>
          <w:tab w:val="left" w:pos="6449"/>
        </w:tabs>
        <w:snapToGrid w:val="0"/>
        <w:spacing w:line="360" w:lineRule="auto"/>
        <w:outlineLvl w:val="0"/>
        <w:rPr>
          <w:b/>
          <w:color w:val="000000" w:themeColor="text1"/>
          <w:sz w:val="24"/>
        </w:rPr>
      </w:pPr>
      <w:r w:rsidRPr="00AF184B">
        <w:rPr>
          <w:b/>
          <w:color w:val="000000" w:themeColor="text1"/>
          <w:sz w:val="24"/>
        </w:rPr>
        <w:t xml:space="preserve">4. Construction of GC </w:t>
      </w:r>
      <w:r w:rsidR="00CB54F4" w:rsidRPr="00AF184B">
        <w:rPr>
          <w:b/>
          <w:color w:val="000000" w:themeColor="text1"/>
          <w:sz w:val="24"/>
        </w:rPr>
        <w:t>patient-derived xenografts</w:t>
      </w:r>
      <w:r w:rsidRPr="00AF184B">
        <w:rPr>
          <w:b/>
          <w:color w:val="000000" w:themeColor="text1"/>
          <w:sz w:val="24"/>
        </w:rPr>
        <w:t xml:space="preserve"> model</w:t>
      </w:r>
    </w:p>
    <w:p w14:paraId="10F8A698" w14:textId="5082F154" w:rsidR="00F60C47" w:rsidRPr="00AF184B" w:rsidRDefault="009B6EC3" w:rsidP="00C02E92">
      <w:pPr>
        <w:spacing w:line="360" w:lineRule="auto"/>
        <w:ind w:firstLineChars="100" w:firstLine="240"/>
        <w:rPr>
          <w:color w:val="000000" w:themeColor="text1"/>
          <w:sz w:val="24"/>
        </w:rPr>
      </w:pPr>
      <w:r w:rsidRPr="00AF184B">
        <w:rPr>
          <w:color w:val="000000" w:themeColor="text1"/>
          <w:sz w:val="24"/>
        </w:rPr>
        <w:t xml:space="preserve">Fresh tumor tissue was obtained from GC patients who under surgical resection and didn’t have any chemotherapeutic or locoregional treatments before the surgery. </w:t>
      </w:r>
      <w:r w:rsidRPr="00AF184B">
        <w:rPr>
          <w:color w:val="000000" w:themeColor="text1"/>
          <w:sz w:val="24"/>
        </w:rPr>
        <w:lastRenderedPageBreak/>
        <w:t>Resected tumors were sliced into ≈1 mm</w:t>
      </w:r>
      <w:r w:rsidRPr="00AF184B">
        <w:rPr>
          <w:color w:val="000000" w:themeColor="text1"/>
          <w:sz w:val="24"/>
          <w:vertAlign w:val="superscript"/>
        </w:rPr>
        <w:t>3</w:t>
      </w:r>
      <w:r w:rsidRPr="00AF184B">
        <w:rPr>
          <w:color w:val="000000" w:themeColor="text1"/>
          <w:sz w:val="24"/>
        </w:rPr>
        <w:t xml:space="preserve"> wads and then subcutaneously implanted into flanks of 5-weeks old female Balb/c athymic nude. The mice implanted with original patient’s tumor, were defined as the Founder 0 (F0). The second generation of </w:t>
      </w:r>
      <w:r w:rsidR="00CB54F4" w:rsidRPr="00AF184B">
        <w:rPr>
          <w:color w:val="000000" w:themeColor="text1"/>
          <w:sz w:val="24"/>
        </w:rPr>
        <w:t>patient-derived xenografts (</w:t>
      </w:r>
      <w:r w:rsidRPr="00AF184B">
        <w:rPr>
          <w:color w:val="000000" w:themeColor="text1"/>
          <w:sz w:val="24"/>
        </w:rPr>
        <w:t>PDX</w:t>
      </w:r>
      <w:r w:rsidR="00CB54F4" w:rsidRPr="00AF184B">
        <w:rPr>
          <w:color w:val="000000" w:themeColor="text1"/>
          <w:sz w:val="24"/>
        </w:rPr>
        <w:t>)</w:t>
      </w:r>
      <w:r w:rsidRPr="00AF184B">
        <w:rPr>
          <w:color w:val="000000" w:themeColor="text1"/>
          <w:sz w:val="24"/>
        </w:rPr>
        <w:t xml:space="preserve"> model was defined as F1. We randomly selected a PDX model that originated from patient 1418 (P1418) from the PDX sample library for in vivo antitumor efficiency assessment. The pathologic characteristics are described below.</w:t>
      </w:r>
    </w:p>
    <w:tbl>
      <w:tblPr>
        <w:tblpPr w:leftFromText="142" w:rightFromText="142" w:vertAnchor="text" w:horzAnchor="page" w:tblpXSpec="center" w:tblpY="46"/>
        <w:tblW w:w="8647" w:type="dxa"/>
        <w:tblBorders>
          <w:top w:val="single" w:sz="12" w:space="0" w:color="auto"/>
          <w:bottom w:val="single" w:sz="12" w:space="0" w:color="auto"/>
        </w:tblBorders>
        <w:tblLayout w:type="fixed"/>
        <w:tblCellMar>
          <w:left w:w="0" w:type="dxa"/>
          <w:right w:w="0" w:type="dxa"/>
        </w:tblCellMar>
        <w:tblLook w:val="04A0" w:firstRow="1" w:lastRow="0" w:firstColumn="1" w:lastColumn="0" w:noHBand="0" w:noVBand="1"/>
      </w:tblPr>
      <w:tblGrid>
        <w:gridCol w:w="567"/>
        <w:gridCol w:w="600"/>
        <w:gridCol w:w="639"/>
        <w:gridCol w:w="604"/>
        <w:gridCol w:w="766"/>
        <w:gridCol w:w="821"/>
        <w:gridCol w:w="685"/>
        <w:gridCol w:w="821"/>
        <w:gridCol w:w="1367"/>
        <w:gridCol w:w="957"/>
        <w:gridCol w:w="820"/>
      </w:tblGrid>
      <w:tr w:rsidR="00AF184B" w:rsidRPr="00AF184B" w14:paraId="693338D1" w14:textId="77777777" w:rsidTr="00F60C47">
        <w:trPr>
          <w:trHeight w:val="454"/>
        </w:trPr>
        <w:tc>
          <w:tcPr>
            <w:tcW w:w="567"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7E37DD84"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Patient</w:t>
            </w:r>
          </w:p>
        </w:tc>
        <w:tc>
          <w:tcPr>
            <w:tcW w:w="600" w:type="dxa"/>
            <w:tcBorders>
              <w:top w:val="single" w:sz="12" w:space="0" w:color="auto"/>
              <w:bottom w:val="single" w:sz="4" w:space="0" w:color="auto"/>
            </w:tcBorders>
            <w:vAlign w:val="center"/>
          </w:tcPr>
          <w:p w14:paraId="403A035E"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Founder</w:t>
            </w:r>
          </w:p>
        </w:tc>
        <w:tc>
          <w:tcPr>
            <w:tcW w:w="639"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0CA01514"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Gender</w:t>
            </w:r>
          </w:p>
        </w:tc>
        <w:tc>
          <w:tcPr>
            <w:tcW w:w="604"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74555144"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Age</w:t>
            </w:r>
          </w:p>
          <w:p w14:paraId="081B95F7"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(year)</w:t>
            </w:r>
          </w:p>
        </w:tc>
        <w:tc>
          <w:tcPr>
            <w:tcW w:w="766"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2554ECBD"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Tumor size (cm)</w:t>
            </w:r>
          </w:p>
        </w:tc>
        <w:tc>
          <w:tcPr>
            <w:tcW w:w="821"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460AD77E"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Depth of invasion</w:t>
            </w:r>
          </w:p>
        </w:tc>
        <w:tc>
          <w:tcPr>
            <w:tcW w:w="685"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28F9C588"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Location</w:t>
            </w:r>
          </w:p>
        </w:tc>
        <w:tc>
          <w:tcPr>
            <w:tcW w:w="821"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111BB432"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Operation</w:t>
            </w:r>
          </w:p>
        </w:tc>
        <w:tc>
          <w:tcPr>
            <w:tcW w:w="1367"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6EDCA812"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WHO</w:t>
            </w:r>
          </w:p>
          <w:p w14:paraId="2228A670"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classification</w:t>
            </w:r>
          </w:p>
        </w:tc>
        <w:tc>
          <w:tcPr>
            <w:tcW w:w="957" w:type="dxa"/>
            <w:tcBorders>
              <w:top w:val="single" w:sz="12" w:space="0" w:color="auto"/>
              <w:bottom w:val="single" w:sz="4" w:space="0" w:color="auto"/>
            </w:tcBorders>
            <w:shd w:val="clear" w:color="auto" w:fill="auto"/>
            <w:tcMar>
              <w:top w:w="28" w:type="dxa"/>
              <w:left w:w="28" w:type="dxa"/>
              <w:bottom w:w="28" w:type="dxa"/>
              <w:right w:w="28" w:type="dxa"/>
            </w:tcMar>
            <w:vAlign w:val="center"/>
            <w:hideMark/>
          </w:tcPr>
          <w:p w14:paraId="0C85DFBF"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Lauren</w:t>
            </w:r>
          </w:p>
          <w:p w14:paraId="06E559B0"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classification</w:t>
            </w:r>
          </w:p>
        </w:tc>
        <w:tc>
          <w:tcPr>
            <w:tcW w:w="820" w:type="dxa"/>
            <w:tcBorders>
              <w:top w:val="single" w:sz="12" w:space="0" w:color="auto"/>
              <w:bottom w:val="single" w:sz="4" w:space="0" w:color="auto"/>
            </w:tcBorders>
            <w:vAlign w:val="center"/>
          </w:tcPr>
          <w:p w14:paraId="27AE6A5D" w14:textId="77777777" w:rsidR="009B6EC3" w:rsidRPr="00AF184B" w:rsidRDefault="009B6EC3" w:rsidP="00742C9D">
            <w:pPr>
              <w:snapToGrid w:val="0"/>
              <w:spacing w:line="480" w:lineRule="auto"/>
              <w:jc w:val="center"/>
              <w:rPr>
                <w:b/>
                <w:bCs/>
                <w:color w:val="000000" w:themeColor="text1"/>
                <w:sz w:val="16"/>
                <w:szCs w:val="16"/>
              </w:rPr>
            </w:pPr>
            <w:r w:rsidRPr="00AF184B">
              <w:rPr>
                <w:b/>
                <w:bCs/>
                <w:color w:val="000000" w:themeColor="text1"/>
                <w:sz w:val="16"/>
                <w:szCs w:val="16"/>
              </w:rPr>
              <w:t>Metastasis</w:t>
            </w:r>
          </w:p>
        </w:tc>
      </w:tr>
      <w:tr w:rsidR="00AF184B" w:rsidRPr="00AF184B" w14:paraId="4A0D4783" w14:textId="77777777" w:rsidTr="00F60C47">
        <w:trPr>
          <w:trHeight w:val="454"/>
        </w:trPr>
        <w:tc>
          <w:tcPr>
            <w:tcW w:w="567" w:type="dxa"/>
            <w:tcBorders>
              <w:top w:val="single" w:sz="4" w:space="0" w:color="auto"/>
            </w:tcBorders>
            <w:shd w:val="clear" w:color="auto" w:fill="auto"/>
            <w:tcMar>
              <w:top w:w="28" w:type="dxa"/>
              <w:left w:w="28" w:type="dxa"/>
              <w:bottom w:w="28" w:type="dxa"/>
              <w:right w:w="28" w:type="dxa"/>
            </w:tcMar>
            <w:vAlign w:val="center"/>
            <w:hideMark/>
          </w:tcPr>
          <w:p w14:paraId="6D178B41"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P1418</w:t>
            </w:r>
          </w:p>
        </w:tc>
        <w:tc>
          <w:tcPr>
            <w:tcW w:w="600" w:type="dxa"/>
            <w:tcBorders>
              <w:top w:val="single" w:sz="4" w:space="0" w:color="auto"/>
            </w:tcBorders>
            <w:vAlign w:val="center"/>
          </w:tcPr>
          <w:p w14:paraId="3B463AF1" w14:textId="77777777" w:rsidR="009B6EC3" w:rsidRPr="00AF184B" w:rsidRDefault="009B6EC3" w:rsidP="00742C9D">
            <w:pPr>
              <w:snapToGrid w:val="0"/>
              <w:spacing w:line="480" w:lineRule="auto"/>
              <w:jc w:val="center"/>
              <w:rPr>
                <w:rFonts w:eastAsiaTheme="minorEastAsia"/>
                <w:color w:val="000000" w:themeColor="text1"/>
                <w:sz w:val="16"/>
                <w:szCs w:val="16"/>
              </w:rPr>
            </w:pPr>
            <w:r w:rsidRPr="00AF184B">
              <w:rPr>
                <w:rFonts w:eastAsiaTheme="minorEastAsia"/>
                <w:color w:val="000000" w:themeColor="text1"/>
                <w:sz w:val="16"/>
                <w:szCs w:val="16"/>
              </w:rPr>
              <w:t>F4</w:t>
            </w:r>
          </w:p>
        </w:tc>
        <w:tc>
          <w:tcPr>
            <w:tcW w:w="639" w:type="dxa"/>
            <w:tcBorders>
              <w:top w:val="single" w:sz="4" w:space="0" w:color="auto"/>
            </w:tcBorders>
            <w:shd w:val="clear" w:color="auto" w:fill="auto"/>
            <w:tcMar>
              <w:top w:w="28" w:type="dxa"/>
              <w:left w:w="28" w:type="dxa"/>
              <w:bottom w:w="28" w:type="dxa"/>
              <w:right w:w="28" w:type="dxa"/>
            </w:tcMar>
            <w:vAlign w:val="center"/>
            <w:hideMark/>
          </w:tcPr>
          <w:p w14:paraId="105012FC"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Male</w:t>
            </w:r>
          </w:p>
        </w:tc>
        <w:tc>
          <w:tcPr>
            <w:tcW w:w="604" w:type="dxa"/>
            <w:tcBorders>
              <w:top w:val="single" w:sz="4" w:space="0" w:color="auto"/>
            </w:tcBorders>
            <w:shd w:val="clear" w:color="auto" w:fill="auto"/>
            <w:tcMar>
              <w:top w:w="28" w:type="dxa"/>
              <w:left w:w="28" w:type="dxa"/>
              <w:bottom w:w="28" w:type="dxa"/>
              <w:right w:w="28" w:type="dxa"/>
            </w:tcMar>
            <w:vAlign w:val="center"/>
            <w:hideMark/>
          </w:tcPr>
          <w:p w14:paraId="6AF50272"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51</w:t>
            </w:r>
          </w:p>
        </w:tc>
        <w:tc>
          <w:tcPr>
            <w:tcW w:w="766" w:type="dxa"/>
            <w:tcBorders>
              <w:top w:val="single" w:sz="4" w:space="0" w:color="auto"/>
            </w:tcBorders>
            <w:shd w:val="clear" w:color="auto" w:fill="auto"/>
            <w:tcMar>
              <w:top w:w="28" w:type="dxa"/>
              <w:left w:w="28" w:type="dxa"/>
              <w:bottom w:w="28" w:type="dxa"/>
              <w:right w:w="28" w:type="dxa"/>
            </w:tcMar>
            <w:vAlign w:val="center"/>
            <w:hideMark/>
          </w:tcPr>
          <w:p w14:paraId="546BB265"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6.3*5.0</w:t>
            </w:r>
          </w:p>
        </w:tc>
        <w:tc>
          <w:tcPr>
            <w:tcW w:w="821" w:type="dxa"/>
            <w:tcBorders>
              <w:top w:val="single" w:sz="4" w:space="0" w:color="auto"/>
            </w:tcBorders>
            <w:shd w:val="clear" w:color="auto" w:fill="auto"/>
            <w:tcMar>
              <w:top w:w="28" w:type="dxa"/>
              <w:left w:w="28" w:type="dxa"/>
              <w:bottom w:w="28" w:type="dxa"/>
              <w:right w:w="28" w:type="dxa"/>
            </w:tcMar>
            <w:vAlign w:val="center"/>
            <w:hideMark/>
          </w:tcPr>
          <w:p w14:paraId="42A7A495"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Subserous layer</w:t>
            </w:r>
            <w:r w:rsidRPr="00AF184B">
              <w:rPr>
                <w:rFonts w:eastAsiaTheme="minorEastAsia"/>
                <w:color w:val="000000" w:themeColor="text1"/>
                <w:sz w:val="16"/>
                <w:szCs w:val="16"/>
              </w:rPr>
              <w:t xml:space="preserve"> </w:t>
            </w:r>
          </w:p>
        </w:tc>
        <w:tc>
          <w:tcPr>
            <w:tcW w:w="685" w:type="dxa"/>
            <w:tcBorders>
              <w:top w:val="single" w:sz="4" w:space="0" w:color="auto"/>
            </w:tcBorders>
            <w:shd w:val="clear" w:color="auto" w:fill="auto"/>
            <w:tcMar>
              <w:top w:w="28" w:type="dxa"/>
              <w:left w:w="28" w:type="dxa"/>
              <w:bottom w:w="28" w:type="dxa"/>
              <w:right w:w="28" w:type="dxa"/>
            </w:tcMar>
            <w:vAlign w:val="center"/>
            <w:hideMark/>
          </w:tcPr>
          <w:p w14:paraId="3461C471"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Body</w:t>
            </w:r>
          </w:p>
        </w:tc>
        <w:tc>
          <w:tcPr>
            <w:tcW w:w="821" w:type="dxa"/>
            <w:tcBorders>
              <w:top w:val="single" w:sz="4" w:space="0" w:color="auto"/>
            </w:tcBorders>
            <w:shd w:val="clear" w:color="auto" w:fill="auto"/>
            <w:tcMar>
              <w:top w:w="28" w:type="dxa"/>
              <w:left w:w="28" w:type="dxa"/>
              <w:bottom w:w="28" w:type="dxa"/>
              <w:right w:w="28" w:type="dxa"/>
            </w:tcMar>
            <w:vAlign w:val="center"/>
            <w:hideMark/>
          </w:tcPr>
          <w:p w14:paraId="25B9F480"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Total</w:t>
            </w:r>
          </w:p>
        </w:tc>
        <w:tc>
          <w:tcPr>
            <w:tcW w:w="1367" w:type="dxa"/>
            <w:tcBorders>
              <w:top w:val="single" w:sz="4" w:space="0" w:color="auto"/>
            </w:tcBorders>
            <w:shd w:val="clear" w:color="auto" w:fill="auto"/>
            <w:tcMar>
              <w:top w:w="28" w:type="dxa"/>
              <w:left w:w="28" w:type="dxa"/>
              <w:bottom w:w="28" w:type="dxa"/>
              <w:right w:w="28" w:type="dxa"/>
            </w:tcMar>
            <w:vAlign w:val="center"/>
            <w:hideMark/>
          </w:tcPr>
          <w:p w14:paraId="69E596FB" w14:textId="77777777" w:rsidR="009B6EC3" w:rsidRPr="00AF184B" w:rsidRDefault="009B6EC3" w:rsidP="00742C9D">
            <w:pPr>
              <w:snapToGrid w:val="0"/>
              <w:spacing w:line="480" w:lineRule="auto"/>
              <w:jc w:val="center"/>
              <w:rPr>
                <w:color w:val="000000" w:themeColor="text1"/>
                <w:sz w:val="16"/>
                <w:szCs w:val="16"/>
              </w:rPr>
            </w:pPr>
            <w:r w:rsidRPr="00AF184B">
              <w:rPr>
                <w:rFonts w:eastAsiaTheme="minorEastAsia"/>
                <w:color w:val="000000" w:themeColor="text1"/>
                <w:sz w:val="16"/>
                <w:szCs w:val="16"/>
              </w:rPr>
              <w:t>Moderately tubular adenocarcinoma</w:t>
            </w:r>
          </w:p>
        </w:tc>
        <w:tc>
          <w:tcPr>
            <w:tcW w:w="957" w:type="dxa"/>
            <w:tcBorders>
              <w:top w:val="single" w:sz="4" w:space="0" w:color="auto"/>
            </w:tcBorders>
            <w:shd w:val="clear" w:color="auto" w:fill="auto"/>
            <w:tcMar>
              <w:top w:w="28" w:type="dxa"/>
              <w:left w:w="28" w:type="dxa"/>
              <w:bottom w:w="28" w:type="dxa"/>
              <w:right w:w="28" w:type="dxa"/>
            </w:tcMar>
            <w:vAlign w:val="center"/>
            <w:hideMark/>
          </w:tcPr>
          <w:p w14:paraId="27DE1C23"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Mixed</w:t>
            </w:r>
          </w:p>
        </w:tc>
        <w:tc>
          <w:tcPr>
            <w:tcW w:w="820" w:type="dxa"/>
            <w:tcBorders>
              <w:top w:val="single" w:sz="4" w:space="0" w:color="auto"/>
            </w:tcBorders>
            <w:vAlign w:val="center"/>
          </w:tcPr>
          <w:p w14:paraId="0EEA3559" w14:textId="77777777" w:rsidR="009B6EC3" w:rsidRPr="00AF184B" w:rsidRDefault="009B6EC3" w:rsidP="00742C9D">
            <w:pPr>
              <w:snapToGrid w:val="0"/>
              <w:spacing w:line="480" w:lineRule="auto"/>
              <w:jc w:val="center"/>
              <w:rPr>
                <w:color w:val="000000" w:themeColor="text1"/>
                <w:sz w:val="16"/>
                <w:szCs w:val="16"/>
              </w:rPr>
            </w:pPr>
            <w:r w:rsidRPr="00AF184B">
              <w:rPr>
                <w:color w:val="000000" w:themeColor="text1"/>
                <w:sz w:val="16"/>
                <w:szCs w:val="16"/>
              </w:rPr>
              <w:t>Lymph node</w:t>
            </w:r>
          </w:p>
        </w:tc>
      </w:tr>
    </w:tbl>
    <w:p w14:paraId="7A7D3E8F" w14:textId="77777777" w:rsidR="009B6EC3" w:rsidRPr="00AF184B" w:rsidRDefault="009B6EC3" w:rsidP="009B6EC3">
      <w:pPr>
        <w:spacing w:line="360" w:lineRule="auto"/>
        <w:rPr>
          <w:b/>
          <w:color w:val="000000" w:themeColor="text1"/>
          <w:sz w:val="24"/>
        </w:rPr>
      </w:pPr>
    </w:p>
    <w:sectPr w:rsidR="009B6EC3" w:rsidRPr="00AF184B" w:rsidSect="00552D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3B934" w14:textId="77777777" w:rsidR="007B07BE" w:rsidRDefault="007B07BE" w:rsidP="009B6EC3">
      <w:r>
        <w:separator/>
      </w:r>
    </w:p>
  </w:endnote>
  <w:endnote w:type="continuationSeparator" w:id="0">
    <w:p w14:paraId="2045D61B" w14:textId="77777777" w:rsidR="007B07BE" w:rsidRDefault="007B07BE" w:rsidP="009B6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Dotum">
    <w:altName w:val="Arial Unicode MS"/>
    <w:panose1 w:val="020B0600000101010101"/>
    <w:charset w:val="81"/>
    <w:family w:val="swiss"/>
    <w:pitch w:val="variable"/>
    <w:sig w:usb0="00000000" w:usb1="69D77CFB" w:usb2="00000030" w:usb3="00000000" w:csb0="0008009F" w:csb1="00000000"/>
  </w:font>
  <w:font w:name="Microsoft YaHei">
    <w:altName w:val="微软雅黑"/>
    <w:panose1 w:val="020B0503020204020204"/>
    <w:charset w:val="86"/>
    <w:family w:val="swiss"/>
    <w:pitch w:val="variable"/>
    <w:sig w:usb0="80000287" w:usb1="2ACF3C50" w:usb2="00000016" w:usb3="00000000" w:csb0="0004001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4F071F" w14:textId="77777777" w:rsidR="007B07BE" w:rsidRDefault="007B07BE" w:rsidP="009B6EC3">
      <w:r>
        <w:separator/>
      </w:r>
    </w:p>
  </w:footnote>
  <w:footnote w:type="continuationSeparator" w:id="0">
    <w:p w14:paraId="3B7230A8" w14:textId="77777777" w:rsidR="007B07BE" w:rsidRDefault="007B07BE" w:rsidP="009B6E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F6680"/>
    <w:multiLevelType w:val="multilevel"/>
    <w:tmpl w:val="049413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1340BC1"/>
    <w:multiLevelType w:val="multilevel"/>
    <w:tmpl w:val="13BEA9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5F435C30"/>
    <w:multiLevelType w:val="hybridMultilevel"/>
    <w:tmpl w:val="38209832"/>
    <w:lvl w:ilvl="0" w:tplc="1546896A">
      <w:start w:val="2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826426A"/>
    <w:multiLevelType w:val="multilevel"/>
    <w:tmpl w:val="18F26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1CC6095"/>
    <w:multiLevelType w:val="multilevel"/>
    <w:tmpl w:val="22C67EC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024154"/>
    <w:multiLevelType w:val="hybridMultilevel"/>
    <w:tmpl w:val="89A8666E"/>
    <w:lvl w:ilvl="0" w:tplc="27C66532">
      <w:start w:val="13"/>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3"/>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Cancer -Scand J Gastroenterol&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arfvs2fjsrtsoersdqvad0o0svapxs9sszf&quot;&gt;My EndNote Library&lt;record-ids&gt;&lt;item&gt;112&lt;/item&gt;&lt;item&gt;113&lt;/item&gt;&lt;item&gt;114&lt;/item&gt;&lt;item&gt;115&lt;/item&gt;&lt;item&gt;116&lt;/item&gt;&lt;item&gt;117&lt;/item&gt;&lt;item&gt;118&lt;/item&gt;&lt;item&gt;119&lt;/item&gt;&lt;/record-ids&gt;&lt;/item&gt;&lt;/Libraries&gt;"/>
  </w:docVars>
  <w:rsids>
    <w:rsidRoot w:val="000173F0"/>
    <w:rsid w:val="000060D9"/>
    <w:rsid w:val="000173F0"/>
    <w:rsid w:val="0008101F"/>
    <w:rsid w:val="00095F5F"/>
    <w:rsid w:val="000A55AC"/>
    <w:rsid w:val="001014D1"/>
    <w:rsid w:val="00161B46"/>
    <w:rsid w:val="001A75CE"/>
    <w:rsid w:val="001F5CF9"/>
    <w:rsid w:val="00202E78"/>
    <w:rsid w:val="00240F7C"/>
    <w:rsid w:val="002456D1"/>
    <w:rsid w:val="0024762D"/>
    <w:rsid w:val="0026666B"/>
    <w:rsid w:val="00290079"/>
    <w:rsid w:val="002B51DC"/>
    <w:rsid w:val="002C437A"/>
    <w:rsid w:val="002E2C1D"/>
    <w:rsid w:val="00361095"/>
    <w:rsid w:val="003B62FD"/>
    <w:rsid w:val="0040533A"/>
    <w:rsid w:val="00432736"/>
    <w:rsid w:val="00442B8C"/>
    <w:rsid w:val="00445BC7"/>
    <w:rsid w:val="00474F95"/>
    <w:rsid w:val="00496B78"/>
    <w:rsid w:val="004F2314"/>
    <w:rsid w:val="00574204"/>
    <w:rsid w:val="005830E1"/>
    <w:rsid w:val="005E5395"/>
    <w:rsid w:val="005F0CAA"/>
    <w:rsid w:val="00634B91"/>
    <w:rsid w:val="00680BAC"/>
    <w:rsid w:val="00694928"/>
    <w:rsid w:val="006A1702"/>
    <w:rsid w:val="006C1F27"/>
    <w:rsid w:val="006C4DC5"/>
    <w:rsid w:val="007244B8"/>
    <w:rsid w:val="00775146"/>
    <w:rsid w:val="007B07BE"/>
    <w:rsid w:val="007B7072"/>
    <w:rsid w:val="007D3F87"/>
    <w:rsid w:val="007E1085"/>
    <w:rsid w:val="007E5479"/>
    <w:rsid w:val="00827988"/>
    <w:rsid w:val="008439F1"/>
    <w:rsid w:val="008545FD"/>
    <w:rsid w:val="008C3A01"/>
    <w:rsid w:val="008E3E30"/>
    <w:rsid w:val="008E4313"/>
    <w:rsid w:val="0093689A"/>
    <w:rsid w:val="009527F9"/>
    <w:rsid w:val="009872E1"/>
    <w:rsid w:val="009B6EC3"/>
    <w:rsid w:val="009C4266"/>
    <w:rsid w:val="009D01AC"/>
    <w:rsid w:val="009F1049"/>
    <w:rsid w:val="00A71076"/>
    <w:rsid w:val="00A90ED2"/>
    <w:rsid w:val="00AA26A7"/>
    <w:rsid w:val="00AD3831"/>
    <w:rsid w:val="00AF184B"/>
    <w:rsid w:val="00AF5AEB"/>
    <w:rsid w:val="00B02163"/>
    <w:rsid w:val="00B22F03"/>
    <w:rsid w:val="00B24D26"/>
    <w:rsid w:val="00B37BC7"/>
    <w:rsid w:val="00BC4D08"/>
    <w:rsid w:val="00BD2267"/>
    <w:rsid w:val="00BE7022"/>
    <w:rsid w:val="00BF0A66"/>
    <w:rsid w:val="00C02E92"/>
    <w:rsid w:val="00C13AC1"/>
    <w:rsid w:val="00C84245"/>
    <w:rsid w:val="00C92020"/>
    <w:rsid w:val="00CA008A"/>
    <w:rsid w:val="00CB54F4"/>
    <w:rsid w:val="00CE3733"/>
    <w:rsid w:val="00D96F67"/>
    <w:rsid w:val="00D9752D"/>
    <w:rsid w:val="00DB023F"/>
    <w:rsid w:val="00DB3357"/>
    <w:rsid w:val="00DE1213"/>
    <w:rsid w:val="00DF060E"/>
    <w:rsid w:val="00E663CE"/>
    <w:rsid w:val="00E66F1C"/>
    <w:rsid w:val="00EB1752"/>
    <w:rsid w:val="00F30ACA"/>
    <w:rsid w:val="00F35FC3"/>
    <w:rsid w:val="00F503A0"/>
    <w:rsid w:val="00F60C47"/>
    <w:rsid w:val="00F621FB"/>
    <w:rsid w:val="00F853FF"/>
    <w:rsid w:val="00FB5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9E67D"/>
  <w15:chartTrackingRefBased/>
  <w15:docId w15:val="{2FCAA3E3-C2BF-4E01-856E-A98C60C1E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EC3"/>
    <w:pPr>
      <w:widowControl w:val="0"/>
      <w:jc w:val="both"/>
    </w:pPr>
    <w:rPr>
      <w:rFonts w:ascii="Times New Roman" w:eastAsia="SimSu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6EC3"/>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9B6EC3"/>
    <w:rPr>
      <w:sz w:val="18"/>
      <w:szCs w:val="18"/>
    </w:rPr>
  </w:style>
  <w:style w:type="paragraph" w:styleId="Footer">
    <w:name w:val="footer"/>
    <w:basedOn w:val="Normal"/>
    <w:link w:val="FooterChar"/>
    <w:uiPriority w:val="99"/>
    <w:unhideWhenUsed/>
    <w:rsid w:val="009B6EC3"/>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9B6EC3"/>
    <w:rPr>
      <w:sz w:val="18"/>
      <w:szCs w:val="18"/>
    </w:rPr>
  </w:style>
  <w:style w:type="paragraph" w:styleId="ListParagraph">
    <w:name w:val="List Paragraph"/>
    <w:basedOn w:val="Normal"/>
    <w:uiPriority w:val="34"/>
    <w:qFormat/>
    <w:rsid w:val="009B6EC3"/>
    <w:pPr>
      <w:wordWrap w:val="0"/>
      <w:ind w:firstLineChars="200" w:firstLine="420"/>
    </w:pPr>
    <w:rPr>
      <w:rFonts w:eastAsia="Dotum"/>
      <w:kern w:val="0"/>
      <w:sz w:val="20"/>
      <w:szCs w:val="20"/>
      <w:lang w:eastAsia="ko-KR"/>
    </w:rPr>
  </w:style>
  <w:style w:type="paragraph" w:customStyle="1" w:styleId="EndNoteBibliographyTitle">
    <w:name w:val="EndNote Bibliography Title"/>
    <w:basedOn w:val="Normal"/>
    <w:link w:val="EndNoteBibliographyTitle0"/>
    <w:rsid w:val="0040533A"/>
    <w:pPr>
      <w:framePr w:hSpace="142" w:wrap="around" w:vAnchor="text" w:hAnchor="page" w:x="1767" w:y="46"/>
      <w:jc w:val="center"/>
    </w:pPr>
    <w:rPr>
      <w:noProof/>
      <w:sz w:val="20"/>
    </w:rPr>
  </w:style>
  <w:style w:type="character" w:customStyle="1" w:styleId="EndNoteBibliographyTitle0">
    <w:name w:val="EndNote Bibliography Title 字符"/>
    <w:basedOn w:val="DefaultParagraphFont"/>
    <w:link w:val="EndNoteBibliographyTitle"/>
    <w:rsid w:val="0040533A"/>
    <w:rPr>
      <w:rFonts w:ascii="Times New Roman" w:eastAsia="SimSun" w:hAnsi="Times New Roman" w:cs="Times New Roman"/>
      <w:noProof/>
      <w:sz w:val="20"/>
      <w:szCs w:val="24"/>
    </w:rPr>
  </w:style>
  <w:style w:type="paragraph" w:customStyle="1" w:styleId="EndNoteBibliography">
    <w:name w:val="EndNote Bibliography"/>
    <w:basedOn w:val="Normal"/>
    <w:link w:val="EndNoteBibliography0"/>
    <w:rsid w:val="0040533A"/>
    <w:pPr>
      <w:framePr w:hSpace="142" w:wrap="around" w:vAnchor="text" w:hAnchor="page" w:x="1767" w:y="46"/>
    </w:pPr>
    <w:rPr>
      <w:noProof/>
      <w:sz w:val="20"/>
    </w:rPr>
  </w:style>
  <w:style w:type="character" w:customStyle="1" w:styleId="EndNoteBibliography0">
    <w:name w:val="EndNote Bibliography 字符"/>
    <w:basedOn w:val="DefaultParagraphFont"/>
    <w:link w:val="EndNoteBibliography"/>
    <w:rsid w:val="0040533A"/>
    <w:rPr>
      <w:rFonts w:ascii="Times New Roman" w:eastAsia="SimSun" w:hAnsi="Times New Roman" w:cs="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9334475">
      <w:bodyDiv w:val="1"/>
      <w:marLeft w:val="0"/>
      <w:marRight w:val="0"/>
      <w:marTop w:val="0"/>
      <w:marBottom w:val="0"/>
      <w:divBdr>
        <w:top w:val="none" w:sz="0" w:space="0" w:color="auto"/>
        <w:left w:val="none" w:sz="0" w:space="0" w:color="auto"/>
        <w:bottom w:val="none" w:sz="0" w:space="0" w:color="auto"/>
        <w:right w:val="none" w:sz="0" w:space="0" w:color="auto"/>
      </w:divBdr>
    </w:div>
    <w:div w:id="148269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5</Pages>
  <Words>1399</Words>
  <Characters>7976</Characters>
  <Application>Microsoft Office Word</Application>
  <DocSecurity>0</DocSecurity>
  <Lines>66</Lines>
  <Paragraphs>18</Paragraphs>
  <ScaleCrop>false</ScaleCrop>
  <Company/>
  <LinksUpToDate>false</LinksUpToDate>
  <CharactersWithSpaces>9357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 zheng</dc:creator>
  <cp:keywords/>
  <dc:description/>
  <cp:lastModifiedBy>Mahalakshmi V.</cp:lastModifiedBy>
  <cp:revision>5</cp:revision>
  <dcterms:created xsi:type="dcterms:W3CDTF">2021-11-15T13:04:00Z</dcterms:created>
  <dcterms:modified xsi:type="dcterms:W3CDTF">2021-11-17T10:16:00Z</dcterms:modified>
</cp:coreProperties>
</file>