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E4351" w14:textId="7A73E9DD" w:rsidR="00AC777E" w:rsidRPr="008C7842" w:rsidRDefault="00AC777E" w:rsidP="00AC777E">
      <w:pPr>
        <w:spacing w:line="400" w:lineRule="exact"/>
        <w:ind w:left="360" w:hanging="360"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Hlk75241720"/>
      <w:bookmarkStart w:id="1" w:name="OLE_LINK642"/>
      <w:r w:rsidRPr="008C7842">
        <w:rPr>
          <w:rFonts w:ascii="Times New Roman" w:hAnsi="Times New Roman" w:cs="Times New Roman" w:hint="eastAsia"/>
          <w:b/>
          <w:bCs/>
          <w:sz w:val="28"/>
          <w:szCs w:val="32"/>
        </w:rPr>
        <w:t>Ad</w:t>
      </w:r>
      <w:r w:rsidRPr="008C7842">
        <w:rPr>
          <w:rFonts w:ascii="Times New Roman" w:hAnsi="Times New Roman" w:cs="Times New Roman"/>
          <w:b/>
          <w:bCs/>
          <w:sz w:val="28"/>
          <w:szCs w:val="32"/>
        </w:rPr>
        <w:t>ditional file</w:t>
      </w:r>
    </w:p>
    <w:p w14:paraId="4BDFB4E0" w14:textId="77777777" w:rsidR="00AC777E" w:rsidRPr="008C7842" w:rsidRDefault="00AC777E" w:rsidP="00AC777E">
      <w:pPr>
        <w:spacing w:line="400" w:lineRule="exact"/>
        <w:ind w:left="360" w:hanging="360"/>
        <w:jc w:val="left"/>
        <w:rPr>
          <w:rFonts w:ascii="Times New Roman" w:hAnsi="Times New Roman" w:cs="Times New Roman"/>
          <w:b/>
          <w:bCs/>
          <w:sz w:val="28"/>
          <w:szCs w:val="32"/>
        </w:rPr>
      </w:pPr>
    </w:p>
    <w:p w14:paraId="4FBB8F64" w14:textId="37611D13" w:rsidR="00AC777E" w:rsidRPr="008C7842" w:rsidRDefault="00AC777E" w:rsidP="00AC777E">
      <w:pPr>
        <w:spacing w:line="400" w:lineRule="exact"/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C7842">
        <w:rPr>
          <w:rFonts w:ascii="Times New Roman" w:hAnsi="Times New Roman" w:cs="Times New Roman" w:hint="eastAsia"/>
          <w:b/>
          <w:bCs/>
          <w:sz w:val="28"/>
          <w:szCs w:val="32"/>
        </w:rPr>
        <w:t>A</w:t>
      </w:r>
      <w:r w:rsidRPr="008C7842">
        <w:rPr>
          <w:rFonts w:ascii="Times New Roman" w:hAnsi="Times New Roman" w:cs="Times New Roman"/>
          <w:b/>
          <w:bCs/>
          <w:sz w:val="28"/>
          <w:szCs w:val="32"/>
        </w:rPr>
        <w:t>cupoint nano</w:t>
      </w:r>
      <w:r w:rsidRPr="008C7842">
        <w:rPr>
          <w:rFonts w:ascii="Times New Roman" w:hAnsi="Times New Roman" w:cs="Times New Roman" w:hint="eastAsia"/>
          <w:b/>
          <w:bCs/>
          <w:sz w:val="28"/>
          <w:szCs w:val="32"/>
        </w:rPr>
        <w:t>composite</w:t>
      </w:r>
      <w:r w:rsidRPr="008C7842">
        <w:rPr>
          <w:rFonts w:ascii="Times New Roman" w:hAnsi="Times New Roman" w:cs="Times New Roman"/>
          <w:b/>
          <w:bCs/>
          <w:sz w:val="28"/>
          <w:szCs w:val="32"/>
        </w:rPr>
        <w:t xml:space="preserve"> hydrogel</w:t>
      </w:r>
      <w:bookmarkEnd w:id="0"/>
      <w:r w:rsidRPr="008C7842">
        <w:rPr>
          <w:rFonts w:ascii="Times New Roman" w:hAnsi="Times New Roman" w:cs="Times New Roman"/>
          <w:b/>
          <w:bCs/>
          <w:sz w:val="28"/>
          <w:szCs w:val="32"/>
        </w:rPr>
        <w:t xml:space="preserve"> for simulation of acupuncture and targeted delivery of triptolide against rheumatoid arthritis</w:t>
      </w:r>
    </w:p>
    <w:p w14:paraId="1221E134" w14:textId="77777777" w:rsidR="008C7842" w:rsidRPr="008C7C51" w:rsidRDefault="008C7842" w:rsidP="008C7842">
      <w:pPr>
        <w:spacing w:line="400" w:lineRule="exact"/>
        <w:ind w:left="360" w:hanging="360"/>
        <w:jc w:val="center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  <w:proofErr w:type="spell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Shujing</w:t>
      </w:r>
      <w:proofErr w:type="spell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Ren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1,3</w:t>
      </w:r>
      <w:r w:rsidRPr="008C7C51">
        <w:rPr>
          <w:rFonts w:ascii="Times New Roman" w:eastAsia="黑体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,</w:t>
      </w:r>
      <w:r w:rsidRPr="008C7C51" w:rsidDel="00AE092E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Heng Liu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1,4</w:t>
      </w:r>
      <w:r w:rsidRPr="008C7C51">
        <w:rPr>
          <w:rFonts w:ascii="Times New Roman" w:eastAsia="黑体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Xitong</w:t>
      </w:r>
      <w:proofErr w:type="spell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Wang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Jiquan</w:t>
      </w:r>
      <w:proofErr w:type="spell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Bi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Shengfeng</w:t>
      </w:r>
      <w:proofErr w:type="spell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Lu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Chenqi</w:t>
      </w:r>
      <w:proofErr w:type="spell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Zhu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Huizhu</w:t>
      </w:r>
      <w:proofErr w:type="spell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Li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,</w:t>
      </w:r>
      <w:r w:rsidRPr="008C7C51">
        <w:rPr>
          <w:rFonts w:ascii="Times New Roman" w:hAnsi="Times New Roman" w:cs="Times New Roman"/>
        </w:rPr>
        <w:t xml:space="preserve"> 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Wenliang Kong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, Rui Chen</w:t>
      </w:r>
      <w:proofErr w:type="gram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*</w:t>
      </w:r>
      <w:proofErr w:type="gram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Zhipeng</w:t>
      </w:r>
      <w:proofErr w:type="spellEnd"/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Chen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</w:t>
      </w:r>
      <w:r w:rsidRPr="008C7C51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*</w:t>
      </w:r>
    </w:p>
    <w:p w14:paraId="23A5336D" w14:textId="77777777" w:rsidR="00DF78B3" w:rsidRPr="008C7842" w:rsidRDefault="00DF78B3" w:rsidP="00AC777E">
      <w:pPr>
        <w:spacing w:line="400" w:lineRule="exact"/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bookmarkEnd w:id="1"/>
    <w:p w14:paraId="4AC98AC5" w14:textId="77777777" w:rsidR="00AC777E" w:rsidRPr="008C7842" w:rsidRDefault="00AC777E" w:rsidP="00AC777E">
      <w:pPr>
        <w:pStyle w:val="1"/>
        <w:rPr>
          <w:color w:val="auto"/>
        </w:rPr>
      </w:pPr>
      <w:r w:rsidRPr="008C7842">
        <w:rPr>
          <w:rFonts w:hint="eastAsia"/>
          <w:color w:val="auto"/>
        </w:rPr>
        <w:t>1</w:t>
      </w:r>
      <w:r w:rsidRPr="008C7842">
        <w:rPr>
          <w:color w:val="auto"/>
        </w:rPr>
        <w:t>.Supplementary experiment section</w:t>
      </w:r>
    </w:p>
    <w:p w14:paraId="2C11C55A" w14:textId="18A55AF6" w:rsidR="00AC777E" w:rsidRPr="008C7842" w:rsidRDefault="00AC777E" w:rsidP="00AC777E">
      <w:pPr>
        <w:pStyle w:val="1"/>
        <w:rPr>
          <w:color w:val="auto"/>
        </w:rPr>
      </w:pPr>
      <w:bookmarkStart w:id="2" w:name="OLE_LINK381"/>
      <w:r w:rsidRPr="008C7842">
        <w:rPr>
          <w:color w:val="auto"/>
        </w:rPr>
        <w:t>1</w:t>
      </w:r>
      <w:bookmarkStart w:id="3" w:name="OLE_LINK380"/>
      <w:r w:rsidRPr="008C7842">
        <w:rPr>
          <w:color w:val="auto"/>
        </w:rPr>
        <w:t>.1</w:t>
      </w:r>
      <w:r w:rsidR="008B1846">
        <w:rPr>
          <w:color w:val="auto"/>
        </w:rPr>
        <w:t xml:space="preserve"> S</w:t>
      </w:r>
      <w:r w:rsidRPr="008C7842">
        <w:rPr>
          <w:color w:val="auto"/>
        </w:rPr>
        <w:t>ynthesis of peptide</w:t>
      </w:r>
      <w:bookmarkEnd w:id="3"/>
    </w:p>
    <w:bookmarkEnd w:id="2"/>
    <w:p w14:paraId="40CCDBC5" w14:textId="71A4EEB6" w:rsidR="00AC777E" w:rsidRPr="008C7842" w:rsidRDefault="00AC777E" w:rsidP="00AC777E">
      <w:pPr>
        <w:spacing w:line="400" w:lineRule="exact"/>
        <w:ind w:firstLineChars="150" w:firstLine="360"/>
        <w:rPr>
          <w:rFonts w:ascii="Times New Roman" w:eastAsia="楷体" w:hAnsi="Times New Roman" w:cs="Times New Roman"/>
          <w:sz w:val="24"/>
          <w:szCs w:val="24"/>
        </w:rPr>
      </w:pPr>
      <w:r w:rsidRPr="008C7842">
        <w:rPr>
          <w:rFonts w:ascii="Times New Roman" w:eastAsia="楷体" w:hAnsi="Times New Roman" w:cs="Times New Roman"/>
          <w:sz w:val="24"/>
          <w:szCs w:val="24"/>
        </w:rPr>
        <w:t xml:space="preserve">Peptide </w:t>
      </w:r>
      <w:r w:rsidR="002613ED" w:rsidRPr="008C7842">
        <w:rPr>
          <w:rFonts w:ascii="Times New Roman" w:eastAsia="楷体" w:hAnsi="Times New Roman" w:cs="Times New Roman"/>
          <w:sz w:val="24"/>
          <w:szCs w:val="24"/>
        </w:rPr>
        <w:t>was</w:t>
      </w:r>
      <w:r w:rsidRPr="008C7842">
        <w:rPr>
          <w:rFonts w:ascii="Times New Roman" w:eastAsia="楷体" w:hAnsi="Times New Roman" w:cs="Times New Roman"/>
          <w:sz w:val="24"/>
          <w:szCs w:val="24"/>
        </w:rPr>
        <w:t xml:space="preserve"> synthesized by standard Fmoc strategy solid phase peptide synthesis (SPPS) on Rink Amide resin (</w:t>
      </w:r>
      <w:proofErr w:type="spellStart"/>
      <w:r w:rsidRPr="008C7842">
        <w:rPr>
          <w:rFonts w:ascii="Times New Roman" w:eastAsia="楷体" w:hAnsi="Times New Roman" w:cs="Times New Roman"/>
          <w:sz w:val="24"/>
          <w:szCs w:val="24"/>
        </w:rPr>
        <w:t>ChemImpex</w:t>
      </w:r>
      <w:proofErr w:type="spellEnd"/>
      <w:r w:rsidRPr="008C7842">
        <w:rPr>
          <w:rFonts w:ascii="Times New Roman" w:eastAsia="楷体" w:hAnsi="Times New Roman" w:cs="Times New Roman"/>
          <w:sz w:val="24"/>
          <w:szCs w:val="24"/>
        </w:rPr>
        <w:t>, polystyrene matrix, 100-200 mesh, 0.47 mmol</w:t>
      </w:r>
      <w:r w:rsidR="002D342A">
        <w:rPr>
          <w:rFonts w:ascii="Times New Roman" w:eastAsia="楷体" w:hAnsi="Times New Roman" w:cs="Times New Roman"/>
          <w:sz w:val="24"/>
          <w:szCs w:val="24"/>
        </w:rPr>
        <w:t>/</w:t>
      </w:r>
      <w:r w:rsidRPr="008C7842">
        <w:rPr>
          <w:rFonts w:ascii="Times New Roman" w:eastAsia="楷体" w:hAnsi="Times New Roman" w:cs="Times New Roman"/>
          <w:sz w:val="24"/>
          <w:szCs w:val="24"/>
        </w:rPr>
        <w:t>g). Amino acid (3 equiv</w:t>
      </w:r>
      <w:r w:rsidR="006960FD">
        <w:rPr>
          <w:rFonts w:ascii="Times New Roman" w:eastAsia="楷体" w:hAnsi="Times New Roman" w:cs="Times New Roman"/>
          <w:sz w:val="24"/>
          <w:szCs w:val="24"/>
        </w:rPr>
        <w:t>.</w:t>
      </w:r>
      <w:r w:rsidRPr="008C7842">
        <w:rPr>
          <w:rFonts w:ascii="Times New Roman" w:eastAsia="楷体" w:hAnsi="Times New Roman" w:cs="Times New Roman"/>
          <w:sz w:val="24"/>
          <w:szCs w:val="24"/>
        </w:rPr>
        <w:t>) activation was performed with O-(benzotriazol-1-yl)-N,</w:t>
      </w:r>
      <w:r w:rsidR="002D342A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8C7842">
        <w:rPr>
          <w:rFonts w:ascii="Times New Roman" w:eastAsia="楷体" w:hAnsi="Times New Roman" w:cs="Times New Roman"/>
          <w:sz w:val="24"/>
          <w:szCs w:val="24"/>
        </w:rPr>
        <w:t>N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>,</w:t>
      </w:r>
      <w:r w:rsidR="002D342A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>N</w:t>
      </w:r>
      <w:r w:rsidR="002D342A">
        <w:rPr>
          <w:rFonts w:ascii="Times New Roman" w:eastAsia="楷体" w:hAnsi="Times New Roman" w:cs="Times New Roman"/>
          <w:sz w:val="24"/>
          <w:szCs w:val="24"/>
        </w:rPr>
        <w:t>’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>,</w:t>
      </w:r>
      <w:r w:rsidR="002D342A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>N</w:t>
      </w:r>
      <w:r w:rsidR="002D342A">
        <w:rPr>
          <w:rFonts w:ascii="Times New Roman" w:eastAsia="楷体" w:hAnsi="Times New Roman" w:cs="Times New Roman"/>
          <w:sz w:val="24"/>
          <w:szCs w:val="24"/>
        </w:rPr>
        <w:t>’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>-tetramethyluronium hexafluorophosphate (HBTU, 3</w:t>
      </w:r>
      <w:r w:rsidR="006960FD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>equiv</w:t>
      </w:r>
      <w:r w:rsidR="006960FD">
        <w:rPr>
          <w:rFonts w:ascii="Times New Roman" w:eastAsia="楷体" w:hAnsi="Times New Roman" w:cs="Times New Roman"/>
          <w:sz w:val="24"/>
          <w:szCs w:val="24"/>
        </w:rPr>
        <w:t>.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>) and N,</w:t>
      </w:r>
      <w:r w:rsidR="002D342A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8C7842">
        <w:rPr>
          <w:rFonts w:ascii="Times New Roman" w:eastAsia="楷体" w:hAnsi="Times New Roman" w:cs="Times New Roman" w:hint="eastAsia"/>
          <w:sz w:val="24"/>
          <w:szCs w:val="24"/>
        </w:rPr>
        <w:t xml:space="preserve">N-diisopropylethylamine (DIPEA, 4 </w:t>
      </w:r>
      <w:r w:rsidRPr="008C7842">
        <w:rPr>
          <w:rFonts w:ascii="Times New Roman" w:eastAsia="楷体" w:hAnsi="Times New Roman" w:cs="Times New Roman"/>
          <w:sz w:val="24"/>
          <w:szCs w:val="24"/>
        </w:rPr>
        <w:t>equiv</w:t>
      </w:r>
      <w:r w:rsidR="006960FD">
        <w:rPr>
          <w:rFonts w:ascii="Times New Roman" w:eastAsia="楷体" w:hAnsi="Times New Roman" w:cs="Times New Roman"/>
          <w:sz w:val="24"/>
          <w:szCs w:val="24"/>
        </w:rPr>
        <w:t>.</w:t>
      </w:r>
      <w:r w:rsidRPr="008C7842">
        <w:rPr>
          <w:rFonts w:ascii="Times New Roman" w:eastAsia="楷体" w:hAnsi="Times New Roman" w:cs="Times New Roman"/>
          <w:sz w:val="24"/>
          <w:szCs w:val="24"/>
        </w:rPr>
        <w:t xml:space="preserve">) in dimethylformamide (DMF). Amino acids were coupled for 40 min at room temperature. Fmoc deprotection was performed using 4- </w:t>
      </w:r>
      <w:proofErr w:type="spellStart"/>
      <w:r w:rsidRPr="008C7842">
        <w:rPr>
          <w:rFonts w:ascii="Times New Roman" w:eastAsia="楷体" w:hAnsi="Times New Roman" w:cs="Times New Roman"/>
          <w:sz w:val="24"/>
          <w:szCs w:val="24"/>
        </w:rPr>
        <w:t>methylpiperidine</w:t>
      </w:r>
      <w:proofErr w:type="spellEnd"/>
      <w:r w:rsidRPr="008C7842">
        <w:rPr>
          <w:rFonts w:ascii="Times New Roman" w:eastAsia="楷体" w:hAnsi="Times New Roman" w:cs="Times New Roman"/>
          <w:sz w:val="24"/>
          <w:szCs w:val="24"/>
        </w:rPr>
        <w:t xml:space="preserve"> [20% (v/v) solution in DMF], while washing steps were performed with DMF and dichloromethane (DCM). For the synthesis of N-terminally derived DOTA-peptides, DOTA-tris(tertbutyl)-ester was used (2 equiv</w:t>
      </w:r>
      <w:r w:rsidR="00413683">
        <w:rPr>
          <w:rFonts w:ascii="Times New Roman" w:eastAsia="楷体" w:hAnsi="Times New Roman" w:cs="Times New Roman"/>
          <w:sz w:val="24"/>
          <w:szCs w:val="24"/>
        </w:rPr>
        <w:t>.</w:t>
      </w:r>
      <w:r w:rsidRPr="008C7842">
        <w:rPr>
          <w:rFonts w:ascii="Times New Roman" w:eastAsia="楷体" w:hAnsi="Times New Roman" w:cs="Times New Roman"/>
          <w:sz w:val="24"/>
          <w:szCs w:val="24"/>
        </w:rPr>
        <w:t>), coupled to an activation with 2 equiv</w:t>
      </w:r>
      <w:r w:rsidR="00413683">
        <w:rPr>
          <w:rFonts w:ascii="Times New Roman" w:eastAsia="楷体" w:hAnsi="Times New Roman" w:cs="Times New Roman"/>
          <w:sz w:val="24"/>
          <w:szCs w:val="24"/>
        </w:rPr>
        <w:t>.</w:t>
      </w:r>
      <w:r w:rsidRPr="008C7842">
        <w:rPr>
          <w:rFonts w:ascii="Times New Roman" w:eastAsia="楷体" w:hAnsi="Times New Roman" w:cs="Times New Roman"/>
          <w:sz w:val="24"/>
          <w:szCs w:val="24"/>
        </w:rPr>
        <w:t xml:space="preserve"> of HBTU and 3 equiv</w:t>
      </w:r>
      <w:r w:rsidR="00413683">
        <w:rPr>
          <w:rFonts w:ascii="Times New Roman" w:eastAsia="楷体" w:hAnsi="Times New Roman" w:cs="Times New Roman"/>
          <w:sz w:val="24"/>
          <w:szCs w:val="24"/>
        </w:rPr>
        <w:t>.</w:t>
      </w:r>
      <w:r w:rsidRPr="008C7842">
        <w:rPr>
          <w:rFonts w:ascii="Times New Roman" w:eastAsia="楷体" w:hAnsi="Times New Roman" w:cs="Times New Roman"/>
          <w:sz w:val="24"/>
          <w:szCs w:val="24"/>
        </w:rPr>
        <w:t xml:space="preserve"> of DIPEA, with a coupling time of 1 h. Cleavage and side chain deprotection were performed using a</w:t>
      </w:r>
      <w:r w:rsidR="00413683" w:rsidRPr="00413683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13683" w:rsidRPr="008C7842">
        <w:rPr>
          <w:rFonts w:ascii="Times New Roman" w:eastAsia="楷体" w:hAnsi="Times New Roman" w:cs="Times New Roman"/>
          <w:sz w:val="24"/>
          <w:szCs w:val="24"/>
        </w:rPr>
        <w:t>mixture</w:t>
      </w:r>
      <w:r w:rsidRPr="008C7842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13683">
        <w:rPr>
          <w:rFonts w:ascii="Times New Roman" w:eastAsia="楷体" w:hAnsi="Times New Roman" w:cs="Times New Roman"/>
          <w:sz w:val="24"/>
          <w:szCs w:val="24"/>
        </w:rPr>
        <w:t xml:space="preserve">of </w:t>
      </w:r>
      <w:r w:rsidRPr="008C7842">
        <w:rPr>
          <w:rFonts w:ascii="Times New Roman" w:eastAsia="楷体" w:hAnsi="Times New Roman" w:cs="Times New Roman"/>
          <w:sz w:val="24"/>
          <w:szCs w:val="24"/>
        </w:rPr>
        <w:t>trifluoroacetic acid (TFA)/</w:t>
      </w:r>
      <w:proofErr w:type="spellStart"/>
      <w:r w:rsidRPr="008C7842">
        <w:rPr>
          <w:rFonts w:ascii="Times New Roman" w:eastAsia="楷体" w:hAnsi="Times New Roman" w:cs="Times New Roman"/>
          <w:sz w:val="24"/>
          <w:szCs w:val="24"/>
        </w:rPr>
        <w:t>triisopropylsilane</w:t>
      </w:r>
      <w:proofErr w:type="spellEnd"/>
      <w:r w:rsidRPr="008C7842">
        <w:rPr>
          <w:rFonts w:ascii="Times New Roman" w:eastAsia="楷体" w:hAnsi="Times New Roman" w:cs="Times New Roman"/>
          <w:sz w:val="24"/>
          <w:szCs w:val="24"/>
        </w:rPr>
        <w:t xml:space="preserve"> (TIS)/water [95:2.5:2.5 (v/v/v)] at </w:t>
      </w:r>
      <w:r w:rsidR="00413683" w:rsidRPr="008C7842">
        <w:rPr>
          <w:rFonts w:ascii="Times New Roman" w:eastAsia="楷体" w:hAnsi="Times New Roman" w:cs="Times New Roman"/>
          <w:sz w:val="24"/>
          <w:szCs w:val="24"/>
        </w:rPr>
        <w:t>room temperature</w:t>
      </w:r>
      <w:r w:rsidRPr="008C7842">
        <w:rPr>
          <w:rFonts w:ascii="Times New Roman" w:eastAsia="楷体" w:hAnsi="Times New Roman" w:cs="Times New Roman"/>
          <w:sz w:val="24"/>
          <w:szCs w:val="24"/>
        </w:rPr>
        <w:t xml:space="preserve"> for 1.5 h. After vacuum evaporation, the crude peptide was precipitated in diethyl ether and lyophilized. After dissolution in an acetonitrile/water mixture [</w:t>
      </w:r>
      <w:r w:rsidRPr="008C7842">
        <w:rPr>
          <w:rFonts w:ascii="Cambria Math" w:eastAsia="楷体" w:hAnsi="Cambria Math" w:cs="Cambria Math" w:hint="eastAsia"/>
          <w:sz w:val="24"/>
          <w:szCs w:val="24"/>
        </w:rPr>
        <w:t>∼</w:t>
      </w:r>
      <w:r w:rsidRPr="008C7842">
        <w:rPr>
          <w:rFonts w:ascii="Times New Roman" w:eastAsia="楷体" w:hAnsi="Times New Roman" w:cs="Times New Roman"/>
          <w:sz w:val="24"/>
          <w:szCs w:val="24"/>
        </w:rPr>
        <w:t>50:50 (v/v)], purification was performed by preparative reversed phase high-performance liquid.</w:t>
      </w:r>
    </w:p>
    <w:p w14:paraId="0E17F8C0" w14:textId="141CFA70" w:rsidR="00AC777E" w:rsidRPr="008C7842" w:rsidRDefault="00AC777E" w:rsidP="00AC777E">
      <w:pPr>
        <w:pStyle w:val="1"/>
        <w:rPr>
          <w:color w:val="auto"/>
        </w:rPr>
      </w:pPr>
      <w:bookmarkStart w:id="4" w:name="OLE_LINK382"/>
      <w:r w:rsidRPr="008C7842">
        <w:rPr>
          <w:color w:val="auto"/>
        </w:rPr>
        <w:t>1.2</w:t>
      </w:r>
      <w:r w:rsidR="008B1846">
        <w:rPr>
          <w:color w:val="auto"/>
        </w:rPr>
        <w:t xml:space="preserve"> </w:t>
      </w:r>
      <w:r w:rsidRPr="008C7842">
        <w:rPr>
          <w:color w:val="auto"/>
        </w:rPr>
        <w:t xml:space="preserve">In </w:t>
      </w:r>
      <w:bookmarkStart w:id="5" w:name="OLE_LINK383"/>
      <w:r w:rsidRPr="008C7842">
        <w:rPr>
          <w:color w:val="auto"/>
        </w:rPr>
        <w:t xml:space="preserve">Vivo </w:t>
      </w:r>
      <w:bookmarkEnd w:id="5"/>
      <w:r w:rsidRPr="008C7842">
        <w:rPr>
          <w:color w:val="auto"/>
        </w:rPr>
        <w:t xml:space="preserve">Skin Irritation (Draize Patch Test) and Histopathological Studies </w:t>
      </w:r>
    </w:p>
    <w:bookmarkEnd w:id="4"/>
    <w:p w14:paraId="48AE8B9B" w14:textId="3550FC60" w:rsidR="00AC777E" w:rsidRPr="008C7842" w:rsidRDefault="00AC777E" w:rsidP="00AC777E">
      <w:pPr>
        <w:spacing w:line="400" w:lineRule="exact"/>
        <w:ind w:firstLineChars="200" w:firstLine="480"/>
      </w:pPr>
      <w:r w:rsidRPr="008C7842">
        <w:rPr>
          <w:rFonts w:ascii="TimesNewRomanPSMT" w:hAnsi="TimesNewRomanPSMT"/>
          <w:sz w:val="24"/>
          <w:szCs w:val="24"/>
        </w:rPr>
        <w:t>Skin irritation study was conducted as described previously with some modifications</w:t>
      </w:r>
      <w:r w:rsidRPr="002D342A">
        <w:rPr>
          <w:rFonts w:eastAsia="楷体"/>
          <w:sz w:val="24"/>
          <w:szCs w:val="24"/>
          <w:vertAlign w:val="superscript"/>
        </w:rPr>
        <w:fldChar w:fldCharType="begin"/>
      </w:r>
      <w:r w:rsidRPr="002D342A">
        <w:rPr>
          <w:rFonts w:eastAsia="楷体"/>
          <w:sz w:val="24"/>
          <w:szCs w:val="24"/>
          <w:vertAlign w:val="superscript"/>
        </w:rPr>
        <w:instrText xml:space="preserve"> ADDIN NE.Ref.{79F5EEDA-ED3F-487E-ABFC-07A589ECD108}</w:instrText>
      </w:r>
      <w:r w:rsidRPr="002D342A">
        <w:rPr>
          <w:rFonts w:eastAsia="楷体"/>
          <w:sz w:val="24"/>
          <w:szCs w:val="24"/>
          <w:vertAlign w:val="superscript"/>
        </w:rPr>
        <w:fldChar w:fldCharType="separate"/>
      </w:r>
      <w:r w:rsidRPr="002D342A">
        <w:rPr>
          <w:rFonts w:ascii="Times New Roman" w:eastAsia="楷体" w:hAnsi="Times New Roman" w:cs="Times New Roman"/>
          <w:sz w:val="24"/>
          <w:szCs w:val="24"/>
          <w:vertAlign w:val="superscript"/>
        </w:rPr>
        <w:t>[34]</w:t>
      </w:r>
      <w:r w:rsidRPr="002D342A">
        <w:rPr>
          <w:rFonts w:eastAsia="楷体"/>
          <w:sz w:val="24"/>
          <w:szCs w:val="24"/>
          <w:vertAlign w:val="superscript"/>
        </w:rPr>
        <w:fldChar w:fldCharType="end"/>
      </w:r>
      <w:r w:rsidRPr="008C7842">
        <w:rPr>
          <w:rStyle w:val="fontstyle01"/>
          <w:rFonts w:ascii="Times New Roman" w:hAnsi="Times New Roman" w:cs="Times New Roman"/>
          <w:color w:val="auto"/>
        </w:rPr>
        <w:t xml:space="preserve">. </w:t>
      </w:r>
      <w:r w:rsidRPr="008C7842">
        <w:rPr>
          <w:rFonts w:ascii="TimesNewRomanPSMT" w:hAnsi="TimesNewRomanPSMT" w:hint="eastAsia"/>
          <w:sz w:val="24"/>
          <w:szCs w:val="24"/>
        </w:rPr>
        <w:t>The back</w:t>
      </w:r>
      <w:bookmarkStart w:id="6" w:name="OLE_LINK437"/>
      <w:r w:rsidRPr="008C7842">
        <w:rPr>
          <w:rFonts w:ascii="TimesNewRomanPSMT" w:hAnsi="TimesNewRomanPSMT" w:hint="eastAsia"/>
          <w:sz w:val="24"/>
          <w:szCs w:val="24"/>
        </w:rPr>
        <w:t xml:space="preserve"> of th</w:t>
      </w:r>
      <w:bookmarkEnd w:id="6"/>
      <w:r w:rsidRPr="008C7842">
        <w:rPr>
          <w:rFonts w:ascii="TimesNewRomanPSMT" w:hAnsi="TimesNewRomanPSMT" w:hint="eastAsia"/>
          <w:sz w:val="24"/>
          <w:szCs w:val="24"/>
        </w:rPr>
        <w:t xml:space="preserve">e mice was shaved </w:t>
      </w:r>
      <w:r w:rsidR="002613ED" w:rsidRPr="008C7842">
        <w:rPr>
          <w:rFonts w:ascii="TimesNewRomanPSMT" w:hAnsi="TimesNewRomanPSMT"/>
          <w:sz w:val="24"/>
          <w:szCs w:val="24"/>
        </w:rPr>
        <w:t>(</w:t>
      </w:r>
      <w:r w:rsidRPr="008C7842">
        <w:rPr>
          <w:rFonts w:ascii="TimesNewRomanPSMT" w:hAnsi="TimesNewRomanPSMT" w:hint="eastAsia"/>
          <w:sz w:val="24"/>
          <w:szCs w:val="24"/>
        </w:rPr>
        <w:t>on</w:t>
      </w:r>
      <w:r w:rsidR="002613ED" w:rsidRPr="008C7842">
        <w:rPr>
          <w:rFonts w:ascii="TimesNewRomanPSMT" w:hAnsi="TimesNewRomanPSMT"/>
          <w:sz w:val="24"/>
          <w:szCs w:val="24"/>
        </w:rPr>
        <w:t>)</w:t>
      </w:r>
      <w:r w:rsidRPr="008C7842">
        <w:rPr>
          <w:rFonts w:ascii="TimesNewRomanPSMT" w:hAnsi="TimesNewRomanPSMT" w:hint="eastAsia"/>
          <w:sz w:val="24"/>
          <w:szCs w:val="24"/>
        </w:rPr>
        <w:t xml:space="preserve"> prior to the study. Then, the </w:t>
      </w:r>
      <w:r w:rsidRPr="008C7842">
        <w:rPr>
          <w:rFonts w:ascii="TimesNewRomanPSMT" w:hAnsi="TimesNewRomanPSMT" w:hint="eastAsia"/>
          <w:sz w:val="24"/>
          <w:szCs w:val="24"/>
        </w:rPr>
        <w:lastRenderedPageBreak/>
        <w:t>blank gel and nan</w:t>
      </w:r>
      <w:bookmarkStart w:id="7" w:name="OLE_LINK438"/>
      <w:r w:rsidRPr="008C7842">
        <w:rPr>
          <w:rFonts w:ascii="TimesNewRomanPSMT" w:hAnsi="TimesNewRomanPSMT" w:hint="eastAsia"/>
          <w:sz w:val="24"/>
          <w:szCs w:val="24"/>
        </w:rPr>
        <w:t>ocomposite</w:t>
      </w:r>
      <w:bookmarkEnd w:id="7"/>
      <w:r w:rsidRPr="008C7842">
        <w:rPr>
          <w:rFonts w:ascii="TimesNewRomanPSMT" w:hAnsi="TimesNewRomanPSMT" w:hint="eastAsia"/>
          <w:sz w:val="24"/>
          <w:szCs w:val="24"/>
        </w:rPr>
        <w:t xml:space="preserve"> hydrogel (1</w:t>
      </w:r>
      <w:r w:rsidRPr="006C3DA0">
        <w:rPr>
          <w:rFonts w:ascii="Times New Roman" w:hAnsi="Times New Roman" w:cs="Times New Roman"/>
          <w:sz w:val="24"/>
          <w:szCs w:val="24"/>
        </w:rPr>
        <w:t>00μL)</w:t>
      </w:r>
      <w:r w:rsidRPr="006C3DA0">
        <w:rPr>
          <w:rFonts w:ascii="Times New Roman" w:hAnsi="Times New Roman" w:cs="Times New Roman"/>
        </w:rPr>
        <w:t xml:space="preserve"> </w:t>
      </w:r>
      <w:r w:rsidRPr="008C7842">
        <w:rPr>
          <w:rFonts w:ascii="TimesNewRomanPSMT" w:hAnsi="TimesNewRomanPSMT" w:hint="eastAsia"/>
          <w:sz w:val="24"/>
          <w:szCs w:val="24"/>
        </w:rPr>
        <w:t>was applied to the shaved area once daily for a perio</w:t>
      </w:r>
      <w:bookmarkStart w:id="8" w:name="OLE_LINK214"/>
      <w:r w:rsidRPr="008C7842">
        <w:rPr>
          <w:rFonts w:ascii="TimesNewRomanPSMT" w:hAnsi="TimesNewRomanPSMT" w:hint="eastAsia"/>
          <w:sz w:val="24"/>
          <w:szCs w:val="24"/>
        </w:rPr>
        <w:t>d of 7 days. Mice treated with PBS</w:t>
      </w:r>
      <w:r w:rsidRPr="008C7842">
        <w:rPr>
          <w:rFonts w:ascii="TimesNewRomanPSMT" w:hAnsi="TimesNewRomanPSMT" w:hint="eastAsia"/>
        </w:rPr>
        <w:t xml:space="preserve"> </w:t>
      </w:r>
      <w:r w:rsidRPr="008C7842">
        <w:rPr>
          <w:rFonts w:ascii="TimesNewRomanPSMT" w:hAnsi="TimesNewRomanPSMT" w:hint="eastAsia"/>
          <w:sz w:val="24"/>
          <w:szCs w:val="24"/>
        </w:rPr>
        <w:t>served as a negative control. Twenty-four hours after the last topical administration, images</w:t>
      </w:r>
      <w:r w:rsidRPr="008C7842">
        <w:rPr>
          <w:rFonts w:ascii="TimesNewRomanPSMT" w:hAnsi="TimesNewRomanPSMT" w:hint="eastAsia"/>
        </w:rPr>
        <w:t xml:space="preserve"> </w:t>
      </w:r>
      <w:r w:rsidRPr="008C7842">
        <w:rPr>
          <w:rFonts w:ascii="TimesNewRomanPSMT" w:hAnsi="TimesNewRomanPSMT" w:hint="eastAsia"/>
          <w:sz w:val="24"/>
          <w:szCs w:val="24"/>
        </w:rPr>
        <w:t>of the mice backs were acquired and analyzed. Then, the mice were sacrificed, and the skin</w:t>
      </w:r>
      <w:r w:rsidRPr="008C7842">
        <w:rPr>
          <w:rFonts w:ascii="TimesNewRomanPSMT" w:hAnsi="TimesNewRomanPSMT" w:hint="eastAsia"/>
        </w:rPr>
        <w:t xml:space="preserve"> </w:t>
      </w:r>
      <w:r w:rsidRPr="008C7842">
        <w:rPr>
          <w:rFonts w:ascii="TimesNewRomanPSMT" w:hAnsi="TimesNewRomanPSMT" w:hint="eastAsia"/>
          <w:sz w:val="24"/>
          <w:szCs w:val="24"/>
        </w:rPr>
        <w:t>tissues were excised for histological examination. Afterwards, the tissu</w:t>
      </w:r>
      <w:bookmarkEnd w:id="8"/>
      <w:r w:rsidRPr="008C7842">
        <w:rPr>
          <w:rFonts w:ascii="TimesNewRomanPSMT" w:hAnsi="TimesNewRomanPSMT" w:hint="eastAsia"/>
          <w:sz w:val="24"/>
          <w:szCs w:val="24"/>
        </w:rPr>
        <w:t>es were fixed in 10%</w:t>
      </w:r>
      <w:r w:rsidRPr="008C7842">
        <w:rPr>
          <w:rFonts w:ascii="TimesNewRomanPSMT" w:hAnsi="TimesNewRomanPSMT" w:hint="eastAsia"/>
        </w:rPr>
        <w:t xml:space="preserve"> </w:t>
      </w:r>
      <w:r w:rsidRPr="008C7842">
        <w:rPr>
          <w:rFonts w:ascii="TimesNewRomanPSMT" w:hAnsi="TimesNewRomanPSMT" w:hint="eastAsia"/>
          <w:sz w:val="24"/>
          <w:szCs w:val="24"/>
        </w:rPr>
        <w:t>formalin, embedded in paraffin,</w:t>
      </w:r>
      <w:bookmarkStart w:id="9" w:name="OLE_LINK271"/>
      <w:r w:rsidRPr="008C7842">
        <w:rPr>
          <w:rFonts w:ascii="TimesNewRomanPSMT" w:hAnsi="TimesNewRomanPSMT" w:hint="eastAsia"/>
          <w:sz w:val="24"/>
          <w:szCs w:val="24"/>
        </w:rPr>
        <w:t xml:space="preserve"> and stained with H&amp;E </w:t>
      </w:r>
      <w:bookmarkEnd w:id="9"/>
      <w:r w:rsidRPr="008C7842">
        <w:rPr>
          <w:rFonts w:ascii="TimesNewRomanPSMT" w:hAnsi="TimesNewRomanPSMT" w:hint="eastAsia"/>
          <w:sz w:val="24"/>
          <w:szCs w:val="24"/>
        </w:rPr>
        <w:t>for further histopathological</w:t>
      </w:r>
      <w:r w:rsidRPr="008C7842">
        <w:rPr>
          <w:rFonts w:ascii="TimesNewRomanPSMT" w:hAnsi="TimesNewRomanPSMT" w:hint="eastAsia"/>
        </w:rPr>
        <w:t xml:space="preserve"> </w:t>
      </w:r>
      <w:r w:rsidRPr="008C7842">
        <w:rPr>
          <w:rFonts w:ascii="TimesNewRomanPSMT" w:hAnsi="TimesNewRomanPSMT" w:hint="eastAsia"/>
          <w:sz w:val="24"/>
          <w:szCs w:val="24"/>
        </w:rPr>
        <w:t>examination. Five mice were used for each test group.</w:t>
      </w:r>
      <w:r w:rsidRPr="008C7842">
        <w:t xml:space="preserve"> </w:t>
      </w:r>
    </w:p>
    <w:p w14:paraId="6B2E9970" w14:textId="77777777" w:rsidR="00AC777E" w:rsidRPr="008C7842" w:rsidRDefault="00AC777E" w:rsidP="00AC777E">
      <w:pPr>
        <w:pStyle w:val="1"/>
        <w:rPr>
          <w:color w:val="auto"/>
        </w:rPr>
      </w:pPr>
      <w:r w:rsidRPr="008C7842">
        <w:rPr>
          <w:rFonts w:hint="eastAsia"/>
          <w:color w:val="auto"/>
        </w:rPr>
        <w:t>1</w:t>
      </w:r>
      <w:r w:rsidRPr="008C7842">
        <w:rPr>
          <w:color w:val="auto"/>
        </w:rPr>
        <w:t>.3 Microcomputed Tomography Imaging</w:t>
      </w:r>
    </w:p>
    <w:p w14:paraId="75C15F9C" w14:textId="30AD4C41" w:rsidR="00AC777E" w:rsidRPr="008C7842" w:rsidRDefault="00AC777E" w:rsidP="00AC777E">
      <w:pPr>
        <w:spacing w:line="400" w:lineRule="exact"/>
        <w:rPr>
          <w:rFonts w:ascii="TimesNewRomanPSMT" w:hAnsi="TimesNewRomanPSMT"/>
          <w:sz w:val="24"/>
          <w:szCs w:val="24"/>
        </w:rPr>
      </w:pPr>
      <w:r w:rsidRPr="008C7842">
        <w:rPr>
          <w:rFonts w:ascii="TimesNewRomanPSMT" w:hAnsi="TimesNewRomanPSMT"/>
          <w:sz w:val="24"/>
          <w:szCs w:val="24"/>
        </w:rPr>
        <w:t>After th</w:t>
      </w:r>
      <w:bookmarkStart w:id="10" w:name="OLE_LINK298"/>
      <w:r w:rsidRPr="008C7842">
        <w:rPr>
          <w:rFonts w:ascii="TimesNewRomanPSMT" w:hAnsi="TimesNewRomanPSMT"/>
          <w:sz w:val="24"/>
          <w:szCs w:val="24"/>
        </w:rPr>
        <w:t>e treatment, AIA mice of different therapeutic groups were imaged for whole body 360° scanning on an animal computed tomography scanner (Triumph X-SPECT/X-O CT, Gamma Medica-Ideas, USA), respectively. During the CT imaging, the mice were kept under anesthesia with isoflurane. CT imaging parameters were listed as the following: tube current = 270</w:t>
      </w:r>
      <w:r w:rsidR="0052519D">
        <w:rPr>
          <w:rFonts w:ascii="TimesNewRomanPSMT" w:hAnsi="TimesNewRomanPSMT"/>
          <w:sz w:val="24"/>
          <w:szCs w:val="24"/>
        </w:rPr>
        <w:t xml:space="preserve"> </w:t>
      </w:r>
      <w:proofErr w:type="spellStart"/>
      <w:r w:rsidRPr="008C7842">
        <w:rPr>
          <w:rFonts w:ascii="TimesNewRomanPSMT" w:hAnsi="TimesNewRomanPSMT"/>
          <w:sz w:val="24"/>
          <w:szCs w:val="24"/>
        </w:rPr>
        <w:t>μA</w:t>
      </w:r>
      <w:proofErr w:type="spellEnd"/>
      <w:r w:rsidRPr="008C7842">
        <w:rPr>
          <w:rFonts w:ascii="TimesNewRomanPSMT" w:hAnsi="TimesNewRomanPSMT"/>
          <w:sz w:val="24"/>
          <w:szCs w:val="24"/>
        </w:rPr>
        <w:t xml:space="preserve">, tube voltage = 80 kV, field of view = 80 mm × 80 mm, effective pixel size = 50 </w:t>
      </w:r>
      <w:proofErr w:type="spellStart"/>
      <w:r w:rsidRPr="008C7842">
        <w:rPr>
          <w:rFonts w:ascii="TimesNewRomanPSMT" w:hAnsi="TimesNewRomanPSMT"/>
          <w:sz w:val="24"/>
          <w:szCs w:val="24"/>
        </w:rPr>
        <w:t>μm</w:t>
      </w:r>
      <w:proofErr w:type="spellEnd"/>
      <w:r w:rsidRPr="008C7842">
        <w:rPr>
          <w:rFonts w:ascii="TimesNewRomanPSMT" w:hAnsi="TimesNewRomanPSMT"/>
          <w:sz w:val="24"/>
          <w:szCs w:val="24"/>
        </w:rPr>
        <w:t xml:space="preserve">, and slice thickness = 154 </w:t>
      </w:r>
      <w:proofErr w:type="spellStart"/>
      <w:r w:rsidRPr="008C7842">
        <w:rPr>
          <w:rFonts w:ascii="TimesNewRomanPSMT" w:hAnsi="TimesNewRomanPSMT"/>
          <w:sz w:val="24"/>
          <w:szCs w:val="24"/>
        </w:rPr>
        <w:t>μm</w:t>
      </w:r>
      <w:proofErr w:type="spellEnd"/>
      <w:r w:rsidRPr="008C7842">
        <w:rPr>
          <w:rFonts w:ascii="TimesNewRomanPSMT" w:hAnsi="TimesNewRomanPSMT"/>
          <w:sz w:val="24"/>
          <w:szCs w:val="24"/>
        </w:rPr>
        <w:t>. The scanned paws were reconstructed into a three-dimensional structure following the filtered back projection method. 3D bone volume including phalanges.</w:t>
      </w:r>
    </w:p>
    <w:p w14:paraId="22EE0040" w14:textId="6E144832" w:rsidR="00AC777E" w:rsidRPr="008C7842" w:rsidRDefault="00AC777E" w:rsidP="00AC777E">
      <w:pPr>
        <w:spacing w:line="400" w:lineRule="exact"/>
        <w:rPr>
          <w:rFonts w:ascii="TimesNewRomanPSMT" w:hAnsi="TimesNewRomanPSMT"/>
          <w:sz w:val="24"/>
          <w:szCs w:val="24"/>
        </w:rPr>
      </w:pPr>
    </w:p>
    <w:p w14:paraId="1B22A41F" w14:textId="2E5AF891" w:rsidR="00AC777E" w:rsidRPr="008C7842" w:rsidRDefault="00AC777E" w:rsidP="00AC777E">
      <w:pPr>
        <w:pStyle w:val="1"/>
        <w:rPr>
          <w:color w:val="auto"/>
        </w:rPr>
      </w:pPr>
      <w:r w:rsidRPr="008C7842">
        <w:rPr>
          <w:rFonts w:hint="eastAsia"/>
          <w:color w:val="auto"/>
        </w:rPr>
        <w:t>2</w:t>
      </w:r>
      <w:r w:rsidRPr="008C7842">
        <w:rPr>
          <w:color w:val="auto"/>
        </w:rPr>
        <w:t xml:space="preserve">.Supplematary </w:t>
      </w:r>
      <w:r w:rsidR="00BF73D3">
        <w:rPr>
          <w:color w:val="auto"/>
        </w:rPr>
        <w:t xml:space="preserve">Tables and </w:t>
      </w:r>
      <w:r w:rsidRPr="008C7842">
        <w:rPr>
          <w:color w:val="auto"/>
        </w:rPr>
        <w:t>Figures</w:t>
      </w:r>
    </w:p>
    <w:p w14:paraId="6355C2B1" w14:textId="3BB84303" w:rsidR="00971E3E" w:rsidRPr="008C7842" w:rsidRDefault="00971E3E" w:rsidP="002F588B">
      <w:pPr>
        <w:spacing w:line="240" w:lineRule="exact"/>
        <w:rPr>
          <w:rFonts w:ascii="Arial" w:eastAsia="宋体" w:hAnsi="Arial" w:cs="Arial"/>
          <w:b/>
          <w:bCs/>
          <w:kern w:val="0"/>
          <w:szCs w:val="21"/>
        </w:rPr>
      </w:pPr>
      <w:r w:rsidRPr="008C7842">
        <w:rPr>
          <w:rFonts w:ascii="Arial" w:eastAsia="宋体" w:hAnsi="Arial" w:cs="Arial"/>
          <w:b/>
          <w:bCs/>
          <w:kern w:val="0"/>
          <w:szCs w:val="21"/>
        </w:rPr>
        <w:t xml:space="preserve">Table S1 </w:t>
      </w:r>
      <w:r w:rsidR="002F588B" w:rsidRPr="008C7842">
        <w:rPr>
          <w:rFonts w:ascii="Arial" w:eastAsia="宋体" w:hAnsi="Arial" w:cs="Arial"/>
          <w:b/>
          <w:bCs/>
          <w:kern w:val="0"/>
          <w:szCs w:val="21"/>
        </w:rPr>
        <w:t>Pharmacokinetic of TP in different groups</w:t>
      </w:r>
      <w:r w:rsidR="000F5F12">
        <w:rPr>
          <w:rFonts w:ascii="Arial" w:eastAsia="宋体" w:hAnsi="Arial" w:cs="Arial"/>
          <w:b/>
          <w:bCs/>
          <w:kern w:val="0"/>
          <w:szCs w:val="21"/>
        </w:rPr>
        <w:t xml:space="preserve">. </w:t>
      </w:r>
    </w:p>
    <w:p w14:paraId="549E9B85" w14:textId="758539C3" w:rsidR="00971E3E" w:rsidRPr="008C7842" w:rsidRDefault="00971E3E" w:rsidP="00971E3E">
      <w:r w:rsidRPr="008C7842">
        <w:rPr>
          <w:rFonts w:hint="eastAsia"/>
          <w:noProof/>
        </w:rPr>
        <w:drawing>
          <wp:inline distT="0" distB="0" distL="0" distR="0" wp14:anchorId="1EE634BB" wp14:editId="7BA6A6BC">
            <wp:extent cx="4941277" cy="193056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32" cy="193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5DBD6" w14:textId="37174BBF" w:rsidR="002F588B" w:rsidRPr="008C7842" w:rsidRDefault="002F588B" w:rsidP="00971E3E"/>
    <w:p w14:paraId="13C1BC0D" w14:textId="4645B826" w:rsidR="002F588B" w:rsidRPr="008C7842" w:rsidRDefault="002F588B" w:rsidP="00971E3E"/>
    <w:p w14:paraId="7BB66417" w14:textId="7954BF17" w:rsidR="002F588B" w:rsidRPr="008C7842" w:rsidRDefault="002F588B" w:rsidP="00971E3E"/>
    <w:p w14:paraId="4333DE8D" w14:textId="5C044259" w:rsidR="002F588B" w:rsidRPr="008C7842" w:rsidRDefault="002F588B" w:rsidP="00971E3E"/>
    <w:p w14:paraId="2A7224B4" w14:textId="05E9A2F5" w:rsidR="002F588B" w:rsidRPr="008C7842" w:rsidRDefault="002F588B" w:rsidP="00971E3E"/>
    <w:p w14:paraId="62406379" w14:textId="6FB7EE7B" w:rsidR="002F588B" w:rsidRPr="008C7842" w:rsidRDefault="002F588B" w:rsidP="002F588B">
      <w:pPr>
        <w:spacing w:line="240" w:lineRule="exact"/>
        <w:rPr>
          <w:rFonts w:ascii="Arial" w:eastAsia="宋体" w:hAnsi="Arial" w:cs="Arial"/>
          <w:b/>
          <w:bCs/>
          <w:kern w:val="0"/>
          <w:szCs w:val="21"/>
        </w:rPr>
      </w:pPr>
      <w:r w:rsidRPr="008C7842">
        <w:rPr>
          <w:rFonts w:ascii="Arial" w:eastAsia="宋体" w:hAnsi="Arial" w:cs="Arial"/>
          <w:b/>
          <w:bCs/>
          <w:kern w:val="0"/>
          <w:szCs w:val="21"/>
        </w:rPr>
        <w:lastRenderedPageBreak/>
        <w:t xml:space="preserve">Table S2 Histopathological scores </w:t>
      </w:r>
    </w:p>
    <w:p w14:paraId="7326702B" w14:textId="6EC3CD98" w:rsidR="00F70AA5" w:rsidRPr="008C7842" w:rsidRDefault="00F70AA5" w:rsidP="00F70AA5">
      <w:r w:rsidRPr="008C7842">
        <w:rPr>
          <w:noProof/>
        </w:rPr>
        <w:drawing>
          <wp:inline distT="0" distB="0" distL="0" distR="0" wp14:anchorId="409D840F" wp14:editId="68B32512">
            <wp:extent cx="5249333" cy="3350698"/>
            <wp:effectExtent l="0" t="0" r="889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38"/>
                    <a:stretch/>
                  </pic:blipFill>
                  <pic:spPr bwMode="auto">
                    <a:xfrm>
                      <a:off x="0" y="0"/>
                      <a:ext cx="5258870" cy="33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C7519" w14:textId="2E3BC5A6" w:rsidR="00A940EB" w:rsidRDefault="0052519D" w:rsidP="00F70AA5">
      <w:r>
        <w:rPr>
          <w:rFonts w:hint="eastAsia"/>
        </w:rPr>
        <w:t xml:space="preserve"> </w:t>
      </w:r>
      <w:r>
        <w:t xml:space="preserve">   </w:t>
      </w:r>
    </w:p>
    <w:p w14:paraId="461A4599" w14:textId="041E5B1E" w:rsidR="0052519D" w:rsidRDefault="0052519D" w:rsidP="00F70AA5"/>
    <w:p w14:paraId="1B9A402E" w14:textId="65BE600D" w:rsidR="0052519D" w:rsidRDefault="0052519D" w:rsidP="00F70AA5"/>
    <w:p w14:paraId="5377BE78" w14:textId="77777777" w:rsidR="0052519D" w:rsidRPr="008C7842" w:rsidRDefault="0052519D" w:rsidP="00F70AA5">
      <w:pPr>
        <w:rPr>
          <w:rFonts w:hint="eastAsia"/>
        </w:rPr>
      </w:pPr>
    </w:p>
    <w:p w14:paraId="1E8DEB22" w14:textId="77777777" w:rsidR="00AC777E" w:rsidRPr="008C7842" w:rsidRDefault="00AC777E" w:rsidP="00AC777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bookmarkStart w:id="11" w:name="OLE_LINK211"/>
      <w:bookmarkStart w:id="12" w:name="OLE_LINK212"/>
      <w:bookmarkEnd w:id="10"/>
      <w:r w:rsidRPr="008C78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9EE5B9" wp14:editId="51DF9524">
            <wp:extent cx="5226097" cy="1649762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003" cy="1659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23072" w14:textId="00B53C49" w:rsidR="00AC777E" w:rsidRPr="008C7842" w:rsidRDefault="00AC777E" w:rsidP="00AC777E">
      <w:pPr>
        <w:spacing w:line="400" w:lineRule="exact"/>
        <w:rPr>
          <w:rFonts w:ascii="Arial" w:eastAsia="宋体" w:hAnsi="Arial" w:cs="Arial"/>
          <w:kern w:val="0"/>
          <w:szCs w:val="21"/>
        </w:rPr>
      </w:pPr>
      <w:r w:rsidRPr="008C7842">
        <w:rPr>
          <w:rFonts w:ascii="Arial" w:eastAsia="宋体" w:hAnsi="Arial" w:cs="Arial"/>
          <w:b/>
          <w:bCs/>
          <w:kern w:val="0"/>
          <w:szCs w:val="21"/>
        </w:rPr>
        <w:t xml:space="preserve">Fig. S1 Molecular weight and purity verification of FEFQFK sequence. </w:t>
      </w:r>
      <w:r w:rsidRPr="008C7842">
        <w:rPr>
          <w:rFonts w:ascii="Arial" w:eastAsia="宋体" w:hAnsi="Arial" w:cs="Arial"/>
          <w:kern w:val="0"/>
          <w:szCs w:val="21"/>
        </w:rPr>
        <w:t>(A) MALDI of FEFQFK, (B) Purity confirmation of FEFQFK by HPLC.</w:t>
      </w:r>
    </w:p>
    <w:p w14:paraId="2D663EBA" w14:textId="77777777" w:rsidR="00A940EB" w:rsidRDefault="00A940EB" w:rsidP="00AC777E">
      <w:pPr>
        <w:spacing w:line="400" w:lineRule="exact"/>
        <w:rPr>
          <w:rFonts w:ascii="Arial" w:eastAsia="宋体" w:hAnsi="Arial" w:cs="Arial"/>
          <w:kern w:val="0"/>
          <w:szCs w:val="21"/>
        </w:rPr>
      </w:pPr>
    </w:p>
    <w:p w14:paraId="4C25C529" w14:textId="4D721A42" w:rsidR="003D5AE3" w:rsidRPr="008C7842" w:rsidRDefault="003D5AE3" w:rsidP="00AC777E">
      <w:pPr>
        <w:spacing w:line="400" w:lineRule="exact"/>
        <w:rPr>
          <w:rFonts w:ascii="Arial" w:eastAsia="宋体" w:hAnsi="Arial" w:cs="Arial"/>
          <w:kern w:val="0"/>
          <w:szCs w:val="21"/>
        </w:rPr>
      </w:pPr>
      <w:r w:rsidRPr="008C7842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096962FE" wp14:editId="30BC79BB">
            <wp:simplePos x="0" y="0"/>
            <wp:positionH relativeFrom="margin">
              <wp:posOffset>1423670</wp:posOffset>
            </wp:positionH>
            <wp:positionV relativeFrom="paragraph">
              <wp:posOffset>183515</wp:posOffset>
            </wp:positionV>
            <wp:extent cx="2369820" cy="2062480"/>
            <wp:effectExtent l="0" t="0" r="0" b="0"/>
            <wp:wrapTopAndBottom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AE0A1" w14:textId="251C9CD2" w:rsidR="002F588B" w:rsidRDefault="002F588B" w:rsidP="002F588B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Cs w:val="21"/>
        </w:rPr>
      </w:pPr>
      <w:r w:rsidRPr="008C7842">
        <w:rPr>
          <w:rFonts w:ascii="Arial" w:eastAsia="宋体" w:hAnsi="Arial" w:cs="Arial"/>
          <w:b/>
          <w:bCs/>
          <w:kern w:val="0"/>
          <w:szCs w:val="21"/>
        </w:rPr>
        <w:t>Fig. S2 SEM of TP@HSA NPs</w:t>
      </w:r>
      <w:r w:rsidR="006C3DA0">
        <w:rPr>
          <w:rFonts w:ascii="Arial" w:eastAsia="宋体" w:hAnsi="Arial" w:cs="Arial"/>
          <w:b/>
          <w:bCs/>
          <w:kern w:val="0"/>
          <w:szCs w:val="21"/>
        </w:rPr>
        <w:t>.</w:t>
      </w:r>
    </w:p>
    <w:p w14:paraId="491E3411" w14:textId="77777777" w:rsidR="00A940EB" w:rsidRPr="008C7842" w:rsidRDefault="00A940EB" w:rsidP="002F588B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Cs w:val="21"/>
        </w:rPr>
      </w:pPr>
    </w:p>
    <w:p w14:paraId="5A087656" w14:textId="3BC54EF2" w:rsidR="00F70AA5" w:rsidRPr="008C7842" w:rsidRDefault="002F588B" w:rsidP="00F70AA5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Cs w:val="21"/>
        </w:rPr>
      </w:pPr>
      <w:r w:rsidRPr="008C7842">
        <w:rPr>
          <w:rFonts w:ascii="Times New Roman" w:eastAsia="宋体" w:hAnsi="Times New Roman" w:cs="Times New Roman"/>
          <w:noProof/>
          <w:kern w:val="0"/>
          <w:szCs w:val="21"/>
        </w:rPr>
        <w:drawing>
          <wp:anchor distT="0" distB="0" distL="114300" distR="114300" simplePos="0" relativeHeight="251660288" behindDoc="0" locked="0" layoutInCell="1" allowOverlap="1" wp14:anchorId="55FD50E7" wp14:editId="0711DF88">
            <wp:simplePos x="0" y="0"/>
            <wp:positionH relativeFrom="margin">
              <wp:posOffset>717404</wp:posOffset>
            </wp:positionH>
            <wp:positionV relativeFrom="paragraph">
              <wp:posOffset>206082</wp:posOffset>
            </wp:positionV>
            <wp:extent cx="3886200" cy="1986915"/>
            <wp:effectExtent l="0" t="0" r="0" b="0"/>
            <wp:wrapTopAndBottom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AA5" w:rsidRPr="008C7842">
        <w:rPr>
          <w:rFonts w:ascii="Arial" w:eastAsia="宋体" w:hAnsi="Arial" w:cs="Arial"/>
          <w:b/>
          <w:bCs/>
          <w:kern w:val="0"/>
          <w:szCs w:val="21"/>
        </w:rPr>
        <w:t>Fig. S3 FTIR spectra of HSA, TP, the mixture of HSA and TP, and TP@HSA NPs.</w:t>
      </w:r>
    </w:p>
    <w:p w14:paraId="1DFB8AFA" w14:textId="6C55972D" w:rsidR="002F588B" w:rsidRPr="008C7842" w:rsidRDefault="002F588B" w:rsidP="00F70AA5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Cs w:val="21"/>
        </w:rPr>
      </w:pPr>
      <w:r w:rsidRPr="008C7842">
        <w:rPr>
          <w:noProof/>
        </w:rPr>
        <w:drawing>
          <wp:anchor distT="0" distB="0" distL="114300" distR="114300" simplePos="0" relativeHeight="251666432" behindDoc="0" locked="0" layoutInCell="1" allowOverlap="1" wp14:anchorId="5CDA2B13" wp14:editId="47EE6ADE">
            <wp:simplePos x="0" y="0"/>
            <wp:positionH relativeFrom="margin">
              <wp:posOffset>767715</wp:posOffset>
            </wp:positionH>
            <wp:positionV relativeFrom="paragraph">
              <wp:posOffset>285359</wp:posOffset>
            </wp:positionV>
            <wp:extent cx="3248025" cy="2255520"/>
            <wp:effectExtent l="0" t="0" r="9525" b="0"/>
            <wp:wrapTopAndBottom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530F3" w14:textId="7ABF22AC" w:rsidR="00AC777E" w:rsidRPr="008C7842" w:rsidRDefault="008F2E04" w:rsidP="00AC777E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 w:val="20"/>
          <w:szCs w:val="20"/>
        </w:rPr>
      </w:pPr>
      <w:bookmarkStart w:id="13" w:name="_Hlk83491019"/>
      <w:r w:rsidRPr="008C7842">
        <w:rPr>
          <w:rFonts w:ascii="Arial" w:eastAsia="宋体" w:hAnsi="Arial" w:cs="Arial"/>
          <w:b/>
          <w:bCs/>
          <w:kern w:val="0"/>
          <w:szCs w:val="21"/>
        </w:rPr>
        <w:t>Fig. S4</w:t>
      </w:r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Study on the </w:t>
      </w:r>
      <w:r w:rsidR="0052519D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size </w:t>
      </w:r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>stability of TP@HSA NPs</w:t>
      </w:r>
      <w:bookmarkEnd w:id="13"/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>.</w:t>
      </w:r>
    </w:p>
    <w:p w14:paraId="301860C3" w14:textId="77777777" w:rsidR="00DF5EA0" w:rsidRPr="008C7842" w:rsidRDefault="00DF5EA0" w:rsidP="00AC777E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 w:val="20"/>
          <w:szCs w:val="20"/>
        </w:rPr>
      </w:pPr>
    </w:p>
    <w:p w14:paraId="6A4E8DE1" w14:textId="5F617A5A" w:rsidR="002F588B" w:rsidRPr="008C7842" w:rsidRDefault="00865467" w:rsidP="00865467">
      <w:pPr>
        <w:jc w:val="center"/>
        <w:rPr>
          <w:rFonts w:ascii="Arial" w:eastAsia="宋体" w:hAnsi="Arial" w:cs="Arial"/>
          <w:b/>
          <w:bCs/>
          <w:kern w:val="0"/>
          <w:sz w:val="20"/>
          <w:szCs w:val="20"/>
        </w:rPr>
      </w:pPr>
      <w:r w:rsidRPr="008C7842">
        <w:rPr>
          <w:noProof/>
        </w:rPr>
        <w:lastRenderedPageBreak/>
        <w:drawing>
          <wp:inline distT="0" distB="0" distL="0" distR="0" wp14:anchorId="28AC8376" wp14:editId="3743D7FA">
            <wp:extent cx="3619849" cy="1973788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11" cy="199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F8A1" w14:textId="11F4572A" w:rsidR="002F588B" w:rsidRPr="008C7842" w:rsidRDefault="002F588B" w:rsidP="002F588B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 w:val="20"/>
          <w:szCs w:val="20"/>
        </w:rPr>
      </w:pPr>
      <w:bookmarkStart w:id="14" w:name="_Hlk83586020"/>
      <w:r w:rsidRPr="008C7842">
        <w:rPr>
          <w:rFonts w:ascii="Arial" w:eastAsia="宋体" w:hAnsi="Arial" w:cs="Arial"/>
          <w:b/>
          <w:bCs/>
          <w:kern w:val="0"/>
          <w:szCs w:val="21"/>
        </w:rPr>
        <w:t>Fig. S5</w:t>
      </w:r>
      <w:r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Comparative of the release behavior of CCPA and TP</w:t>
      </w:r>
      <w:r w:rsidRPr="008C7842">
        <w:rPr>
          <w:rFonts w:ascii="Arial" w:eastAsia="宋体" w:hAnsi="Arial" w:cs="Arial" w:hint="eastAsia"/>
          <w:b/>
          <w:bCs/>
          <w:kern w:val="0"/>
          <w:sz w:val="20"/>
          <w:szCs w:val="20"/>
        </w:rPr>
        <w:t xml:space="preserve"> </w:t>
      </w:r>
      <w:r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from nanocomposite hydrogel in different </w:t>
      </w:r>
      <w:proofErr w:type="spellStart"/>
      <w:r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>pH</w:t>
      </w:r>
      <w:r w:rsidR="000F5F12">
        <w:rPr>
          <w:rFonts w:ascii="Arial" w:eastAsia="宋体" w:hAnsi="Arial" w:cs="Arial"/>
          <w:b/>
          <w:bCs/>
          <w:kern w:val="0"/>
          <w:sz w:val="20"/>
          <w:szCs w:val="20"/>
        </w:rPr>
        <w:t>.</w:t>
      </w:r>
      <w:proofErr w:type="spellEnd"/>
    </w:p>
    <w:bookmarkEnd w:id="14"/>
    <w:p w14:paraId="377D508A" w14:textId="0FEA9B9C" w:rsidR="002F588B" w:rsidRDefault="002F588B" w:rsidP="00AC777E">
      <w:pPr>
        <w:spacing w:line="400" w:lineRule="exact"/>
        <w:jc w:val="left"/>
        <w:rPr>
          <w:rFonts w:ascii="Arial" w:eastAsia="宋体" w:hAnsi="Arial" w:cs="Arial"/>
          <w:b/>
          <w:bCs/>
          <w:kern w:val="0"/>
          <w:szCs w:val="21"/>
        </w:rPr>
      </w:pPr>
    </w:p>
    <w:p w14:paraId="36606B64" w14:textId="77777777" w:rsidR="00653864" w:rsidRPr="008C7842" w:rsidRDefault="00653864" w:rsidP="00AC777E">
      <w:pPr>
        <w:spacing w:line="400" w:lineRule="exact"/>
        <w:jc w:val="left"/>
        <w:rPr>
          <w:rFonts w:ascii="Arial" w:eastAsia="宋体" w:hAnsi="Arial" w:cs="Arial" w:hint="eastAsia"/>
          <w:b/>
          <w:bCs/>
          <w:kern w:val="0"/>
          <w:szCs w:val="21"/>
        </w:rPr>
      </w:pPr>
    </w:p>
    <w:p w14:paraId="745EE540" w14:textId="06D2DFE0" w:rsidR="00AC777E" w:rsidRPr="008C7842" w:rsidRDefault="003D5AE3" w:rsidP="00AC777E">
      <w:pPr>
        <w:spacing w:line="400" w:lineRule="exact"/>
        <w:rPr>
          <w:rFonts w:ascii="Arial" w:eastAsia="宋体" w:hAnsi="Arial" w:cs="Arial"/>
          <w:kern w:val="0"/>
          <w:sz w:val="20"/>
          <w:szCs w:val="20"/>
        </w:rPr>
      </w:pPr>
      <w:r w:rsidRPr="008C7842">
        <w:rPr>
          <w:noProof/>
        </w:rPr>
        <w:drawing>
          <wp:anchor distT="0" distB="0" distL="114300" distR="114300" simplePos="0" relativeHeight="251659264" behindDoc="0" locked="0" layoutInCell="1" allowOverlap="1" wp14:anchorId="04761C88" wp14:editId="5C678E0C">
            <wp:simplePos x="0" y="0"/>
            <wp:positionH relativeFrom="margin">
              <wp:posOffset>-28331</wp:posOffset>
            </wp:positionH>
            <wp:positionV relativeFrom="paragraph">
              <wp:posOffset>249652</wp:posOffset>
            </wp:positionV>
            <wp:extent cx="5274310" cy="1479550"/>
            <wp:effectExtent l="0" t="0" r="2540" b="6350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E04" w:rsidRPr="008C7842">
        <w:rPr>
          <w:rFonts w:ascii="Arial" w:eastAsia="宋体" w:hAnsi="Arial" w:cs="Arial"/>
          <w:b/>
          <w:bCs/>
          <w:kern w:val="0"/>
          <w:szCs w:val="21"/>
        </w:rPr>
        <w:t>Fig. S</w:t>
      </w:r>
      <w:r w:rsidRPr="008C7842">
        <w:rPr>
          <w:rFonts w:ascii="Arial" w:eastAsia="宋体" w:hAnsi="Arial" w:cs="Arial"/>
          <w:b/>
          <w:bCs/>
          <w:kern w:val="0"/>
          <w:szCs w:val="21"/>
        </w:rPr>
        <w:t>6</w:t>
      </w:r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Histop</w:t>
      </w:r>
      <w:bookmarkStart w:id="15" w:name="OLE_LINK299"/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>athological images obtained by H&amp;E staining</w:t>
      </w:r>
      <w:r w:rsidR="005B3F0C">
        <w:rPr>
          <w:rFonts w:ascii="Arial" w:eastAsia="宋体" w:hAnsi="Arial" w:cs="Arial"/>
          <w:b/>
          <w:bCs/>
          <w:kern w:val="0"/>
          <w:sz w:val="20"/>
          <w:szCs w:val="20"/>
        </w:rPr>
        <w:t>.</w:t>
      </w:r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</w:t>
      </w:r>
      <w:r w:rsidR="00E53F49">
        <w:rPr>
          <w:rFonts w:ascii="Arial" w:eastAsia="宋体" w:hAnsi="Arial" w:cs="Arial"/>
          <w:kern w:val="0"/>
          <w:sz w:val="20"/>
          <w:szCs w:val="20"/>
        </w:rPr>
        <w:t>Y</w:t>
      </w:r>
      <w:r w:rsidR="00AC777E" w:rsidRPr="008C7842">
        <w:rPr>
          <w:rFonts w:ascii="Arial" w:eastAsia="宋体" w:hAnsi="Arial" w:cs="Arial"/>
          <w:kern w:val="0"/>
          <w:sz w:val="20"/>
          <w:szCs w:val="20"/>
        </w:rPr>
        <w:t>ellow arrow represents stratum corneum, red arrow represents collagen fibers, green arrow repre</w:t>
      </w:r>
      <w:bookmarkEnd w:id="15"/>
      <w:r w:rsidR="00AC777E" w:rsidRPr="008C7842">
        <w:rPr>
          <w:rFonts w:ascii="Arial" w:eastAsia="宋体" w:hAnsi="Arial" w:cs="Arial"/>
          <w:kern w:val="0"/>
          <w:sz w:val="20"/>
          <w:szCs w:val="20"/>
        </w:rPr>
        <w:t>sents hair follicle, scale bar=100</w:t>
      </w:r>
      <w:r w:rsidR="005F3A94">
        <w:rPr>
          <w:rFonts w:ascii="Arial" w:eastAsia="宋体" w:hAnsi="Arial" w:cs="Arial"/>
          <w:kern w:val="0"/>
          <w:sz w:val="20"/>
          <w:szCs w:val="20"/>
        </w:rPr>
        <w:t xml:space="preserve"> </w:t>
      </w:r>
      <w:proofErr w:type="spellStart"/>
      <w:r w:rsidR="00AC777E" w:rsidRPr="008C7842">
        <w:rPr>
          <w:rFonts w:ascii="Arial" w:eastAsia="宋体" w:hAnsi="Arial" w:cs="Arial"/>
          <w:kern w:val="0"/>
          <w:sz w:val="20"/>
          <w:szCs w:val="20"/>
        </w:rPr>
        <w:t>μm</w:t>
      </w:r>
      <w:proofErr w:type="spellEnd"/>
      <w:r w:rsidR="005F3A94">
        <w:rPr>
          <w:rFonts w:ascii="Arial" w:eastAsia="宋体" w:hAnsi="Arial" w:cs="Arial"/>
          <w:kern w:val="0"/>
          <w:sz w:val="20"/>
          <w:szCs w:val="20"/>
        </w:rPr>
        <w:t>.</w:t>
      </w:r>
    </w:p>
    <w:p w14:paraId="296C2CA1" w14:textId="77777777" w:rsidR="00653864" w:rsidRDefault="00653864" w:rsidP="00AC777E">
      <w:pPr>
        <w:spacing w:line="400" w:lineRule="exac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35FC1A76" w14:textId="4207343F" w:rsidR="003D5AE3" w:rsidRPr="008C7842" w:rsidRDefault="003D5AE3" w:rsidP="00AC777E">
      <w:pPr>
        <w:spacing w:line="400" w:lineRule="exac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7842">
        <w:rPr>
          <w:rFonts w:ascii="Arial" w:eastAsia="宋体" w:hAnsi="Arial" w:cs="Arial"/>
          <w:b/>
          <w:bCs/>
          <w:noProof/>
          <w:kern w:val="0"/>
          <w:szCs w:val="21"/>
        </w:rPr>
        <w:drawing>
          <wp:anchor distT="0" distB="0" distL="114300" distR="114300" simplePos="0" relativeHeight="251668480" behindDoc="0" locked="0" layoutInCell="1" allowOverlap="1" wp14:anchorId="2C628B00" wp14:editId="214CE677">
            <wp:simplePos x="0" y="0"/>
            <wp:positionH relativeFrom="margin">
              <wp:align>left</wp:align>
            </wp:positionH>
            <wp:positionV relativeFrom="paragraph">
              <wp:posOffset>345831</wp:posOffset>
            </wp:positionV>
            <wp:extent cx="5281295" cy="13716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8DC288" w14:textId="01BEE5C4" w:rsidR="00AC777E" w:rsidRPr="008C7842" w:rsidRDefault="008F2E04" w:rsidP="00AC777E">
      <w:pPr>
        <w:spacing w:line="400" w:lineRule="exact"/>
        <w:rPr>
          <w:rFonts w:ascii="Arial" w:eastAsia="宋体" w:hAnsi="Arial" w:cs="Arial"/>
          <w:b/>
          <w:bCs/>
          <w:kern w:val="0"/>
          <w:sz w:val="20"/>
          <w:szCs w:val="20"/>
        </w:rPr>
      </w:pPr>
      <w:r w:rsidRPr="008C7842">
        <w:rPr>
          <w:rFonts w:ascii="Arial" w:eastAsia="宋体" w:hAnsi="Arial" w:cs="Arial"/>
          <w:b/>
          <w:bCs/>
          <w:kern w:val="0"/>
          <w:szCs w:val="21"/>
        </w:rPr>
        <w:t>Fig. S</w:t>
      </w:r>
      <w:r w:rsidR="003D5AE3" w:rsidRPr="008C7842">
        <w:rPr>
          <w:rFonts w:ascii="Arial" w:eastAsia="宋体" w:hAnsi="Arial" w:cs="Arial"/>
          <w:b/>
          <w:bCs/>
          <w:kern w:val="0"/>
          <w:szCs w:val="21"/>
        </w:rPr>
        <w:t>7</w:t>
      </w:r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Imaging of A</w:t>
      </w:r>
      <w:bookmarkStart w:id="16" w:name="OLE_LINK309"/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>IA mice treated with TP@HSA NPs in ST36 in left</w:t>
      </w:r>
      <w:bookmarkEnd w:id="16"/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site at diﬀerent point-in-times</w:t>
      </w:r>
      <w:r w:rsidR="003935BE">
        <w:rPr>
          <w:rFonts w:ascii="Arial" w:eastAsia="宋体" w:hAnsi="Arial" w:cs="Arial"/>
          <w:b/>
          <w:bCs/>
          <w:kern w:val="0"/>
          <w:sz w:val="20"/>
          <w:szCs w:val="20"/>
        </w:rPr>
        <w:t>.</w:t>
      </w:r>
    </w:p>
    <w:p w14:paraId="316FB4A5" w14:textId="77777777" w:rsidR="003D5AE3" w:rsidRPr="008C7842" w:rsidRDefault="003D5AE3" w:rsidP="00AC777E">
      <w:pPr>
        <w:spacing w:line="400" w:lineRule="exact"/>
        <w:rPr>
          <w:rFonts w:ascii="Arial" w:eastAsia="宋体" w:hAnsi="Arial" w:cs="Arial"/>
          <w:b/>
          <w:bCs/>
          <w:kern w:val="0"/>
          <w:sz w:val="20"/>
          <w:szCs w:val="20"/>
        </w:rPr>
      </w:pPr>
    </w:p>
    <w:bookmarkEnd w:id="11"/>
    <w:bookmarkEnd w:id="12"/>
    <w:p w14:paraId="146CC608" w14:textId="77777777" w:rsidR="00AC777E" w:rsidRPr="008C7842" w:rsidRDefault="00AC777E" w:rsidP="00AC777E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8C7842"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4194F4" wp14:editId="57FC45EE">
            <wp:extent cx="5259018" cy="1411054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384" cy="142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9BBCA" w14:textId="2BB75B2D" w:rsidR="00E70D37" w:rsidRPr="008C7842" w:rsidRDefault="008F2E04" w:rsidP="00C73605">
      <w:pPr>
        <w:autoSpaceDE w:val="0"/>
        <w:autoSpaceDN w:val="0"/>
        <w:adjustRightInd w:val="0"/>
        <w:jc w:val="left"/>
        <w:rPr>
          <w:rFonts w:ascii="Arial" w:eastAsia="宋体" w:hAnsi="Arial" w:cs="Arial"/>
          <w:b/>
          <w:bCs/>
          <w:kern w:val="0"/>
          <w:sz w:val="20"/>
          <w:szCs w:val="20"/>
        </w:rPr>
      </w:pPr>
      <w:r w:rsidRPr="008C7842">
        <w:rPr>
          <w:rFonts w:ascii="Arial" w:eastAsia="宋体" w:hAnsi="Arial" w:cs="Arial"/>
          <w:b/>
          <w:bCs/>
          <w:kern w:val="0"/>
          <w:szCs w:val="21"/>
        </w:rPr>
        <w:t>Fig. S</w:t>
      </w:r>
      <w:r w:rsidR="003D5AE3" w:rsidRPr="008C7842">
        <w:rPr>
          <w:rFonts w:ascii="Arial" w:eastAsia="宋体" w:hAnsi="Arial" w:cs="Arial"/>
          <w:b/>
          <w:bCs/>
          <w:kern w:val="0"/>
          <w:szCs w:val="21"/>
        </w:rPr>
        <w:t>8</w:t>
      </w:r>
      <w:r w:rsidR="00AC777E" w:rsidRPr="008C784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Representative micro-CT images of the ankle joints at day 28.</w:t>
      </w:r>
    </w:p>
    <w:p w14:paraId="6DF6A4AC" w14:textId="304F1BC0" w:rsidR="00C73605" w:rsidRPr="008C7842" w:rsidRDefault="00C73605" w:rsidP="00C73605">
      <w:pPr>
        <w:autoSpaceDE w:val="0"/>
        <w:autoSpaceDN w:val="0"/>
        <w:adjustRightInd w:val="0"/>
        <w:jc w:val="left"/>
        <w:rPr>
          <w:rFonts w:ascii="Arial" w:eastAsia="宋体" w:hAnsi="Arial" w:cs="Arial"/>
          <w:b/>
          <w:bCs/>
          <w:kern w:val="0"/>
          <w:sz w:val="20"/>
          <w:szCs w:val="20"/>
        </w:rPr>
      </w:pPr>
    </w:p>
    <w:sectPr w:rsidR="00C73605" w:rsidRPr="008C7842" w:rsidSect="005A73BC">
      <w:footerReference w:type="default" r:id="rId16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60232" w14:textId="77777777" w:rsidR="000E2563" w:rsidRDefault="000E2563">
      <w:r>
        <w:separator/>
      </w:r>
    </w:p>
  </w:endnote>
  <w:endnote w:type="continuationSeparator" w:id="0">
    <w:p w14:paraId="0CE3F106" w14:textId="77777777" w:rsidR="000E2563" w:rsidRDefault="000E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-Italic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305703"/>
      <w:docPartObj>
        <w:docPartGallery w:val="Page Numbers (Bottom of Page)"/>
        <w:docPartUnique/>
      </w:docPartObj>
    </w:sdtPr>
    <w:sdtEndPr/>
    <w:sdtContent>
      <w:p w14:paraId="0413ADE1" w14:textId="77777777" w:rsidR="005A73BC" w:rsidRDefault="00BD65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202523B" w14:textId="77777777" w:rsidR="005A73BC" w:rsidRDefault="000E256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931C0" w14:textId="77777777" w:rsidR="000E2563" w:rsidRDefault="000E2563">
      <w:r>
        <w:separator/>
      </w:r>
    </w:p>
  </w:footnote>
  <w:footnote w:type="continuationSeparator" w:id="0">
    <w:p w14:paraId="1E752065" w14:textId="77777777" w:rsidR="000E2563" w:rsidRDefault="000E2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7E"/>
    <w:rsid w:val="000E2563"/>
    <w:rsid w:val="000F5F12"/>
    <w:rsid w:val="002613ED"/>
    <w:rsid w:val="002D342A"/>
    <w:rsid w:val="002F588B"/>
    <w:rsid w:val="00331A71"/>
    <w:rsid w:val="003935BE"/>
    <w:rsid w:val="003D5AE3"/>
    <w:rsid w:val="00413683"/>
    <w:rsid w:val="004C43EB"/>
    <w:rsid w:val="004E2620"/>
    <w:rsid w:val="0052519D"/>
    <w:rsid w:val="0058096D"/>
    <w:rsid w:val="005A68B6"/>
    <w:rsid w:val="005B3F0C"/>
    <w:rsid w:val="005F3A94"/>
    <w:rsid w:val="00653864"/>
    <w:rsid w:val="006960FD"/>
    <w:rsid w:val="006C3DA0"/>
    <w:rsid w:val="00761EC8"/>
    <w:rsid w:val="00802B09"/>
    <w:rsid w:val="00865467"/>
    <w:rsid w:val="008B1846"/>
    <w:rsid w:val="008C7842"/>
    <w:rsid w:val="008F2E04"/>
    <w:rsid w:val="00971E3E"/>
    <w:rsid w:val="009F199D"/>
    <w:rsid w:val="00A57FA7"/>
    <w:rsid w:val="00A940EB"/>
    <w:rsid w:val="00AA7D99"/>
    <w:rsid w:val="00AC777E"/>
    <w:rsid w:val="00BD08E7"/>
    <w:rsid w:val="00BD65EB"/>
    <w:rsid w:val="00BF3B8D"/>
    <w:rsid w:val="00BF73D3"/>
    <w:rsid w:val="00C115E5"/>
    <w:rsid w:val="00C73605"/>
    <w:rsid w:val="00CE316A"/>
    <w:rsid w:val="00D35C8D"/>
    <w:rsid w:val="00DB4497"/>
    <w:rsid w:val="00DF5EA0"/>
    <w:rsid w:val="00DF78B3"/>
    <w:rsid w:val="00E03AC1"/>
    <w:rsid w:val="00E53F49"/>
    <w:rsid w:val="00E70D37"/>
    <w:rsid w:val="00EB129F"/>
    <w:rsid w:val="00F70AA5"/>
    <w:rsid w:val="00F75521"/>
    <w:rsid w:val="00FD79EC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9FA15"/>
  <w15:chartTrackingRefBased/>
  <w15:docId w15:val="{C58DB64C-BBF4-4096-AB92-0601DB4D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77E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AC777E"/>
    <w:pPr>
      <w:keepNext/>
      <w:keepLines/>
      <w:spacing w:before="340" w:after="330" w:line="480" w:lineRule="auto"/>
      <w:outlineLvl w:val="0"/>
    </w:pPr>
    <w:rPr>
      <w:rFonts w:ascii="Arial" w:eastAsia="楷体" w:hAnsi="Arial" w:cs="Arial"/>
      <w:b/>
      <w:bCs/>
      <w:color w:val="000000" w:themeColor="text1"/>
      <w:kern w:val="44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77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77E"/>
    <w:rPr>
      <w:rFonts w:ascii="Arial" w:eastAsia="楷体" w:hAnsi="Arial" w:cs="Arial"/>
      <w:b/>
      <w:bCs/>
      <w:color w:val="000000" w:themeColor="text1"/>
      <w:kern w:val="44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AC7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C777E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AC777E"/>
  </w:style>
  <w:style w:type="character" w:customStyle="1" w:styleId="20">
    <w:name w:val="标题 2 字符"/>
    <w:basedOn w:val="a0"/>
    <w:link w:val="2"/>
    <w:uiPriority w:val="9"/>
    <w:semiHidden/>
    <w:rsid w:val="00AC777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style01">
    <w:name w:val="fontstyle01"/>
    <w:basedOn w:val="a0"/>
    <w:rsid w:val="00AC777E"/>
    <w:rPr>
      <w:rFonts w:ascii="CharisSIL-Italic" w:hAnsi="CharisSIL-Italic" w:hint="default"/>
      <w:b w:val="0"/>
      <w:bCs w:val="0"/>
      <w:i/>
      <w:iCs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A7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A7D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Shujing</dc:creator>
  <cp:keywords/>
  <dc:description/>
  <cp:lastModifiedBy>Chen Rui</cp:lastModifiedBy>
  <cp:revision>18</cp:revision>
  <dcterms:created xsi:type="dcterms:W3CDTF">2021-09-26T03:40:00Z</dcterms:created>
  <dcterms:modified xsi:type="dcterms:W3CDTF">2021-11-19T05:35:00Z</dcterms:modified>
</cp:coreProperties>
</file>