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iCs/>
          <w:sz w:val="24"/>
        </w:rPr>
      </w:pPr>
      <w:bookmarkStart w:id="0" w:name="OLE_LINK22"/>
      <w:bookmarkStart w:id="1" w:name="_Hlk60685078"/>
      <w:bookmarkStart w:id="2" w:name="OLE_LINK23"/>
      <w:r>
        <w:rPr>
          <w:rFonts w:ascii="Times New Roman" w:hAnsi="Times New Roman" w:cs="Times New Roman"/>
          <w:b/>
          <w:iCs/>
          <w:sz w:val="24"/>
        </w:rPr>
        <w:t>Supporting information for</w:t>
      </w:r>
    </w:p>
    <w:bookmarkEnd w:id="0"/>
    <w:bookmarkEnd w:id="1"/>
    <w:bookmarkEnd w:id="2"/>
    <w:p>
      <w:pPr>
        <w:widowControl/>
        <w:spacing w:line="480" w:lineRule="auto"/>
        <w:jc w:val="left"/>
        <w:rPr>
          <w:rFonts w:ascii="Times New Roman" w:hAnsi="Times New Roman" w:cs="Times New Roman"/>
          <w:iCs/>
          <w:sz w:val="24"/>
        </w:rPr>
      </w:pPr>
    </w:p>
    <w:p>
      <w:pPr>
        <w:widowControl/>
        <w:spacing w:line="480" w:lineRule="auto"/>
        <w:rPr>
          <w:rFonts w:ascii="Times New Roman" w:hAnsi="Times New Roman" w:eastAsia="ScalaSansLF-Bold" w:cs="Times New Roman"/>
          <w:b/>
          <w:bCs/>
          <w:kern w:val="0"/>
          <w:sz w:val="24"/>
          <w:lang w:bidi="ar"/>
        </w:rPr>
      </w:pPr>
      <w:r>
        <w:rPr>
          <w:rFonts w:ascii="Times New Roman" w:hAnsi="Times New Roman" w:eastAsia="ScalaSansLF-Bold" w:cs="Times New Roman"/>
          <w:b/>
          <w:bCs/>
          <w:kern w:val="0"/>
          <w:sz w:val="24"/>
          <w:lang w:bidi="ar"/>
        </w:rPr>
        <w:t>Engineering 2D Cu-Composed Metal-Organic Framework Nanosheets for Augmented Nanocatalytic Tumor Therapy</w:t>
      </w:r>
    </w:p>
    <w:p>
      <w:pPr>
        <w:widowControl/>
        <w:spacing w:line="480" w:lineRule="auto"/>
        <w:rPr>
          <w:rFonts w:ascii="Times New Roman" w:hAnsi="Times New Roman" w:cs="Times New Roman"/>
          <w:b/>
          <w:bCs/>
          <w:kern w:val="0"/>
          <w:sz w:val="24"/>
          <w:lang w:bidi="ar"/>
        </w:rPr>
      </w:pPr>
    </w:p>
    <w:p>
      <w:pPr>
        <w:spacing w:line="480" w:lineRule="auto"/>
        <w:rPr>
          <w:rFonts w:ascii="Times New Roman" w:hAnsi="Times New Roman" w:cs="Times New Roman"/>
          <w:iCs/>
          <w:sz w:val="24"/>
        </w:rPr>
      </w:pPr>
      <w:r>
        <w:rPr>
          <w:rFonts w:ascii="Times New Roman" w:hAnsi="Times New Roman" w:cs="Times New Roman"/>
          <w:iCs/>
          <w:sz w:val="24"/>
        </w:rPr>
        <w:t>Shangwen Zhuang,</w:t>
      </w:r>
      <w:r>
        <w:rPr>
          <w:rFonts w:ascii="Times New Roman" w:hAnsi="Times New Roman" w:cs="Times New Roman"/>
          <w:iCs/>
          <w:sz w:val="24"/>
          <w:vertAlign w:val="superscript"/>
        </w:rPr>
        <w:t>1</w:t>
      </w:r>
      <w:r>
        <w:rPr>
          <w:rFonts w:ascii="Times New Roman" w:hAnsi="Times New Roman" w:cs="Times New Roman"/>
          <w:iCs/>
          <w:sz w:val="24"/>
        </w:rPr>
        <w:t xml:space="preserve"> </w:t>
      </w:r>
      <w:bookmarkStart w:id="3" w:name="_Hlk52736417"/>
      <w:r>
        <w:rPr>
          <w:rFonts w:ascii="Times New Roman" w:hAnsi="Times New Roman" w:cs="Times New Roman"/>
          <w:iCs/>
          <w:sz w:val="24"/>
        </w:rPr>
        <w:t>Huijing Xiang,</w:t>
      </w:r>
      <w:r>
        <w:rPr>
          <w:rFonts w:ascii="Times New Roman" w:hAnsi="Times New Roman" w:cs="Times New Roman"/>
          <w:iCs/>
          <w:sz w:val="24"/>
          <w:vertAlign w:val="superscript"/>
        </w:rPr>
        <w:t>2</w:t>
      </w:r>
      <w:r>
        <w:rPr>
          <w:rFonts w:ascii="Times New Roman" w:hAnsi="Times New Roman" w:cs="Times New Roman"/>
          <w:iCs/>
          <w:sz w:val="24"/>
        </w:rPr>
        <w:t>* Yixin Chen,</w:t>
      </w:r>
      <w:r>
        <w:rPr>
          <w:rFonts w:ascii="Times New Roman" w:hAnsi="Times New Roman" w:cs="Times New Roman"/>
          <w:iCs/>
          <w:sz w:val="24"/>
          <w:vertAlign w:val="superscript"/>
        </w:rPr>
        <w:t>1</w:t>
      </w:r>
      <w:r>
        <w:rPr>
          <w:rFonts w:ascii="Times New Roman" w:hAnsi="Times New Roman" w:cs="Times New Roman"/>
          <w:iCs/>
          <w:sz w:val="24"/>
        </w:rPr>
        <w:t xml:space="preserve"> </w:t>
      </w:r>
      <w:bookmarkEnd w:id="3"/>
      <w:r>
        <w:rPr>
          <w:rFonts w:ascii="Times New Roman" w:hAnsi="Times New Roman" w:cs="Times New Roman"/>
          <w:iCs/>
          <w:sz w:val="24"/>
        </w:rPr>
        <w:t>Lulu Wang,</w:t>
      </w:r>
      <w:r>
        <w:rPr>
          <w:rFonts w:ascii="Times New Roman" w:hAnsi="Times New Roman" w:cs="Times New Roman"/>
          <w:iCs/>
          <w:sz w:val="24"/>
          <w:vertAlign w:val="superscript"/>
        </w:rPr>
        <w:t>1</w:t>
      </w:r>
      <w:r>
        <w:rPr>
          <w:rFonts w:ascii="Times New Roman" w:hAnsi="Times New Roman" w:cs="Times New Roman"/>
          <w:iCs/>
          <w:sz w:val="24"/>
        </w:rPr>
        <w:t xml:space="preserve"> Yu Chen,</w:t>
      </w:r>
      <w:r>
        <w:rPr>
          <w:rFonts w:ascii="Times New Roman" w:hAnsi="Times New Roman" w:cs="Times New Roman"/>
          <w:iCs/>
          <w:sz w:val="24"/>
          <w:vertAlign w:val="superscript"/>
        </w:rPr>
        <w:t>2</w:t>
      </w:r>
      <w:r>
        <w:rPr>
          <w:rFonts w:ascii="Times New Roman" w:hAnsi="Times New Roman" w:cs="Times New Roman"/>
          <w:iCs/>
          <w:sz w:val="24"/>
        </w:rPr>
        <w:t>*and Jun Zhang</w:t>
      </w:r>
      <w:r>
        <w:rPr>
          <w:rFonts w:ascii="Times New Roman" w:hAnsi="Times New Roman" w:cs="Times New Roman"/>
          <w:iCs/>
          <w:sz w:val="24"/>
          <w:vertAlign w:val="superscript"/>
        </w:rPr>
        <w:t>1</w:t>
      </w:r>
      <w:r>
        <w:rPr>
          <w:rFonts w:ascii="Times New Roman" w:hAnsi="Times New Roman" w:cs="Times New Roman"/>
          <w:iCs/>
          <w:sz w:val="24"/>
        </w:rPr>
        <w:t xml:space="preserve">* </w:t>
      </w:r>
    </w:p>
    <w:p>
      <w:pPr>
        <w:spacing w:line="480" w:lineRule="auto"/>
        <w:rPr>
          <w:rFonts w:ascii="Times New Roman" w:hAnsi="Times New Roman" w:cs="Times New Roman"/>
          <w:iCs/>
          <w:sz w:val="24"/>
        </w:rPr>
      </w:pPr>
    </w:p>
    <w:p>
      <w:pPr>
        <w:spacing w:line="480" w:lineRule="auto"/>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Department of Radiology, Huashan Hospital, State Key Laboratory of Medical Neurobiology,</w:t>
      </w:r>
    </w:p>
    <w:p>
      <w:pPr>
        <w:spacing w:line="480" w:lineRule="auto"/>
        <w:rPr>
          <w:rFonts w:ascii="Times New Roman" w:hAnsi="Times New Roman" w:cs="Times New Roman"/>
          <w:sz w:val="24"/>
        </w:rPr>
      </w:pPr>
      <w:r>
        <w:rPr>
          <w:rFonts w:ascii="Times New Roman" w:hAnsi="Times New Roman" w:cs="Times New Roman"/>
          <w:sz w:val="24"/>
        </w:rPr>
        <w:t xml:space="preserve">Fudan University, Shanghai 200040, P. R. China. Email: </w:t>
      </w:r>
      <w:r>
        <w:fldChar w:fldCharType="begin"/>
      </w:r>
      <w:r>
        <w:instrText xml:space="preserve"> HYPERLINK "mailto:zhangjun_zj@fudan.edu.cn" </w:instrText>
      </w:r>
      <w:r>
        <w:fldChar w:fldCharType="separate"/>
      </w:r>
      <w:r>
        <w:rPr>
          <w:rFonts w:ascii="Times New Roman" w:hAnsi="Times New Roman" w:cs="Times New Roman"/>
          <w:sz w:val="24"/>
        </w:rPr>
        <w:t>zhangjun_zj@fudan.edu.cn</w:t>
      </w:r>
      <w:r>
        <w:rPr>
          <w:rFonts w:ascii="Times New Roman" w:hAnsi="Times New Roman" w:cs="Times New Roman"/>
          <w:sz w:val="24"/>
        </w:rPr>
        <w:fldChar w:fldCharType="end"/>
      </w:r>
      <w:r>
        <w:rPr>
          <w:rFonts w:ascii="Times New Roman" w:hAnsi="Times New Roman" w:cs="Times New Roman"/>
          <w:sz w:val="24"/>
        </w:rPr>
        <w:t>.</w:t>
      </w:r>
    </w:p>
    <w:p>
      <w:pPr>
        <w:spacing w:line="480" w:lineRule="auto"/>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 xml:space="preserve">Materdicine Lab, School of Life Sciences, Shanghai University, Shanghai 200444, P. R. China. </w:t>
      </w:r>
    </w:p>
    <w:p>
      <w:pPr>
        <w:spacing w:line="480" w:lineRule="auto"/>
        <w:rPr>
          <w:rFonts w:ascii="Times New Roman" w:hAnsi="Times New Roman" w:cs="Times New Roman"/>
          <w:sz w:val="24"/>
        </w:rPr>
      </w:pPr>
      <w:r>
        <w:rPr>
          <w:rFonts w:ascii="Times New Roman" w:hAnsi="Times New Roman" w:cs="Times New Roman"/>
          <w:sz w:val="24"/>
        </w:rPr>
        <w:t xml:space="preserve">Email: xianghuijing@shu.edu.cn; </w:t>
      </w:r>
      <w:r>
        <w:fldChar w:fldCharType="begin"/>
      </w:r>
      <w:r>
        <w:instrText xml:space="preserve"> HYPERLINK "mailto:chenyuedu@shu.edu.cn" </w:instrText>
      </w:r>
      <w:r>
        <w:fldChar w:fldCharType="separate"/>
      </w:r>
      <w:r>
        <w:rPr>
          <w:rFonts w:ascii="Times New Roman" w:hAnsi="Times New Roman" w:cs="Times New Roman"/>
          <w:sz w:val="24"/>
        </w:rPr>
        <w:t>chenyuedu@shu.edu.cn</w:t>
      </w:r>
      <w:r>
        <w:rPr>
          <w:rFonts w:ascii="Times New Roman" w:hAnsi="Times New Roman" w:cs="Times New Roman"/>
          <w:sz w:val="24"/>
        </w:rPr>
        <w:fldChar w:fldCharType="end"/>
      </w:r>
      <w:r>
        <w:rPr>
          <w:rFonts w:ascii="Times New Roman" w:hAnsi="Times New Roman" w:cs="Times New Roman"/>
          <w:sz w:val="24"/>
        </w:rPr>
        <w:t>.</w:t>
      </w:r>
    </w:p>
    <w:p>
      <w:pPr>
        <w:widowControl/>
        <w:spacing w:line="480" w:lineRule="auto"/>
        <w:jc w:val="left"/>
        <w:rPr>
          <w:rFonts w:ascii="Times New Roman" w:hAnsi="Times New Roman" w:cs="Times New Roman"/>
          <w:b/>
          <w:sz w:val="24"/>
        </w:rPr>
      </w:pPr>
      <w:r>
        <w:rPr>
          <w:rFonts w:ascii="Times New Roman" w:hAnsi="Times New Roman" w:cs="Times New Roman"/>
          <w:b/>
          <w:sz w:val="24"/>
        </w:rPr>
        <w:br w:type="page"/>
      </w:r>
    </w:p>
    <w:p>
      <w:pPr>
        <w:widowControl/>
        <w:spacing w:line="480" w:lineRule="auto"/>
        <w:rPr>
          <w:rFonts w:ascii="Times New Roman" w:hAnsi="Times New Roman" w:cs="Times New Roman"/>
          <w:b/>
          <w:bCs/>
          <w:color w:val="231F20"/>
          <w:kern w:val="0"/>
          <w:sz w:val="24"/>
          <w:lang w:bidi="ar"/>
        </w:rPr>
      </w:pPr>
      <w:r>
        <w:rPr>
          <w:rFonts w:ascii="Times New Roman" w:hAnsi="Times New Roman" w:eastAsia="ScalaSansLF-Regular" w:cs="Times New Roman"/>
          <w:b/>
          <w:bCs/>
          <w:color w:val="231F20"/>
          <w:kern w:val="0"/>
          <w:sz w:val="24"/>
          <w:lang w:bidi="ar"/>
        </w:rPr>
        <w:t>Materials and Methods</w:t>
      </w:r>
    </w:p>
    <w:p>
      <w:pPr>
        <w:widowControl/>
        <w:spacing w:line="480" w:lineRule="auto"/>
        <w:rPr>
          <w:rFonts w:ascii="Times New Roman" w:hAnsi="Times New Roman" w:eastAsia="AdvOTce3d9a73" w:cs="Times New Roman"/>
          <w:b/>
          <w:bCs/>
          <w:kern w:val="0"/>
          <w:sz w:val="24"/>
          <w:lang w:bidi="ar"/>
        </w:rPr>
      </w:pPr>
      <w:r>
        <w:rPr>
          <w:rFonts w:ascii="Times New Roman" w:hAnsi="Times New Roman" w:eastAsia="AdvOTce3d9a73" w:cs="Times New Roman"/>
          <w:b/>
          <w:bCs/>
          <w:kern w:val="0"/>
          <w:sz w:val="24"/>
          <w:lang w:bidi="ar"/>
        </w:rPr>
        <w:t xml:space="preserve">Materials </w:t>
      </w:r>
    </w:p>
    <w:p>
      <w:pPr>
        <w:widowControl/>
        <w:spacing w:line="480" w:lineRule="auto"/>
        <w:rPr>
          <w:rFonts w:ascii="Times New Roman" w:hAnsi="Times New Roman" w:eastAsia="ScalaSansLF-Regular" w:cs="Times New Roman"/>
          <w:kern w:val="0"/>
          <w:sz w:val="24"/>
          <w:lang w:bidi="ar"/>
        </w:rPr>
      </w:pPr>
      <w:r>
        <w:rPr>
          <w:rFonts w:ascii="Times New Roman" w:hAnsi="Times New Roman" w:eastAsia="ScalaSansLF-Regular" w:cs="Times New Roman"/>
          <w:kern w:val="0"/>
          <w:sz w:val="24"/>
          <w:lang w:bidi="ar"/>
        </w:rPr>
        <w:t>Copper (II) chloride dihydrate (</w:t>
      </w:r>
      <w:r>
        <w:rPr>
          <w:rFonts w:ascii="Times New Roman" w:hAnsi="Times New Roman" w:eastAsia="宋体" w:cs="Times New Roman"/>
          <w:sz w:val="24"/>
        </w:rPr>
        <w:t>CuCl</w:t>
      </w:r>
      <w:r>
        <w:rPr>
          <w:rFonts w:ascii="Times New Roman" w:hAnsi="Times New Roman" w:eastAsia="宋体" w:cs="Times New Roman"/>
          <w:sz w:val="24"/>
          <w:vertAlign w:val="subscript"/>
        </w:rPr>
        <w:t>2</w:t>
      </w:r>
      <w:r>
        <w:rPr>
          <w:rFonts w:ascii="Times New Roman" w:hAnsi="Times New Roman" w:eastAsia="宋体" w:cs="Times New Roman"/>
          <w:sz w:val="24"/>
        </w:rPr>
        <w:t>·2H</w:t>
      </w:r>
      <w:r>
        <w:rPr>
          <w:rFonts w:ascii="Times New Roman" w:hAnsi="Times New Roman" w:eastAsia="宋体" w:cs="Times New Roman"/>
          <w:sz w:val="24"/>
          <w:vertAlign w:val="subscript"/>
        </w:rPr>
        <w:t>2</w:t>
      </w:r>
      <w:r>
        <w:rPr>
          <w:rFonts w:ascii="Times New Roman" w:hAnsi="Times New Roman" w:eastAsia="宋体" w:cs="Times New Roman"/>
          <w:sz w:val="24"/>
        </w:rPr>
        <w:t>O</w:t>
      </w:r>
      <w:r>
        <w:rPr>
          <w:rFonts w:ascii="Times New Roman" w:hAnsi="Times New Roman" w:eastAsia="ScalaSansLF-Regular" w:cs="Times New Roman"/>
          <w:kern w:val="0"/>
          <w:sz w:val="24"/>
          <w:lang w:bidi="ar"/>
        </w:rPr>
        <w:t xml:space="preserve">), polyvinylpyrrolidone (PVP; K-30), L-ascorbic acid, sodium hydroxide, ethanol, </w:t>
      </w:r>
      <w:r>
        <w:rPr>
          <w:rFonts w:ascii="Times New Roman" w:hAnsi="Times New Roman" w:eastAsia="宋体" w:cs="Times New Roman"/>
          <w:sz w:val="24"/>
          <w:shd w:val="clear" w:color="auto" w:fill="FFFFFF"/>
        </w:rPr>
        <w:t>1,4-benzenedicarboxylic acid (H</w:t>
      </w:r>
      <w:r>
        <w:rPr>
          <w:rFonts w:ascii="Times New Roman" w:hAnsi="Times New Roman" w:eastAsia="宋体" w:cs="Times New Roman"/>
          <w:sz w:val="24"/>
          <w:shd w:val="clear" w:color="auto" w:fill="FFFFFF"/>
          <w:vertAlign w:val="subscript"/>
        </w:rPr>
        <w:t>2</w:t>
      </w:r>
      <w:r>
        <w:rPr>
          <w:rFonts w:ascii="Times New Roman" w:hAnsi="Times New Roman" w:eastAsia="宋体" w:cs="Times New Roman"/>
          <w:sz w:val="24"/>
          <w:shd w:val="clear" w:color="auto" w:fill="FFFFFF"/>
        </w:rPr>
        <w:t>BDC)</w:t>
      </w:r>
      <w:r>
        <w:rPr>
          <w:rFonts w:ascii="Times New Roman" w:hAnsi="Times New Roman" w:eastAsia="ScalaSansLF-Regular" w:cs="Times New Roman"/>
          <w:kern w:val="0"/>
          <w:sz w:val="24"/>
          <w:lang w:bidi="ar"/>
        </w:rPr>
        <w:t xml:space="preserve">, </w:t>
      </w:r>
      <w:r>
        <w:rPr>
          <w:rFonts w:ascii="Times New Roman" w:hAnsi="Times New Roman" w:eastAsia="ScalaSansLF-Italic" w:cs="Times New Roman"/>
          <w:i/>
          <w:kern w:val="0"/>
          <w:sz w:val="24"/>
          <w:lang w:bidi="ar"/>
        </w:rPr>
        <w:t>N</w:t>
      </w:r>
      <w:r>
        <w:rPr>
          <w:rFonts w:ascii="Times New Roman" w:hAnsi="Times New Roman" w:eastAsia="ScalaSansLF-Regular" w:cs="Times New Roman"/>
          <w:kern w:val="0"/>
          <w:sz w:val="24"/>
          <w:lang w:bidi="ar"/>
        </w:rPr>
        <w:t xml:space="preserve">, </w:t>
      </w:r>
      <w:r>
        <w:rPr>
          <w:rFonts w:ascii="Times New Roman" w:hAnsi="Times New Roman" w:eastAsia="ScalaSansLF-Italic" w:cs="Times New Roman"/>
          <w:i/>
          <w:kern w:val="0"/>
          <w:sz w:val="24"/>
          <w:lang w:bidi="ar"/>
        </w:rPr>
        <w:t>N</w:t>
      </w:r>
      <w:r>
        <w:rPr>
          <w:rFonts w:ascii="Times New Roman" w:hAnsi="Times New Roman" w:eastAsia="宋体" w:cs="Times New Roman"/>
          <w:kern w:val="0"/>
          <w:sz w:val="24"/>
          <w:lang w:bidi="ar"/>
        </w:rPr>
        <w:t>′</w:t>
      </w:r>
      <w:r>
        <w:rPr>
          <w:rFonts w:ascii="Times New Roman" w:hAnsi="Times New Roman" w:eastAsia="宋体" w:cs="Times New Roman"/>
          <w:sz w:val="24"/>
        </w:rPr>
        <w:t>-dimethylformamide (DMF)</w:t>
      </w:r>
      <w:r>
        <w:rPr>
          <w:rFonts w:ascii="Times New Roman" w:hAnsi="Times New Roman" w:eastAsia="ScalaSansLF-Regular" w:cs="Times New Roman"/>
          <w:kern w:val="0"/>
          <w:sz w:val="24"/>
          <w:lang w:bidi="ar"/>
        </w:rPr>
        <w:t>, and methanol were obtained from Sigma-Aldrich.</w:t>
      </w:r>
    </w:p>
    <w:p>
      <w:pPr>
        <w:widowControl/>
        <w:spacing w:line="480" w:lineRule="auto"/>
        <w:rPr>
          <w:rFonts w:ascii="Times New Roman" w:hAnsi="Times New Roman" w:eastAsia="宋体" w:cs="Times New Roman"/>
          <w:sz w:val="24"/>
        </w:rPr>
      </w:pPr>
    </w:p>
    <w:p>
      <w:pPr>
        <w:widowControl/>
        <w:spacing w:before="156" w:beforeLines="50" w:line="480" w:lineRule="auto"/>
        <w:rPr>
          <w:rFonts w:ascii="Times New Roman" w:hAnsi="Times New Roman" w:eastAsia="ScalaLF-Regular" w:cs="Times New Roman"/>
          <w:color w:val="231F20"/>
          <w:kern w:val="0"/>
          <w:sz w:val="24"/>
          <w:lang w:bidi="ar"/>
        </w:rPr>
      </w:pPr>
      <w:r>
        <w:rPr>
          <w:rFonts w:ascii="Times New Roman" w:hAnsi="Times New Roman" w:eastAsia="AdvOTce3d9a73" w:cs="Times New Roman"/>
          <w:b/>
          <w:bCs/>
          <w:color w:val="000000"/>
          <w:kern w:val="0"/>
          <w:sz w:val="24"/>
          <w:lang w:bidi="ar"/>
        </w:rPr>
        <w:t>Characterization</w:t>
      </w:r>
      <w:r>
        <w:rPr>
          <w:rFonts w:ascii="Times New Roman" w:hAnsi="Times New Roman" w:eastAsia="ScalaLF-Regular" w:cs="Times New Roman"/>
          <w:color w:val="231F20"/>
          <w:kern w:val="0"/>
          <w:sz w:val="24"/>
          <w:lang w:bidi="ar"/>
        </w:rPr>
        <w:t xml:space="preserve"> </w:t>
      </w:r>
    </w:p>
    <w:p>
      <w:pPr>
        <w:widowControl/>
        <w:spacing w:before="156" w:beforeLines="50" w:line="480" w:lineRule="auto"/>
        <w:rPr>
          <w:rFonts w:ascii="Times New Roman" w:hAnsi="Times New Roman" w:eastAsia="AdvOTce3d9a73" w:cs="Times New Roman"/>
          <w:color w:val="000000"/>
          <w:kern w:val="0"/>
          <w:sz w:val="24"/>
          <w:lang w:bidi="ar"/>
        </w:rPr>
      </w:pPr>
      <w:r>
        <w:rPr>
          <w:rFonts w:ascii="Times New Roman" w:hAnsi="Times New Roman" w:eastAsia="ScalaLF-Regular" w:cs="Times New Roman"/>
          <w:color w:val="231F20"/>
          <w:kern w:val="0"/>
          <w:sz w:val="24"/>
          <w:lang w:bidi="ar"/>
        </w:rPr>
        <w:t xml:space="preserve">Transmission electron microscopy (TEM) images were acquired on a JEM-2100F electron microscope at an acceleration voltage of 200 kV. </w:t>
      </w:r>
      <w:r>
        <w:rPr>
          <w:rFonts w:ascii="Times New Roman" w:hAnsi="Times New Roman" w:eastAsia="AdvOTce3d9a73" w:cs="Times New Roman"/>
          <w:color w:val="000000"/>
          <w:kern w:val="0"/>
          <w:sz w:val="24"/>
          <w:lang w:bidi="ar"/>
        </w:rPr>
        <w:t>UV-vis-NIR absorption spectra were conducted on a UV-3101PC Shimadzu spectrometer. X-ray diffraction (XRD) patterns were obtained on a Rigaku D/MAX-2200 PX XRD system. The speciﬁc surface area and pore size of nanocomposites were determined by a nitrogen adsorption technique at 77 K on a Micrometitics Tristar 3000 system. X-ray photoelectron spectroscopy (XPS) was conducted on an ESCAlab250 instrument from Thermal Scientiﬁc. Thermogravimetric analysis (TGA, Q50, TA Instruments) was conducted at an elevation rate of 10 °C min</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 Fourier transformed infrared (FTIR) spectra were recorded with a Shimadzu IR Prestige-21 FTIR spectrometer. The Confocal laser scanning microscopy (CLSM) images were acquired on an FV1000 (Olympus Company, Japan). Flow cytometry analysis were conducted by BD LSRFortessa. The quantitative analysis was performed by inductively coupled plasma optical emission spectrometer (ICP-OES) (Agilent Technologies, US). All other reagents used were of analytical grade without further purification. Deionized water was obtained from a Millipore water purification system. All the experiments and procedures were performed under guidelines approved by the Institutional Animal Care and Use Committee at Fudan University.</w:t>
      </w:r>
    </w:p>
    <w:p>
      <w:pPr>
        <w:widowControl/>
        <w:spacing w:before="156" w:beforeLines="50" w:line="480" w:lineRule="auto"/>
        <w:rPr>
          <w:rFonts w:ascii="Times New Roman" w:hAnsi="Times New Roman" w:eastAsia="AdvOTce3d9a73" w:cs="Times New Roman"/>
          <w:b/>
          <w:bCs/>
          <w:color w:val="000000"/>
          <w:kern w:val="0"/>
          <w:sz w:val="24"/>
          <w:lang w:bidi="ar"/>
        </w:rPr>
      </w:pPr>
    </w:p>
    <w:p>
      <w:pPr>
        <w:widowControl/>
        <w:spacing w:before="156" w:beforeLines="50" w:line="480" w:lineRule="auto"/>
        <w:rPr>
          <w:rFonts w:ascii="Times New Roman" w:hAnsi="Times New Roman" w:eastAsia="ScalaSansLF-Italic" w:cs="Times New Roman"/>
          <w:b/>
          <w:bCs/>
          <w:iCs/>
          <w:color w:val="231F20"/>
          <w:kern w:val="0"/>
          <w:sz w:val="24"/>
          <w:lang w:bidi="ar"/>
        </w:rPr>
      </w:pPr>
      <w:r>
        <w:rPr>
          <w:rFonts w:ascii="Times New Roman" w:hAnsi="Times New Roman" w:eastAsia="ScalaSansLF-Italic" w:cs="Times New Roman"/>
          <w:b/>
          <w:bCs/>
          <w:iCs/>
          <w:color w:val="231F20"/>
          <w:kern w:val="0"/>
          <w:sz w:val="24"/>
          <w:lang w:bidi="ar"/>
        </w:rPr>
        <w:t>Synthesis of Cu</w:t>
      </w:r>
      <w:r>
        <w:rPr>
          <w:rFonts w:ascii="Times New Roman" w:hAnsi="Times New Roman" w:eastAsia="ScalaSansLF-Italic" w:cs="Times New Roman"/>
          <w:b/>
          <w:bCs/>
          <w:iCs/>
          <w:color w:val="231F20"/>
          <w:kern w:val="0"/>
          <w:sz w:val="24"/>
          <w:vertAlign w:val="subscript"/>
          <w:lang w:bidi="ar"/>
        </w:rPr>
        <w:t>2</w:t>
      </w:r>
      <w:r>
        <w:rPr>
          <w:rFonts w:ascii="Times New Roman" w:hAnsi="Times New Roman" w:eastAsia="ScalaSansLF-Italic" w:cs="Times New Roman"/>
          <w:b/>
          <w:bCs/>
          <w:iCs/>
          <w:color w:val="231F20"/>
          <w:kern w:val="0"/>
          <w:sz w:val="24"/>
          <w:lang w:bidi="ar"/>
        </w:rPr>
        <w:t xml:space="preserve">O Nanocubes </w:t>
      </w:r>
    </w:p>
    <w:p>
      <w:pPr>
        <w:widowControl/>
        <w:spacing w:before="156" w:beforeLines="50" w:line="480" w:lineRule="auto"/>
        <w:rPr>
          <w:rFonts w:ascii="Times New Roman" w:hAnsi="Times New Roman" w:eastAsia="ScalaSansLF-Regular" w:cs="Times New Roman"/>
          <w:color w:val="231F20"/>
          <w:kern w:val="0"/>
          <w:sz w:val="24"/>
          <w:lang w:bidi="ar"/>
        </w:rPr>
      </w:pPr>
      <w:r>
        <w:rPr>
          <w:rFonts w:ascii="Times New Roman" w:hAnsi="Times New Roman" w:eastAsia="ScalaSansLF-Italic" w:cs="Times New Roman"/>
          <w:iCs/>
          <w:color w:val="231F20"/>
          <w:kern w:val="0"/>
          <w:sz w:val="24"/>
          <w:lang w:bidi="ar"/>
        </w:rPr>
        <w:t>First, the preparation for 0.2 M NaOH solution and 0.1 M ascorbic acid solution needed to be conducted before the synthesis. After the preparation, 17.1 mg</w:t>
      </w:r>
      <w:r>
        <w:rPr>
          <w:rFonts w:ascii="Times New Roman" w:hAnsi="Times New Roman" w:eastAsia="ScalaSansLF-Regular" w:cs="Times New Roman"/>
          <w:color w:val="231F20"/>
          <w:kern w:val="0"/>
          <w:sz w:val="24"/>
          <w:lang w:bidi="ar"/>
        </w:rPr>
        <w:t xml:space="preserve"> of CuCl</w:t>
      </w:r>
      <w:r>
        <w:rPr>
          <w:rFonts w:ascii="Times New Roman" w:hAnsi="Times New Roman" w:eastAsia="ScalaSansLF-Regular" w:cs="Times New Roman"/>
          <w:color w:val="231F20"/>
          <w:kern w:val="0"/>
          <w:sz w:val="24"/>
          <w:vertAlign w:val="subscript"/>
          <w:lang w:bidi="ar"/>
        </w:rPr>
        <w:t>2</w:t>
      </w:r>
      <w:r>
        <w:rPr>
          <w:rFonts w:ascii="Times New Roman" w:hAnsi="Times New Roman" w:eastAsia="ScalaSansLF-Regular" w:cs="Times New Roman"/>
          <w:color w:val="231F20"/>
          <w:kern w:val="0"/>
          <w:sz w:val="24"/>
          <w:lang w:bidi="ar"/>
        </w:rPr>
        <w:t xml:space="preserve"> and 0.1 g of PVP were dissolved in 40 mL of water. 2.5 mL of NaOH solution (0.2 M) was dropwise added into the above solution with each drop nearly 30 μL s</w:t>
      </w:r>
      <w:r>
        <w:rPr>
          <w:rFonts w:ascii="Times New Roman" w:hAnsi="Times New Roman" w:eastAsia="ScalaSansLF-Regular" w:cs="Times New Roman"/>
          <w:color w:val="231F20"/>
          <w:kern w:val="0"/>
          <w:sz w:val="24"/>
          <w:vertAlign w:val="superscript"/>
          <w:lang w:bidi="ar"/>
        </w:rPr>
        <w:t>-1</w:t>
      </w:r>
      <w:r>
        <w:rPr>
          <w:rFonts w:ascii="Times New Roman" w:hAnsi="Times New Roman" w:eastAsia="ScalaSansLF-Regular" w:cs="Times New Roman"/>
          <w:color w:val="231F20"/>
          <w:kern w:val="0"/>
          <w:sz w:val="24"/>
          <w:lang w:bidi="ar"/>
        </w:rPr>
        <w:t xml:space="preserve">. Then, the mixture was magnetically stirred for 5 min, followed by the addition of ascorbic acid solution (2.5 mL, 0.1 M) with a speed of 10 </w:t>
      </w:r>
      <w:r>
        <w:rPr>
          <w:rFonts w:ascii="Times New Roman" w:hAnsi="Times New Roman" w:eastAsia="宋体" w:cs="Times New Roman"/>
          <w:color w:val="231F20"/>
          <w:kern w:val="0"/>
          <w:sz w:val="24"/>
          <w:lang w:bidi="ar"/>
        </w:rPr>
        <w:t>µ</w:t>
      </w:r>
      <w:r>
        <w:rPr>
          <w:rFonts w:ascii="Times New Roman" w:hAnsi="Times New Roman" w:eastAsia="ScalaSansLF-Regular" w:cs="Times New Roman"/>
          <w:color w:val="231F20"/>
          <w:kern w:val="0"/>
          <w:sz w:val="24"/>
          <w:lang w:bidi="ar"/>
        </w:rPr>
        <w:t>L s</w:t>
      </w:r>
      <w:r>
        <w:rPr>
          <w:rFonts w:ascii="Times New Roman" w:hAnsi="Times New Roman" w:eastAsia="宋体" w:cs="Times New Roman"/>
          <w:color w:val="231F20"/>
          <w:kern w:val="0"/>
          <w:sz w:val="24"/>
          <w:vertAlign w:val="superscript"/>
          <w:lang w:bidi="ar"/>
        </w:rPr>
        <w:t>−1</w:t>
      </w:r>
      <w:r>
        <w:rPr>
          <w:rFonts w:ascii="Times New Roman" w:hAnsi="Times New Roman" w:eastAsia="宋体" w:cs="Times New Roman"/>
          <w:color w:val="231F20"/>
          <w:kern w:val="0"/>
          <w:sz w:val="24"/>
          <w:lang w:bidi="ar"/>
        </w:rPr>
        <w:t>. T</w:t>
      </w:r>
      <w:r>
        <w:rPr>
          <w:rFonts w:ascii="Times New Roman" w:hAnsi="Times New Roman" w:eastAsia="ScalaSansLF-Regular" w:cs="Times New Roman"/>
          <w:color w:val="231F20"/>
          <w:kern w:val="0"/>
          <w:sz w:val="24"/>
          <w:lang w:bidi="ar"/>
        </w:rPr>
        <w:t>he mixed solution was stirred for another 5 min. The product was then washed with ethanol twice and acquired through centrifugation. Finally, the yellow Cu</w:t>
      </w:r>
      <w:r>
        <w:rPr>
          <w:rFonts w:ascii="Times New Roman" w:hAnsi="Times New Roman" w:eastAsia="ScalaSansLF-Regular" w:cs="Times New Roman"/>
          <w:color w:val="231F20"/>
          <w:kern w:val="0"/>
          <w:sz w:val="24"/>
          <w:vertAlign w:val="subscript"/>
          <w:lang w:bidi="ar"/>
        </w:rPr>
        <w:t>2</w:t>
      </w:r>
      <w:r>
        <w:rPr>
          <w:rFonts w:ascii="Times New Roman" w:hAnsi="Times New Roman" w:eastAsia="ScalaSansLF-Regular" w:cs="Times New Roman"/>
          <w:color w:val="231F20"/>
          <w:kern w:val="0"/>
          <w:sz w:val="24"/>
          <w:lang w:bidi="ar"/>
        </w:rPr>
        <w:t>O product were uniformly dispersed into 10 mL of ethanol for further use.</w:t>
      </w:r>
    </w:p>
    <w:p>
      <w:pPr>
        <w:widowControl/>
        <w:spacing w:before="156" w:beforeLines="50" w:line="480" w:lineRule="auto"/>
        <w:rPr>
          <w:rFonts w:ascii="Times New Roman" w:hAnsi="Times New Roman" w:eastAsia="AdvOTce3d9a73" w:cs="Times New Roman"/>
          <w:b/>
          <w:bCs/>
          <w:color w:val="000000"/>
          <w:kern w:val="0"/>
          <w:sz w:val="24"/>
          <w:lang w:bidi="ar"/>
        </w:rPr>
      </w:pPr>
    </w:p>
    <w:p>
      <w:pPr>
        <w:widowControl/>
        <w:spacing w:before="156" w:beforeLines="50" w:line="480" w:lineRule="auto"/>
        <w:rPr>
          <w:rFonts w:ascii="Times New Roman" w:hAnsi="Times New Roman" w:eastAsia="ScalaSansLF-Italic" w:cs="Times New Roman"/>
          <w:b/>
          <w:bCs/>
          <w:iCs/>
          <w:color w:val="231F20"/>
          <w:kern w:val="0"/>
          <w:sz w:val="24"/>
          <w:lang w:bidi="ar"/>
        </w:rPr>
      </w:pPr>
      <w:r>
        <w:rPr>
          <w:rFonts w:ascii="Times New Roman" w:hAnsi="Times New Roman" w:eastAsia="AdvOTce3d9a73" w:cs="Times New Roman"/>
          <w:b/>
          <w:bCs/>
          <w:color w:val="000000"/>
          <w:kern w:val="0"/>
          <w:sz w:val="24"/>
          <w:lang w:bidi="ar"/>
        </w:rPr>
        <w:t>Synthesis of PEG/</w:t>
      </w:r>
      <w:r>
        <w:rPr>
          <w:rFonts w:ascii="Times New Roman" w:hAnsi="Times New Roman" w:eastAsia="ScalaSansLF-Italic" w:cs="Times New Roman"/>
          <w:b/>
          <w:bCs/>
          <w:iCs/>
          <w:color w:val="231F20"/>
          <w:kern w:val="0"/>
          <w:sz w:val="24"/>
          <w:lang w:bidi="ar"/>
        </w:rPr>
        <w:t>Cu-BDC</w:t>
      </w:r>
    </w:p>
    <w:p>
      <w:pPr>
        <w:spacing w:before="156" w:beforeLines="50" w:line="480" w:lineRule="auto"/>
        <w:rPr>
          <w:rFonts w:ascii="Times New Roman" w:hAnsi="Times New Roman" w:cs="Times New Roman"/>
        </w:rPr>
      </w:pPr>
      <w:r>
        <w:rPr>
          <w:rFonts w:ascii="Times New Roman" w:hAnsi="Times New Roman" w:eastAsia="ScalaSansLF-Regular" w:cs="Times New Roman"/>
          <w:color w:val="231F20"/>
          <w:kern w:val="0"/>
          <w:sz w:val="24"/>
          <w:lang w:bidi="ar"/>
        </w:rPr>
        <w:t>0.5 mmol H</w:t>
      </w:r>
      <w:r>
        <w:rPr>
          <w:rFonts w:ascii="Times New Roman" w:hAnsi="Times New Roman" w:eastAsia="ScalaSansLF-Regular" w:cs="Times New Roman"/>
          <w:color w:val="231F20"/>
          <w:kern w:val="0"/>
          <w:sz w:val="24"/>
          <w:vertAlign w:val="subscript"/>
          <w:lang w:bidi="ar"/>
        </w:rPr>
        <w:t>2</w:t>
      </w:r>
      <w:r>
        <w:rPr>
          <w:rFonts w:ascii="Times New Roman" w:hAnsi="Times New Roman" w:eastAsia="ScalaSansLF-Regular" w:cs="Times New Roman"/>
          <w:color w:val="231F20"/>
          <w:kern w:val="0"/>
          <w:sz w:val="24"/>
          <w:lang w:bidi="ar"/>
        </w:rPr>
        <w:t>BDC, 5 mL of ethanol and 5 mL of DMF were magnetically stirred till the mixture was fully dissolved. Then, the already prepared Cu</w:t>
      </w:r>
      <w:r>
        <w:rPr>
          <w:rFonts w:ascii="Times New Roman" w:hAnsi="Times New Roman" w:eastAsia="ScalaSansLF-Regular" w:cs="Times New Roman"/>
          <w:color w:val="231F20"/>
          <w:kern w:val="0"/>
          <w:sz w:val="24"/>
          <w:vertAlign w:val="subscript"/>
          <w:lang w:bidi="ar"/>
        </w:rPr>
        <w:t>2</w:t>
      </w:r>
      <w:r>
        <w:rPr>
          <w:rFonts w:ascii="Times New Roman" w:hAnsi="Times New Roman" w:eastAsia="ScalaSansLF-Regular" w:cs="Times New Roman"/>
          <w:color w:val="231F20"/>
          <w:kern w:val="0"/>
          <w:sz w:val="24"/>
          <w:lang w:bidi="ar"/>
        </w:rPr>
        <w:t>O solution in ethanol was poured into the mixture. The formation of Cu-BDC was allowed at a normal ambient temperature for 4 h in the rich oxygen environment, where the oxygen is sufficient enough to oxidize the released Cu</w:t>
      </w:r>
      <w:r>
        <w:rPr>
          <w:rFonts w:ascii="Times New Roman" w:hAnsi="Times New Roman" w:eastAsia="ScalaSansLF-Regular" w:cs="Times New Roman"/>
          <w:color w:val="231F20"/>
          <w:kern w:val="0"/>
          <w:sz w:val="24"/>
          <w:vertAlign w:val="superscript"/>
          <w:lang w:bidi="ar"/>
        </w:rPr>
        <w:t xml:space="preserve">+ </w:t>
      </w:r>
      <w:r>
        <w:rPr>
          <w:rFonts w:ascii="Times New Roman" w:hAnsi="Times New Roman" w:eastAsia="ScalaSansLF-Regular" w:cs="Times New Roman"/>
          <w:color w:val="231F20"/>
          <w:kern w:val="0"/>
          <w:sz w:val="24"/>
          <w:lang w:bidi="ar"/>
        </w:rPr>
        <w:t>ions from the Cu</w:t>
      </w:r>
      <w:r>
        <w:rPr>
          <w:rFonts w:ascii="Times New Roman" w:hAnsi="Times New Roman" w:eastAsia="ScalaSansLF-Regular" w:cs="Times New Roman"/>
          <w:color w:val="231F20"/>
          <w:kern w:val="0"/>
          <w:sz w:val="24"/>
          <w:vertAlign w:val="subscript"/>
          <w:lang w:bidi="ar"/>
        </w:rPr>
        <w:t>2</w:t>
      </w:r>
      <w:r>
        <w:rPr>
          <w:rFonts w:ascii="Times New Roman" w:hAnsi="Times New Roman" w:eastAsia="ScalaSansLF-Regular" w:cs="Times New Roman"/>
          <w:color w:val="231F20"/>
          <w:kern w:val="0"/>
          <w:sz w:val="24"/>
          <w:lang w:bidi="ar"/>
        </w:rPr>
        <w:t xml:space="preserve">O to form the blue product. The Cu-BDC nanosheets were acquired through centrifugation at 11000 rpm for 10 min before washing by methanol. Then, the Cu-BDC nanosheets were sonicated and the resultant dispersion was centrifuged for 5 min at 2000 rpm to remove sediment. The resultant dispersion of Cu-BDC nanosheets was obtained for further use. Finally, the final product was dispersed in 10 mL of methanol containing PEG under magnetic stirring for 8 h for further use. </w:t>
      </w:r>
    </w:p>
    <w:p>
      <w:pPr>
        <w:widowControl/>
        <w:spacing w:before="156" w:beforeLines="50" w:line="480" w:lineRule="auto"/>
        <w:rPr>
          <w:rFonts w:ascii="Times New Roman" w:hAnsi="Times New Roman" w:eastAsia="AdvOTce3d9a73" w:cs="Times New Roman"/>
          <w:b/>
          <w:bCs/>
          <w:color w:val="000000"/>
          <w:kern w:val="0"/>
          <w:sz w:val="24"/>
          <w:lang w:bidi="ar"/>
        </w:rPr>
      </w:pPr>
    </w:p>
    <w:p>
      <w:pPr>
        <w:widowControl/>
        <w:spacing w:before="156" w:beforeLines="50" w:line="480" w:lineRule="auto"/>
        <w:rPr>
          <w:rFonts w:ascii="Times New Roman" w:hAnsi="Times New Roman" w:eastAsia="AdvOTce3d9a73" w:cs="Times New Roman"/>
          <w:b/>
          <w:bCs/>
          <w:color w:val="000000"/>
          <w:kern w:val="0"/>
          <w:sz w:val="24"/>
          <w:lang w:bidi="ar"/>
        </w:rPr>
      </w:pPr>
      <w:r>
        <w:rPr>
          <w:rFonts w:ascii="Times New Roman" w:hAnsi="Times New Roman" w:eastAsia="AdvOTce3d9a73" w:cs="Times New Roman"/>
          <w:b/>
          <w:bCs/>
          <w:color w:val="000000"/>
          <w:kern w:val="0"/>
          <w:sz w:val="24"/>
          <w:lang w:bidi="ar"/>
        </w:rPr>
        <w:t xml:space="preserve">Detection of GSH Depletion and </w:t>
      </w:r>
      <w:r>
        <w:rPr>
          <w:rFonts w:ascii="Times New Roman" w:hAnsi="Times New Roman" w:eastAsia="宋体" w:cs="Times New Roman"/>
          <w:b/>
          <w:bCs/>
          <w:sz w:val="24"/>
        </w:rPr>
        <w:t>•OH</w:t>
      </w:r>
      <w:r>
        <w:rPr>
          <w:rFonts w:ascii="Times New Roman" w:hAnsi="Times New Roman" w:eastAsia="宋体" w:cs="Times New Roman"/>
          <w:sz w:val="24"/>
        </w:rPr>
        <w:t xml:space="preserve"> </w:t>
      </w:r>
      <w:r>
        <w:rPr>
          <w:rFonts w:ascii="Times New Roman" w:hAnsi="Times New Roman" w:eastAsia="AdvOTce3d9a73" w:cs="Times New Roman"/>
          <w:b/>
          <w:bCs/>
          <w:color w:val="000000"/>
          <w:kern w:val="0"/>
          <w:sz w:val="24"/>
          <w:lang w:bidi="ar"/>
        </w:rPr>
        <w:t>Generation</w:t>
      </w:r>
    </w:p>
    <w:p>
      <w:pPr>
        <w:widowControl/>
        <w:spacing w:before="156" w:beforeLines="50" w:line="480" w:lineRule="auto"/>
        <w:rPr>
          <w:rFonts w:ascii="Times New Roman" w:hAnsi="Times New Roman" w:eastAsia="宋体" w:cs="Times New Roman"/>
          <w:sz w:val="24"/>
        </w:rPr>
      </w:pPr>
      <w:r>
        <w:rPr>
          <w:rFonts w:ascii="Times New Roman" w:hAnsi="Times New Roman" w:eastAsia="AdvOTce3d9a73" w:cs="Times New Roman"/>
          <w:color w:val="000000"/>
          <w:kern w:val="0"/>
          <w:sz w:val="24"/>
          <w:lang w:bidi="ar"/>
        </w:rPr>
        <w:t>The same concentration of</w:t>
      </w:r>
      <w:r>
        <w:rPr>
          <w:rFonts w:ascii="Times New Roman" w:hAnsi="Times New Roman" w:eastAsia="AdvOTce3d9a73" w:cs="Times New Roman"/>
          <w:b/>
          <w:bCs/>
          <w:color w:val="000000"/>
          <w:kern w:val="0"/>
          <w:sz w:val="24"/>
          <w:lang w:bidi="ar"/>
        </w:rPr>
        <w:t xml:space="preserve"> </w:t>
      </w:r>
      <w:r>
        <w:rPr>
          <w:rFonts w:ascii="Times New Roman" w:hAnsi="Times New Roman" w:eastAsia="AdvOTce3d9a73" w:cs="Times New Roman"/>
          <w:color w:val="000000"/>
          <w:kern w:val="0"/>
          <w:sz w:val="24"/>
          <w:lang w:bidi="ar"/>
        </w:rPr>
        <w:t xml:space="preserve">reduced glutathione (GSH) and PEG/Cu-BDC in different ratios (GSH : PEG/Cu-BDC = 4 : 0, 4 : 1, 4 : 2, 4 : 3, 4 : 4) was added into a transparent QS-grade quartz cuvette at room temperature for 10 min. Then, </w:t>
      </w:r>
      <w:r>
        <w:rPr>
          <w:rFonts w:ascii="Times New Roman" w:hAnsi="Times New Roman" w:eastAsia="宋体" w:cs="Times New Roman"/>
          <w:sz w:val="24"/>
        </w:rPr>
        <w:t>5, 5’-dithiobis-(2-nitrobenzoic acid) (DTNB, 10 µL, 10 mg</w:t>
      </w:r>
      <w:r>
        <w:rPr>
          <w:rFonts w:ascii="Times New Roman" w:hAnsi="Times New Roman" w:eastAsia="宋体" w:cs="Times New Roman"/>
          <w:kern w:val="0"/>
          <w:sz w:val="24"/>
        </w:rPr>
        <w:t xml:space="preserve"> mL</w:t>
      </w:r>
      <w:r>
        <w:rPr>
          <w:rFonts w:ascii="Times New Roman" w:hAnsi="Times New Roman" w:eastAsia="宋体" w:cs="Times New Roman"/>
          <w:kern w:val="0"/>
          <w:sz w:val="24"/>
          <w:vertAlign w:val="superscript"/>
        </w:rPr>
        <w:t>-1</w:t>
      </w:r>
      <w:r>
        <w:rPr>
          <w:rFonts w:ascii="Times New Roman" w:hAnsi="Times New Roman" w:eastAsia="宋体" w:cs="Times New Roman"/>
          <w:sz w:val="24"/>
        </w:rPr>
        <w:t>) was added into the above solution, and the GSH depletion was detected by UV-vis spectroscopy. In addition, the measurement procedure of hydroxyl radical (•OH) was almost the same as that of GSH except for the addition of 3, 3’, 5, 5’-tetramethylbenzidine dihydrochloride (</w:t>
      </w:r>
      <w:r>
        <w:rPr>
          <w:rFonts w:ascii="Times New Roman" w:hAnsi="Times New Roman" w:cs="Times New Roman"/>
        </w:rPr>
        <w:fldChar w:fldCharType="begin"/>
      </w:r>
      <w:r>
        <w:rPr>
          <w:rFonts w:ascii="Times New Roman" w:hAnsi="Times New Roman" w:cs="Times New Roman"/>
        </w:rPr>
        <w:instrText xml:space="preserve"> HYPERLINK "https://www.chembk.com/en/chem/TMB·2HCl" </w:instrText>
      </w:r>
      <w:r>
        <w:rPr>
          <w:rFonts w:ascii="Times New Roman" w:hAnsi="Times New Roman" w:cs="Times New Roman"/>
        </w:rPr>
        <w:fldChar w:fldCharType="separate"/>
      </w:r>
      <w:r>
        <w:rPr>
          <w:rFonts w:ascii="Times New Roman" w:hAnsi="Times New Roman" w:eastAsia="&amp;quot" w:cs="Times New Roman"/>
          <w:sz w:val="24"/>
        </w:rPr>
        <w:t>TMB</w:t>
      </w:r>
      <w:r>
        <w:rPr>
          <w:rFonts w:ascii="Times New Roman" w:hAnsi="Times New Roman" w:eastAsia="宋体" w:cs="Times New Roman"/>
          <w:sz w:val="24"/>
        </w:rPr>
        <w:t>•</w:t>
      </w:r>
      <w:r>
        <w:rPr>
          <w:rFonts w:ascii="Times New Roman" w:hAnsi="Times New Roman" w:eastAsia="&amp;quot" w:cs="Times New Roman"/>
          <w:sz w:val="24"/>
        </w:rPr>
        <w:t>2HCl</w:t>
      </w:r>
      <w:r>
        <w:rPr>
          <w:rFonts w:ascii="Times New Roman" w:hAnsi="Times New Roman" w:eastAsia="&amp;quot" w:cs="Times New Roman"/>
          <w:sz w:val="24"/>
        </w:rPr>
        <w:fldChar w:fldCharType="end"/>
      </w:r>
      <w:r>
        <w:rPr>
          <w:rFonts w:ascii="Times New Roman" w:hAnsi="Times New Roman" w:eastAsia="宋体" w:cs="Times New Roman"/>
          <w:sz w:val="24"/>
        </w:rPr>
        <w:t>) solution and hydrogen peroxide (H</w:t>
      </w:r>
      <w:r>
        <w:rPr>
          <w:rFonts w:ascii="Times New Roman" w:hAnsi="Times New Roman" w:eastAsia="宋体" w:cs="Times New Roman"/>
          <w:sz w:val="24"/>
          <w:vertAlign w:val="subscript"/>
        </w:rPr>
        <w:t>2</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w:t>
      </w:r>
    </w:p>
    <w:p>
      <w:pPr>
        <w:widowControl/>
        <w:spacing w:before="156" w:beforeLines="50" w:line="480" w:lineRule="auto"/>
        <w:rPr>
          <w:rFonts w:ascii="Times New Roman" w:hAnsi="Times New Roman" w:eastAsia="宋体" w:cs="Times New Roman"/>
          <w:sz w:val="24"/>
        </w:rPr>
      </w:pPr>
    </w:p>
    <w:p>
      <w:pPr>
        <w:widowControl/>
        <w:spacing w:before="156" w:beforeLines="50" w:line="480" w:lineRule="auto"/>
        <w:rPr>
          <w:rFonts w:ascii="Times New Roman" w:hAnsi="Times New Roman" w:eastAsia="宋体" w:cs="Times New Roman"/>
          <w:b/>
          <w:bCs/>
          <w:sz w:val="24"/>
        </w:rPr>
      </w:pPr>
      <w:r>
        <w:rPr>
          <w:rFonts w:ascii="Times New Roman" w:hAnsi="Times New Roman" w:eastAsia="宋体" w:cs="Times New Roman"/>
          <w:b/>
          <w:bCs/>
          <w:sz w:val="24"/>
        </w:rPr>
        <w:t xml:space="preserve">Cell Culture. </w:t>
      </w:r>
    </w:p>
    <w:p>
      <w:pPr>
        <w:widowControl/>
        <w:spacing w:before="156" w:beforeLines="50" w:line="480" w:lineRule="auto"/>
        <w:rPr>
          <w:rFonts w:ascii="Times New Roman" w:hAnsi="Times New Roman" w:eastAsia="宋体" w:cs="Times New Roman"/>
          <w:sz w:val="24"/>
        </w:rPr>
      </w:pPr>
      <w:r>
        <w:rPr>
          <w:rFonts w:ascii="Times New Roman" w:hAnsi="Times New Roman" w:eastAsia="宋体" w:cs="Times New Roman"/>
          <w:sz w:val="24"/>
        </w:rPr>
        <w:t>4T1 and MDA-MB-231 breast tumor cells were cultivated in Dulbecco’s Modified Eagle’s Medium (DMEM) mixed with 10% fetal bovine serum (FBS) and 1% streptomycin/penicillin in an atmosphere of 5% carbon dioxide (CO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at 37 </w:t>
      </w:r>
      <w:r>
        <w:rPr>
          <w:rFonts w:ascii="Times New Roman" w:hAnsi="Times New Roman" w:eastAsia="AdvOTce3d9a73" w:cs="Times New Roman"/>
          <w:color w:val="000000"/>
          <w:kern w:val="0"/>
          <w:sz w:val="24"/>
          <w:lang w:bidi="ar"/>
        </w:rPr>
        <w:t>°C</w:t>
      </w:r>
      <w:r>
        <w:rPr>
          <w:rFonts w:ascii="Times New Roman" w:hAnsi="Times New Roman" w:eastAsia="宋体" w:cs="Times New Roman"/>
          <w:sz w:val="24"/>
        </w:rPr>
        <w:t>.</w:t>
      </w:r>
    </w:p>
    <w:p>
      <w:pPr>
        <w:widowControl/>
        <w:spacing w:before="156" w:beforeLines="50" w:line="480" w:lineRule="auto"/>
        <w:rPr>
          <w:rFonts w:ascii="Times New Roman" w:hAnsi="Times New Roman" w:eastAsia="宋体" w:cs="Times New Roman"/>
          <w:sz w:val="24"/>
        </w:rPr>
      </w:pPr>
    </w:p>
    <w:p>
      <w:pPr>
        <w:spacing w:before="156" w:beforeLines="50" w:line="480" w:lineRule="auto"/>
        <w:rPr>
          <w:rFonts w:ascii="Times New Roman" w:hAnsi="Times New Roman" w:eastAsia="AdvOTce3d9a73" w:cs="Times New Roman"/>
          <w:kern w:val="0"/>
          <w:sz w:val="24"/>
          <w:lang w:bidi="ar"/>
        </w:rPr>
      </w:pPr>
      <w:r>
        <w:rPr>
          <w:rFonts w:ascii="Times New Roman" w:hAnsi="Times New Roman" w:eastAsia="AdvOTce3d9a73" w:cs="Times New Roman"/>
          <w:b/>
          <w:bCs/>
          <w:kern w:val="0"/>
          <w:sz w:val="24"/>
          <w:lang w:bidi="ar"/>
        </w:rPr>
        <w:t xml:space="preserve">Cell Uptake of PEG/Cu-BDC </w:t>
      </w:r>
      <w:r>
        <w:rPr>
          <w:rFonts w:ascii="Times New Roman" w:hAnsi="Times New Roman" w:eastAsia="AdvOTce3d9a73" w:cs="Times New Roman"/>
          <w:b/>
          <w:bCs/>
          <w:i/>
          <w:iCs/>
          <w:kern w:val="0"/>
          <w:sz w:val="24"/>
          <w:lang w:bidi="ar"/>
        </w:rPr>
        <w:t>In Vitro</w:t>
      </w:r>
      <w:r>
        <w:rPr>
          <w:rFonts w:ascii="Times New Roman" w:hAnsi="Times New Roman" w:eastAsia="AdvOTce3d9a73" w:cs="Times New Roman"/>
          <w:kern w:val="0"/>
          <w:sz w:val="24"/>
          <w:lang w:bidi="ar"/>
        </w:rPr>
        <w:t xml:space="preserve"> </w:t>
      </w:r>
    </w:p>
    <w:p>
      <w:pPr>
        <w:spacing w:before="156" w:beforeLines="50" w:line="480" w:lineRule="auto"/>
        <w:rPr>
          <w:rFonts w:ascii="Times New Roman" w:hAnsi="Times New Roman" w:eastAsia="宋体" w:cs="Times New Roman"/>
          <w:sz w:val="24"/>
        </w:rPr>
      </w:pPr>
      <w:r>
        <w:rPr>
          <w:rFonts w:ascii="Times New Roman" w:hAnsi="Times New Roman" w:eastAsia="宋体" w:cs="Times New Roman"/>
          <w:sz w:val="24"/>
        </w:rPr>
        <w:t>1 mg of fluorescein isothiocyanate (FITC) in 4 mL of ethanol was added into 1 mL of PEG/Cu-BDC solution (1 mg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and magnetically stirred for 12 h in the darkness. The solution was centrifuged at 11000 rpm for 10 min, and then washed with deionized water. The obtained FITC-labeled </w:t>
      </w:r>
      <w:r>
        <w:rPr>
          <w:rFonts w:ascii="Times New Roman" w:hAnsi="Times New Roman" w:eastAsia="AdvOTce3d9a73" w:cs="Times New Roman"/>
          <w:kern w:val="0"/>
          <w:sz w:val="24"/>
          <w:lang w:bidi="ar"/>
        </w:rPr>
        <w:t>PEG/Cu-BDC</w:t>
      </w:r>
      <w:r>
        <w:rPr>
          <w:rFonts w:ascii="Times New Roman" w:hAnsi="Times New Roman" w:eastAsia="宋体" w:cs="Times New Roman"/>
          <w:sz w:val="24"/>
        </w:rPr>
        <w:t xml:space="preserve"> was dispersed into deionized water for further use. </w:t>
      </w:r>
    </w:p>
    <w:p>
      <w:pPr>
        <w:spacing w:before="156" w:beforeLines="50" w:line="480" w:lineRule="auto"/>
        <w:ind w:firstLine="480" w:firstLineChars="200"/>
        <w:rPr>
          <w:rFonts w:ascii="Times New Roman" w:hAnsi="Times New Roman" w:eastAsia="AdvOTce3d9a73" w:cs="Times New Roman"/>
          <w:kern w:val="0"/>
          <w:sz w:val="24"/>
          <w:lang w:bidi="ar"/>
        </w:rPr>
      </w:pPr>
      <w:r>
        <w:rPr>
          <w:rFonts w:ascii="Times New Roman" w:hAnsi="Times New Roman" w:eastAsia="宋体" w:cs="Times New Roman"/>
          <w:sz w:val="24"/>
        </w:rPr>
        <w:t xml:space="preserve">The cellular uptake of </w:t>
      </w:r>
      <w:r>
        <w:rPr>
          <w:rFonts w:ascii="Times New Roman" w:hAnsi="Times New Roman" w:eastAsia="AdvOTce3d9a73" w:cs="Times New Roman"/>
          <w:kern w:val="0"/>
          <w:sz w:val="24"/>
          <w:lang w:bidi="ar"/>
        </w:rPr>
        <w:t xml:space="preserve">PEG/Cu-BDC was evaluated through confocal laser scanning microscopy (CLSM) observation. 4T1 and MDA-MB-231 tumor cells were seeded for 24 h and incubated with </w:t>
      </w:r>
      <w:r>
        <w:rPr>
          <w:rFonts w:ascii="Times New Roman" w:hAnsi="Times New Roman" w:eastAsia="宋体" w:cs="Times New Roman"/>
          <w:sz w:val="24"/>
        </w:rPr>
        <w:t xml:space="preserve">FITC-labeled </w:t>
      </w:r>
      <w:r>
        <w:rPr>
          <w:rFonts w:ascii="Times New Roman" w:hAnsi="Times New Roman" w:eastAsia="AdvOTce3d9a73" w:cs="Times New Roman"/>
          <w:kern w:val="0"/>
          <w:sz w:val="24"/>
          <w:lang w:bidi="ar"/>
        </w:rPr>
        <w:t>PEG/Cu-BDC</w:t>
      </w:r>
      <w:r>
        <w:rPr>
          <w:rFonts w:ascii="Times New Roman" w:hAnsi="Times New Roman" w:eastAsia="宋体" w:cs="Times New Roman"/>
          <w:sz w:val="24"/>
        </w:rPr>
        <w:t xml:space="preserve"> (100 μg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for different durations. Afterwards, 1 mL of 4', 6-diamidino-2-phenylindole (DAPI) was added into the dishes to stain the cell nuclei for 10 min. After washing by PBS for three times, the </w:t>
      </w:r>
      <w:r>
        <w:rPr>
          <w:rFonts w:ascii="Times New Roman" w:hAnsi="Times New Roman" w:eastAsia="AdvOTce3d9a73" w:cs="Times New Roman"/>
          <w:kern w:val="0"/>
          <w:sz w:val="24"/>
          <w:lang w:bidi="ar"/>
        </w:rPr>
        <w:t xml:space="preserve">4T1 and MDA-MB-231 cells were observed by CLSM. </w:t>
      </w:r>
      <w:bookmarkStart w:id="4" w:name="OLE_LINK2"/>
    </w:p>
    <w:p>
      <w:pPr>
        <w:spacing w:before="156" w:beforeLines="50" w:line="480" w:lineRule="auto"/>
        <w:ind w:firstLine="482" w:firstLineChars="200"/>
        <w:rPr>
          <w:rFonts w:ascii="Times New Roman" w:hAnsi="Times New Roman" w:eastAsia="宋体" w:cs="Times New Roman"/>
          <w:b/>
          <w:bCs/>
          <w:sz w:val="24"/>
        </w:rPr>
      </w:pPr>
    </w:p>
    <w:p>
      <w:pPr>
        <w:spacing w:before="156" w:beforeLines="50" w:line="480" w:lineRule="auto"/>
        <w:rPr>
          <w:rFonts w:ascii="Times New Roman" w:hAnsi="Times New Roman" w:eastAsia="宋体" w:cs="Times New Roman"/>
          <w:sz w:val="24"/>
        </w:rPr>
      </w:pPr>
      <w:r>
        <w:rPr>
          <w:rFonts w:ascii="Times New Roman" w:hAnsi="Times New Roman" w:eastAsia="宋体" w:cs="Times New Roman"/>
          <w:b/>
          <w:bCs/>
          <w:sz w:val="24"/>
        </w:rPr>
        <w:t xml:space="preserve">Therapeutic Efficacy of PEG/Cu-BDC </w:t>
      </w:r>
      <w:r>
        <w:rPr>
          <w:rFonts w:ascii="Times New Roman" w:hAnsi="Times New Roman" w:eastAsia="宋体" w:cs="Times New Roman"/>
          <w:b/>
          <w:bCs/>
          <w:i/>
          <w:iCs/>
          <w:sz w:val="24"/>
        </w:rPr>
        <w:t>In Vitro</w:t>
      </w:r>
      <w:bookmarkEnd w:id="4"/>
      <w:r>
        <w:rPr>
          <w:rFonts w:ascii="Times New Roman" w:hAnsi="Times New Roman" w:eastAsia="宋体" w:cs="Times New Roman"/>
          <w:sz w:val="24"/>
        </w:rPr>
        <w:t xml:space="preserve"> </w:t>
      </w:r>
    </w:p>
    <w:p>
      <w:pPr>
        <w:spacing w:before="156" w:beforeLines="50" w:line="480" w:lineRule="auto"/>
        <w:rPr>
          <w:rFonts w:ascii="Times New Roman" w:hAnsi="Times New Roman" w:eastAsia="宋体" w:cs="Times New Roman"/>
          <w:sz w:val="24"/>
        </w:rPr>
      </w:pPr>
      <w:r>
        <w:rPr>
          <w:rFonts w:ascii="Times New Roman" w:hAnsi="Times New Roman" w:eastAsia="宋体" w:cs="Times New Roman"/>
          <w:sz w:val="24"/>
        </w:rPr>
        <w:t xml:space="preserve">The tumoricidal activity of PEG/Cu-BDC against 4T1 and MDA-MB-231 breast tumor cells was assessed by a standard cell counting kit-8 (CCK-8) assay, CLSM observation, and flow cytometry (FCM) analysis. 4T1 and MDA-MB-231 breast tumor cells were seeded in 96-well plates at a density of 1 </w:t>
      </w:r>
      <w:bookmarkStart w:id="5" w:name="OLE_LINK6"/>
      <w:r>
        <w:rPr>
          <w:rFonts w:ascii="Times New Roman" w:hAnsi="Times New Roman" w:eastAsia="宋体" w:cs="Times New Roman"/>
          <w:sz w:val="24"/>
        </w:rPr>
        <w:t>×</w:t>
      </w:r>
      <w:bookmarkEnd w:id="5"/>
      <w:r>
        <w:rPr>
          <w:rFonts w:ascii="Times New Roman" w:hAnsi="Times New Roman" w:eastAsia="宋体" w:cs="Times New Roman"/>
          <w:sz w:val="24"/>
        </w:rPr>
        <w:t xml:space="preserve"> 10</w:t>
      </w:r>
      <w:r>
        <w:rPr>
          <w:rFonts w:ascii="Times New Roman" w:hAnsi="Times New Roman" w:eastAsia="宋体" w:cs="Times New Roman"/>
          <w:sz w:val="24"/>
          <w:vertAlign w:val="superscript"/>
        </w:rPr>
        <w:t>4</w:t>
      </w:r>
      <w:r>
        <w:rPr>
          <w:rFonts w:ascii="Times New Roman" w:hAnsi="Times New Roman" w:eastAsia="宋体" w:cs="Times New Roman"/>
          <w:sz w:val="24"/>
        </w:rPr>
        <w:t xml:space="preserve"> per well overnight and cultured with various concentrations of </w:t>
      </w:r>
      <w:r>
        <w:rPr>
          <w:rFonts w:ascii="Times New Roman" w:hAnsi="Times New Roman" w:eastAsia="AdvOTce3d9a73" w:cs="Times New Roman"/>
          <w:kern w:val="0"/>
          <w:sz w:val="24"/>
          <w:lang w:bidi="ar"/>
        </w:rPr>
        <w:t>PEG/Cu-BDC</w:t>
      </w:r>
      <w:bookmarkStart w:id="6" w:name="OLE_LINK4"/>
      <w:r>
        <w:rPr>
          <w:rFonts w:ascii="Times New Roman" w:hAnsi="Times New Roman" w:eastAsia="宋体" w:cs="Times New Roman"/>
          <w:sz w:val="24"/>
        </w:rPr>
        <w:t xml:space="preserve"> (0, 10, 20, 50 and 100 μg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bookmarkEnd w:id="6"/>
      <w:r>
        <w:rPr>
          <w:rFonts w:ascii="Times New Roman" w:hAnsi="Times New Roman" w:eastAsia="宋体" w:cs="Times New Roman"/>
          <w:sz w:val="24"/>
        </w:rPr>
        <w:t>for 24 and 48 h, respectively. Microplate reader (Bio-Tek ELx800, USA) was applied to assess the cell viability using a CCK-8 assay.</w:t>
      </w:r>
    </w:p>
    <w:p>
      <w:pPr>
        <w:spacing w:before="156" w:beforeLines="50" w:line="48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For CLSM observation, </w:t>
      </w:r>
      <w:r>
        <w:rPr>
          <w:rFonts w:ascii="Times New Roman" w:hAnsi="Times New Roman" w:eastAsia="AdvOTce3d9a73" w:cs="Times New Roman"/>
          <w:kern w:val="0"/>
          <w:sz w:val="24"/>
          <w:lang w:bidi="ar"/>
        </w:rPr>
        <w:t xml:space="preserve">4T1 and MDA-MB-231 tumor cells were seeded into 35 mm glass dishes for 24 h. Then, the cells were incubated with different concentrations of PEG/Cu-BDC </w:t>
      </w:r>
      <w:r>
        <w:rPr>
          <w:rFonts w:ascii="Times New Roman" w:hAnsi="Times New Roman" w:eastAsia="宋体" w:cs="Times New Roman"/>
          <w:sz w:val="24"/>
        </w:rPr>
        <w:t>(0, 10, 20, 50 and 100 μg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for 24 h. After stained by </w:t>
      </w:r>
      <w:r>
        <w:rPr>
          <w:rFonts w:ascii="Times New Roman" w:hAnsi="Times New Roman" w:eastAsia="宋体" w:cs="Times New Roman"/>
          <w:bCs/>
          <w:sz w:val="24"/>
        </w:rPr>
        <w:t xml:space="preserve">calcein-AM and PI, the cells were imaged by CLSM to </w:t>
      </w:r>
      <w:r>
        <w:rPr>
          <w:rFonts w:ascii="Times New Roman" w:hAnsi="Times New Roman" w:eastAsia="宋体" w:cs="Times New Roman"/>
          <w:sz w:val="24"/>
        </w:rPr>
        <w:t xml:space="preserve">distinguish the live and dead cells. </w:t>
      </w:r>
      <w:bookmarkStart w:id="14" w:name="_GoBack"/>
      <w:bookmarkEnd w:id="14"/>
    </w:p>
    <w:p>
      <w:pPr>
        <w:spacing w:before="156" w:beforeLines="50" w:line="480" w:lineRule="auto"/>
        <w:rPr>
          <w:rFonts w:ascii="Times New Roman" w:hAnsi="Times New Roman" w:eastAsia="宋体" w:cs="Times New Roman"/>
          <w:sz w:val="24"/>
        </w:rPr>
      </w:pPr>
      <w:r>
        <w:rPr>
          <w:rFonts w:ascii="Times New Roman" w:hAnsi="Times New Roman" w:eastAsia="宋体" w:cs="Times New Roman"/>
          <w:b/>
          <w:bCs/>
          <w:sz w:val="24"/>
        </w:rPr>
        <w:t>Cell Apoptosis of PEG/Cu-BDC</w:t>
      </w:r>
      <w:r>
        <w:rPr>
          <w:rFonts w:ascii="Times New Roman" w:hAnsi="Times New Roman" w:eastAsia="宋体" w:cs="Times New Roman"/>
          <w:sz w:val="24"/>
        </w:rPr>
        <w:t xml:space="preserve"> </w:t>
      </w:r>
    </w:p>
    <w:p>
      <w:pPr>
        <w:spacing w:before="156" w:beforeLines="50" w:line="480" w:lineRule="auto"/>
        <w:rPr>
          <w:rFonts w:ascii="Times New Roman" w:hAnsi="Times New Roman" w:eastAsia="宋体" w:cs="Times New Roman"/>
          <w:sz w:val="24"/>
        </w:rPr>
      </w:pPr>
      <w:r>
        <w:rPr>
          <w:rFonts w:ascii="Times New Roman" w:hAnsi="Times New Roman" w:eastAsia="宋体" w:cs="Times New Roman"/>
          <w:sz w:val="24"/>
        </w:rPr>
        <w:t xml:space="preserve">4T1 cells were seeded into 6-well plates for 24 h, and further incubated with different concentrations of </w:t>
      </w:r>
      <w:r>
        <w:rPr>
          <w:rFonts w:ascii="Times New Roman" w:hAnsi="Times New Roman" w:eastAsia="AdvOTce3d9a73" w:cs="Times New Roman"/>
          <w:kern w:val="0"/>
          <w:sz w:val="24"/>
          <w:lang w:bidi="ar"/>
        </w:rPr>
        <w:t>PEG/Cu-BDC</w:t>
      </w:r>
      <w:r>
        <w:rPr>
          <w:rFonts w:ascii="Times New Roman" w:hAnsi="Times New Roman" w:eastAsia="宋体" w:cs="Times New Roman"/>
          <w:sz w:val="24"/>
        </w:rPr>
        <w:t xml:space="preserve"> </w:t>
      </w:r>
      <w:bookmarkStart w:id="7" w:name="OLE_LINK8"/>
      <w:r>
        <w:rPr>
          <w:rFonts w:ascii="Times New Roman" w:hAnsi="Times New Roman" w:eastAsia="宋体" w:cs="Times New Roman"/>
          <w:sz w:val="24"/>
        </w:rPr>
        <w:t>(0, 20, 50 and 100 μg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bookmarkEnd w:id="7"/>
      <w:r>
        <w:rPr>
          <w:rFonts w:ascii="Times New Roman" w:hAnsi="Times New Roman" w:eastAsia="宋体" w:cs="Times New Roman"/>
          <w:sz w:val="24"/>
        </w:rPr>
        <w:t xml:space="preserve">for 24 h. After washing with PBS for three times, the cells were collected by trypsinization, followed by centrifugation at 1000 rpm for 5 min. The obtained precipitate was dispersed in PBS and stained with Annexin V-FITC and PI before performing FCM analysis. </w:t>
      </w:r>
    </w:p>
    <w:p>
      <w:pPr>
        <w:spacing w:before="156" w:beforeLines="50" w:line="480" w:lineRule="auto"/>
        <w:rPr>
          <w:rFonts w:ascii="Times New Roman" w:hAnsi="Times New Roman" w:eastAsia="宋体" w:cs="Times New Roman"/>
          <w:sz w:val="24"/>
        </w:rPr>
      </w:pPr>
    </w:p>
    <w:p>
      <w:pPr>
        <w:spacing w:before="156" w:beforeLines="50" w:line="480" w:lineRule="auto"/>
        <w:rPr>
          <w:rFonts w:ascii="Times New Roman" w:hAnsi="Times New Roman" w:eastAsia="宋体" w:cs="Times New Roman"/>
          <w:b/>
          <w:bCs/>
          <w:sz w:val="24"/>
        </w:rPr>
      </w:pPr>
      <w:r>
        <w:rPr>
          <w:rFonts w:ascii="Times New Roman" w:hAnsi="Times New Roman" w:eastAsia="宋体" w:cs="Times New Roman"/>
          <w:b/>
          <w:bCs/>
          <w:sz w:val="24"/>
        </w:rPr>
        <w:t xml:space="preserve">Intracellular Reactive Oxygen Species (ROS) Generation </w:t>
      </w:r>
      <w:r>
        <w:rPr>
          <w:rFonts w:ascii="Times New Roman" w:hAnsi="Times New Roman" w:eastAsia="宋体" w:cs="Times New Roman"/>
          <w:b/>
          <w:bCs/>
          <w:i/>
          <w:iCs/>
          <w:sz w:val="24"/>
        </w:rPr>
        <w:t>In Vitro</w:t>
      </w:r>
    </w:p>
    <w:p>
      <w:pPr>
        <w:spacing w:before="156" w:beforeLines="50" w:line="480" w:lineRule="auto"/>
        <w:rPr>
          <w:rFonts w:ascii="Times New Roman" w:hAnsi="Times New Roman" w:eastAsia="宋体" w:cs="Times New Roman"/>
          <w:sz w:val="24"/>
        </w:rPr>
      </w:pPr>
      <w:r>
        <w:rPr>
          <w:rFonts w:ascii="Times New Roman" w:hAnsi="Times New Roman" w:eastAsia="宋体" w:cs="Times New Roman"/>
          <w:sz w:val="24"/>
        </w:rPr>
        <w:t>4T1 and MDA-MB-231 breast tumor cells were cultured in 35 mm confocal dishes for 24 h. Then, the cells were cultivated with PEG/Cu-BDC (0, 10, 20, 50 and 100 μg mL</w:t>
      </w:r>
      <w:r>
        <w:rPr>
          <w:rFonts w:ascii="Times New Roman" w:hAnsi="Times New Roman" w:eastAsia="宋体" w:cs="Times New Roman"/>
          <w:sz w:val="24"/>
          <w:vertAlign w:val="superscript"/>
        </w:rPr>
        <w:t>-1</w:t>
      </w:r>
      <w:r>
        <w:rPr>
          <w:rFonts w:ascii="Times New Roman" w:hAnsi="Times New Roman" w:eastAsia="宋体" w:cs="Times New Roman"/>
          <w:sz w:val="24"/>
        </w:rPr>
        <w:t>) for 8 h, and stained by 2’, 7’-dichlorodihydrofluorescein diacetate (DCFH-DA) for 15 min. Finally, the cells were washed by PBS for three times and images by CLSM.</w:t>
      </w:r>
    </w:p>
    <w:p>
      <w:pPr>
        <w:spacing w:before="156" w:beforeLines="50" w:line="480" w:lineRule="auto"/>
        <w:rPr>
          <w:rFonts w:ascii="Times New Roman" w:hAnsi="Times New Roman" w:eastAsia="宋体" w:cs="Times New Roman"/>
          <w:sz w:val="24"/>
        </w:rPr>
      </w:pPr>
    </w:p>
    <w:p>
      <w:pPr>
        <w:pStyle w:val="16"/>
        <w:snapToGrid w:val="0"/>
        <w:spacing w:before="156" w:beforeLines="50"/>
        <w:ind w:firstLine="0"/>
        <w:rPr>
          <w:rFonts w:ascii="Times New Roman" w:hAnsi="Times New Roman"/>
          <w:b/>
          <w:sz w:val="24"/>
        </w:rPr>
      </w:pPr>
      <w:r>
        <w:rPr>
          <w:rFonts w:ascii="Times New Roman" w:hAnsi="Times New Roman"/>
          <w:b/>
          <w:sz w:val="24"/>
        </w:rPr>
        <w:t>mRNAs</w:t>
      </w:r>
      <w:r>
        <w:rPr>
          <w:rFonts w:hint="eastAsia" w:ascii="Times New Roman" w:hAnsi="Times New Roman"/>
          <w:b/>
          <w:sz w:val="24"/>
        </w:rPr>
        <w:t xml:space="preserve"> </w:t>
      </w:r>
      <w:r>
        <w:rPr>
          <w:rFonts w:ascii="Times New Roman" w:hAnsi="Times New Roman"/>
          <w:b/>
          <w:sz w:val="24"/>
        </w:rPr>
        <w:t>Analysis</w:t>
      </w:r>
    </w:p>
    <w:p>
      <w:pPr>
        <w:pStyle w:val="16"/>
        <w:snapToGrid w:val="0"/>
        <w:spacing w:before="156" w:beforeLines="50"/>
        <w:ind w:firstLine="0"/>
        <w:rPr>
          <w:rFonts w:ascii="Times New Roman" w:hAnsi="Times New Roman" w:cs="Times New Roman"/>
          <w:sz w:val="24"/>
        </w:rPr>
      </w:pPr>
      <w:r>
        <w:rPr>
          <w:rFonts w:ascii="Times New Roman" w:hAnsi="Times New Roman" w:cs="Times New Roman"/>
          <w:sz w:val="24"/>
        </w:rPr>
        <w:t xml:space="preserve">RNAs extracted from 4T1 cells in 6 groups, including 3 control and 3 PEG/Cu-BDC treated groups were utilized for gene analysis. Before the utilization of the cBot Cluster Generation System with TruSeq PE Cluster Kit v3-cBot-HS (Illumia) for cluster generation, the RNA integrity should be performed with the RNA Nano 6000 Assay Kit of the Bioanalyzer 2100 system (Agilent Technologies, CA, USA). Those sequences of samples would be illustrated by an Illumina Novaseq platform, and the final gene analysis was performed with the help of the DESeq2 R package (1.20.0). </w:t>
      </w:r>
      <w:r>
        <w:rPr>
          <w:rFonts w:hint="eastAsia" w:ascii="Times New Roman" w:hAnsi="Times New Roman" w:cs="Times New Roman"/>
          <w:sz w:val="24"/>
        </w:rPr>
        <w:t xml:space="preserve">The </w:t>
      </w:r>
      <w:r>
        <w:rPr>
          <w:rFonts w:ascii="Times New Roman" w:hAnsi="Times New Roman" w:cs="Times New Roman"/>
          <w:sz w:val="24"/>
        </w:rPr>
        <w:t xml:space="preserve">Gene Ontology (GO) and Kyoto Encyclopedia of Genes and Genomes (KEGG) enrichment </w:t>
      </w:r>
      <w:r>
        <w:rPr>
          <w:rFonts w:hint="eastAsia" w:ascii="Times New Roman" w:hAnsi="Times New Roman" w:cs="Times New Roman"/>
          <w:sz w:val="24"/>
        </w:rPr>
        <w:t>pathways</w:t>
      </w:r>
      <w:r>
        <w:rPr>
          <w:rFonts w:ascii="Times New Roman" w:hAnsi="Times New Roman" w:cs="Times New Roman"/>
          <w:sz w:val="24"/>
        </w:rPr>
        <w:t xml:space="preserve"> </w:t>
      </w:r>
      <w:r>
        <w:rPr>
          <w:rFonts w:hint="eastAsia" w:ascii="Times New Roman" w:hAnsi="Times New Roman" w:cs="Times New Roman"/>
          <w:sz w:val="24"/>
        </w:rPr>
        <w:t>were analysed by the clusterProfiler R package. P-value of &lt; 0.05 was considered as a sign of significant change.</w:t>
      </w:r>
    </w:p>
    <w:p>
      <w:pPr>
        <w:spacing w:before="156" w:beforeLines="50" w:line="480" w:lineRule="auto"/>
        <w:rPr>
          <w:rFonts w:ascii="Times New Roman" w:hAnsi="Times New Roman" w:eastAsia="AdvOTce3d9a73" w:cs="Times New Roman"/>
          <w:kern w:val="0"/>
          <w:sz w:val="24"/>
          <w:lang w:bidi="ar"/>
        </w:rPr>
      </w:pPr>
    </w:p>
    <w:p>
      <w:pPr>
        <w:widowControl/>
        <w:spacing w:before="156" w:beforeLines="50" w:line="480" w:lineRule="auto"/>
        <w:rPr>
          <w:rFonts w:ascii="Times New Roman" w:hAnsi="Times New Roman" w:eastAsia="AdvOTce3d9a73" w:cs="Times New Roman"/>
          <w:b/>
          <w:bCs/>
          <w:i/>
          <w:iCs/>
          <w:kern w:val="0"/>
          <w:sz w:val="24"/>
          <w:lang w:bidi="ar"/>
        </w:rPr>
      </w:pPr>
      <w:r>
        <w:rPr>
          <w:rFonts w:ascii="Times New Roman" w:hAnsi="Times New Roman" w:eastAsia="AdvOTce3d9a73" w:cs="Times New Roman"/>
          <w:b/>
          <w:bCs/>
          <w:kern w:val="0"/>
          <w:sz w:val="24"/>
          <w:lang w:bidi="ar"/>
        </w:rPr>
        <w:t xml:space="preserve">Biocompatibility of PEG/Cu-BDC </w:t>
      </w:r>
      <w:r>
        <w:rPr>
          <w:rFonts w:ascii="Times New Roman" w:hAnsi="Times New Roman" w:eastAsia="AdvOTce3d9a73" w:cs="Times New Roman"/>
          <w:b/>
          <w:bCs/>
          <w:i/>
          <w:iCs/>
          <w:kern w:val="0"/>
          <w:sz w:val="24"/>
          <w:lang w:bidi="ar"/>
        </w:rPr>
        <w:t xml:space="preserve">In Vivo </w:t>
      </w:r>
      <w:bookmarkStart w:id="8" w:name="OLE_LINK1"/>
    </w:p>
    <w:p>
      <w:pPr>
        <w:widowControl/>
        <w:spacing w:before="156" w:beforeLines="50" w:line="480" w:lineRule="auto"/>
        <w:rPr>
          <w:rFonts w:ascii="Times New Roman" w:hAnsi="Times New Roman" w:eastAsia="AdvOTce3d9a73" w:cs="Times New Roman"/>
          <w:kern w:val="0"/>
          <w:sz w:val="24"/>
          <w:lang w:bidi="ar"/>
        </w:rPr>
      </w:pPr>
      <w:r>
        <w:rPr>
          <w:rFonts w:ascii="Times New Roman" w:hAnsi="Times New Roman" w:eastAsia="AdvOTce3d9a73" w:cs="Times New Roman"/>
          <w:kern w:val="0"/>
          <w:sz w:val="24"/>
          <w:lang w:bidi="ar"/>
        </w:rPr>
        <w:t>The healthy female Kunming mice were divided into 2 groups, and administrated intravenously with 100 μL of PEG/Cu-BDC at different concentrations (</w:t>
      </w:r>
      <w:r>
        <w:rPr>
          <w:rFonts w:ascii="Times New Roman" w:hAnsi="Times New Roman" w:eastAsia="宋体" w:cs="Times New Roman"/>
          <w:kern w:val="0"/>
          <w:sz w:val="24"/>
          <w:lang w:bidi="ar"/>
        </w:rPr>
        <w:t xml:space="preserve">10 and </w:t>
      </w:r>
      <w:r>
        <w:rPr>
          <w:rFonts w:ascii="Times New Roman" w:hAnsi="Times New Roman" w:eastAsia="宋体" w:cs="Times New Roman"/>
          <w:color w:val="000000"/>
          <w:kern w:val="0"/>
          <w:sz w:val="24"/>
          <w:lang w:bidi="ar"/>
        </w:rPr>
        <w:t>20</w:t>
      </w:r>
      <w:r>
        <w:rPr>
          <w:rFonts w:ascii="Times New Roman" w:hAnsi="Times New Roman" w:eastAsia="AdvOTce3d9a73" w:cs="Times New Roman"/>
          <w:color w:val="000000"/>
          <w:kern w:val="0"/>
          <w:sz w:val="24"/>
          <w:lang w:bidi="ar"/>
        </w:rPr>
        <w:t xml:space="preserve"> mg </w:t>
      </w:r>
      <w:r>
        <w:rPr>
          <w:rFonts w:ascii="Times New Roman" w:hAnsi="Times New Roman" w:eastAsia="宋体" w:cs="Times New Roman"/>
          <w:color w:val="000000"/>
          <w:kern w:val="0"/>
          <w:sz w:val="24"/>
          <w:lang w:bidi="ar"/>
        </w:rPr>
        <w:t>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kern w:val="0"/>
          <w:sz w:val="24"/>
          <w:lang w:bidi="ar"/>
        </w:rPr>
        <w:t xml:space="preserve">). The blood and main organs (heart, liver, spleen, lung, and kidney) were harvested at </w:t>
      </w:r>
      <w:bookmarkStart w:id="9" w:name="OLE_LINK3"/>
      <w:r>
        <w:rPr>
          <w:rFonts w:ascii="Times New Roman" w:hAnsi="Times New Roman" w:eastAsia="AdvOTce3d9a73" w:cs="Times New Roman"/>
          <w:kern w:val="0"/>
          <w:sz w:val="24"/>
          <w:lang w:bidi="ar"/>
        </w:rPr>
        <w:t>0, 3</w:t>
      </w:r>
      <w:r>
        <w:rPr>
          <w:rFonts w:ascii="Times New Roman" w:hAnsi="Times New Roman" w:eastAsia="AdvOTce3d9a73" w:cs="Times New Roman"/>
          <w:kern w:val="0"/>
          <w:sz w:val="24"/>
          <w:vertAlign w:val="superscript"/>
          <w:lang w:bidi="ar"/>
        </w:rPr>
        <w:t>rd</w:t>
      </w:r>
      <w:r>
        <w:rPr>
          <w:rFonts w:ascii="Times New Roman" w:hAnsi="Times New Roman" w:eastAsia="AdvOTce3d9a73" w:cs="Times New Roman"/>
          <w:kern w:val="0"/>
          <w:sz w:val="24"/>
          <w:lang w:bidi="ar"/>
        </w:rPr>
        <w:t>, 7</w:t>
      </w:r>
      <w:r>
        <w:rPr>
          <w:rFonts w:ascii="Times New Roman" w:hAnsi="Times New Roman" w:eastAsia="AdvOTce3d9a73" w:cs="Times New Roman"/>
          <w:kern w:val="0"/>
          <w:sz w:val="24"/>
          <w:vertAlign w:val="superscript"/>
          <w:lang w:bidi="ar"/>
        </w:rPr>
        <w:t>th</w:t>
      </w:r>
      <w:r>
        <w:rPr>
          <w:rFonts w:ascii="Times New Roman" w:hAnsi="Times New Roman" w:eastAsia="AdvOTce3d9a73" w:cs="Times New Roman"/>
          <w:kern w:val="0"/>
          <w:sz w:val="24"/>
          <w:lang w:bidi="ar"/>
        </w:rPr>
        <w:t>, 15</w:t>
      </w:r>
      <w:r>
        <w:rPr>
          <w:rFonts w:ascii="Times New Roman" w:hAnsi="Times New Roman" w:eastAsia="AdvOTce3d9a73" w:cs="Times New Roman"/>
          <w:kern w:val="0"/>
          <w:sz w:val="24"/>
          <w:vertAlign w:val="superscript"/>
          <w:lang w:bidi="ar"/>
        </w:rPr>
        <w:t>th</w:t>
      </w:r>
      <w:r>
        <w:rPr>
          <w:rFonts w:ascii="Times New Roman" w:hAnsi="Times New Roman" w:eastAsia="AdvOTce3d9a73" w:cs="Times New Roman"/>
          <w:kern w:val="0"/>
          <w:sz w:val="24"/>
          <w:lang w:bidi="ar"/>
        </w:rPr>
        <w:t>, and 30</w:t>
      </w:r>
      <w:bookmarkEnd w:id="9"/>
      <w:r>
        <w:rPr>
          <w:rFonts w:ascii="Times New Roman" w:hAnsi="Times New Roman" w:eastAsia="AdvOTce3d9a73" w:cs="Times New Roman"/>
          <w:kern w:val="0"/>
          <w:sz w:val="24"/>
          <w:vertAlign w:val="superscript"/>
          <w:lang w:bidi="ar"/>
        </w:rPr>
        <w:t>th</w:t>
      </w:r>
      <w:r>
        <w:rPr>
          <w:rFonts w:ascii="Times New Roman" w:hAnsi="Times New Roman" w:eastAsia="AdvOTce3d9a73" w:cs="Times New Roman"/>
          <w:kern w:val="0"/>
          <w:sz w:val="24"/>
          <w:lang w:bidi="ar"/>
        </w:rPr>
        <w:t xml:space="preserve"> day after intravenous injection for routine blood analysis, serum biochemical examination, and haematoxylin-eosin (H&amp;E) staining. </w:t>
      </w:r>
    </w:p>
    <w:p>
      <w:pPr>
        <w:widowControl/>
        <w:spacing w:before="156" w:beforeLines="50" w:line="480" w:lineRule="auto"/>
        <w:ind w:firstLine="480" w:firstLineChars="200"/>
        <w:rPr>
          <w:rFonts w:ascii="Times New Roman" w:hAnsi="Times New Roman" w:eastAsia="AdvOTce3d9a73" w:cs="Times New Roman"/>
          <w:kern w:val="0"/>
          <w:sz w:val="24"/>
          <w:lang w:bidi="ar"/>
        </w:rPr>
      </w:pPr>
    </w:p>
    <w:bookmarkEnd w:id="8"/>
    <w:p>
      <w:pPr>
        <w:widowControl/>
        <w:spacing w:before="156" w:beforeLines="50" w:line="480" w:lineRule="auto"/>
        <w:rPr>
          <w:rFonts w:ascii="Times New Roman" w:hAnsi="Times New Roman" w:eastAsia="AdvOTce3d9a73" w:cs="Times New Roman"/>
          <w:b/>
          <w:bCs/>
          <w:kern w:val="0"/>
          <w:sz w:val="24"/>
          <w:lang w:bidi="ar"/>
        </w:rPr>
      </w:pPr>
      <w:r>
        <w:rPr>
          <w:rFonts w:ascii="Times New Roman" w:hAnsi="Times New Roman" w:eastAsia="宋体" w:cs="Times New Roman"/>
          <w:b/>
          <w:sz w:val="24"/>
        </w:rPr>
        <w:t xml:space="preserve">Pharmacokinetic Behavior </w:t>
      </w:r>
      <w:r>
        <w:rPr>
          <w:rFonts w:ascii="Times New Roman" w:hAnsi="Times New Roman" w:eastAsia="AdvOTce3d9a73" w:cs="Times New Roman"/>
          <w:b/>
          <w:bCs/>
          <w:kern w:val="0"/>
          <w:sz w:val="24"/>
          <w:lang w:bidi="ar"/>
        </w:rPr>
        <w:t xml:space="preserve">of PEG/Cu-BDC </w:t>
      </w:r>
      <w:r>
        <w:rPr>
          <w:rFonts w:ascii="Times New Roman" w:hAnsi="Times New Roman" w:eastAsia="AdvOTce3d9a73" w:cs="Times New Roman"/>
          <w:b/>
          <w:bCs/>
          <w:i/>
          <w:iCs/>
          <w:kern w:val="0"/>
          <w:sz w:val="24"/>
          <w:lang w:bidi="ar"/>
        </w:rPr>
        <w:t>In Vivo</w:t>
      </w:r>
    </w:p>
    <w:p>
      <w:pPr>
        <w:widowControl/>
        <w:spacing w:before="156" w:beforeLines="50" w:line="480" w:lineRule="auto"/>
        <w:rPr>
          <w:rFonts w:ascii="Times New Roman" w:hAnsi="Times New Roman" w:eastAsia="AdvOTce3d9a73" w:cs="Times New Roman"/>
          <w:kern w:val="0"/>
          <w:sz w:val="24"/>
          <w:lang w:bidi="ar"/>
        </w:rPr>
      </w:pPr>
      <w:r>
        <w:rPr>
          <w:rFonts w:ascii="Times New Roman" w:hAnsi="Times New Roman" w:eastAsia="AdvOTce3d9a73" w:cs="Times New Roman"/>
          <w:kern w:val="0"/>
          <w:sz w:val="24"/>
          <w:lang w:bidi="ar"/>
        </w:rPr>
        <w:t>PEG/Cu-BDC (200 μL, 0.20 mg mL</w:t>
      </w:r>
      <w:r>
        <w:rPr>
          <w:rFonts w:ascii="Times New Roman" w:hAnsi="Times New Roman" w:eastAsia="AdvOTce3d9a73" w:cs="Times New Roman"/>
          <w:kern w:val="0"/>
          <w:sz w:val="24"/>
          <w:vertAlign w:val="superscript"/>
          <w:lang w:bidi="ar"/>
        </w:rPr>
        <w:t>−1</w:t>
      </w:r>
      <w:r>
        <w:rPr>
          <w:rFonts w:ascii="Times New Roman" w:hAnsi="Times New Roman" w:eastAsia="AdvOTce3d9a73" w:cs="Times New Roman"/>
          <w:kern w:val="0"/>
          <w:sz w:val="24"/>
          <w:lang w:bidi="ar"/>
        </w:rPr>
        <w:t xml:space="preserve">) was intravenously injected into female Kunming mice. The blood (10 μL) of the mice was collected at a given time point (5, 10, 30 min, 1, 2, 4, 6, 12, and 24 h) after intravenous administration. The Cu contents in the blood samples were detected by ICP-OES analysis to evaluate the </w:t>
      </w:r>
      <w:r>
        <w:rPr>
          <w:rFonts w:ascii="Times New Roman" w:hAnsi="Times New Roman" w:eastAsia="AdvOTce3d9a73" w:cs="Times New Roman"/>
          <w:i/>
          <w:iCs/>
          <w:kern w:val="0"/>
          <w:sz w:val="24"/>
          <w:lang w:bidi="ar"/>
        </w:rPr>
        <w:t xml:space="preserve">in vivo </w:t>
      </w:r>
      <w:r>
        <w:rPr>
          <w:rFonts w:ascii="Times New Roman" w:hAnsi="Times New Roman" w:eastAsia="宋体" w:cs="Times New Roman"/>
          <w:sz w:val="24"/>
        </w:rPr>
        <w:t xml:space="preserve">pharmacokinetic behavior </w:t>
      </w:r>
      <w:r>
        <w:rPr>
          <w:rFonts w:ascii="Times New Roman" w:hAnsi="Times New Roman" w:eastAsia="AdvOTce3d9a73" w:cs="Times New Roman"/>
          <w:kern w:val="0"/>
          <w:sz w:val="24"/>
          <w:lang w:bidi="ar"/>
        </w:rPr>
        <w:t xml:space="preserve">of PEG/Cu-BDC. </w:t>
      </w:r>
    </w:p>
    <w:p>
      <w:pPr>
        <w:widowControl/>
        <w:spacing w:before="156" w:beforeLines="50" w:line="480" w:lineRule="auto"/>
        <w:rPr>
          <w:rFonts w:ascii="Times New Roman" w:hAnsi="Times New Roman" w:eastAsia="AdvOTce3d9a73" w:cs="Times New Roman"/>
          <w:b/>
          <w:bCs/>
          <w:kern w:val="0"/>
          <w:sz w:val="24"/>
          <w:lang w:bidi="ar"/>
        </w:rPr>
      </w:pPr>
    </w:p>
    <w:p>
      <w:pPr>
        <w:spacing w:before="156" w:beforeLines="50" w:line="480" w:lineRule="auto"/>
        <w:rPr>
          <w:rFonts w:ascii="Times New Roman" w:hAnsi="Times New Roman" w:eastAsia="AdvOTce3d9a73" w:cs="Times New Roman"/>
          <w:b/>
          <w:bCs/>
          <w:i/>
          <w:iCs/>
          <w:kern w:val="0"/>
          <w:sz w:val="24"/>
          <w:lang w:bidi="ar"/>
        </w:rPr>
      </w:pPr>
      <w:r>
        <w:rPr>
          <w:rFonts w:ascii="Times New Roman" w:hAnsi="Times New Roman" w:eastAsia="AdvOTce3d9a73" w:cs="Times New Roman"/>
          <w:b/>
          <w:bCs/>
          <w:kern w:val="0"/>
          <w:sz w:val="24"/>
          <w:lang w:bidi="ar"/>
        </w:rPr>
        <w:t xml:space="preserve">Biodistribution of PEG/Cu-BDC </w:t>
      </w:r>
      <w:r>
        <w:rPr>
          <w:rFonts w:ascii="Times New Roman" w:hAnsi="Times New Roman" w:eastAsia="AdvOTce3d9a73" w:cs="Times New Roman"/>
          <w:b/>
          <w:bCs/>
          <w:i/>
          <w:iCs/>
          <w:kern w:val="0"/>
          <w:sz w:val="24"/>
          <w:lang w:bidi="ar"/>
        </w:rPr>
        <w:t>In Vivo</w:t>
      </w:r>
    </w:p>
    <w:p>
      <w:pPr>
        <w:spacing w:before="156" w:beforeLines="50" w:line="480" w:lineRule="auto"/>
        <w:rPr>
          <w:rFonts w:ascii="Times New Roman" w:hAnsi="Times New Roman" w:eastAsia="AdvOTce3d9a73" w:cs="Times New Roman"/>
          <w:kern w:val="0"/>
          <w:sz w:val="24"/>
          <w:lang w:bidi="ar"/>
        </w:rPr>
      </w:pPr>
      <w:r>
        <w:rPr>
          <w:rFonts w:ascii="Times New Roman" w:hAnsi="Times New Roman" w:eastAsia="AdvOTce3d9a73" w:cs="Times New Roman"/>
          <w:kern w:val="0"/>
          <w:sz w:val="24"/>
          <w:lang w:bidi="ar"/>
        </w:rPr>
        <w:t>PEG/Cu-BDC</w:t>
      </w:r>
      <w:r>
        <w:rPr>
          <w:rFonts w:ascii="Times New Roman" w:hAnsi="Times New Roman" w:eastAsia="宋体" w:cs="Times New Roman"/>
          <w:sz w:val="24"/>
        </w:rPr>
        <w:t xml:space="preserve"> (200 μL, 0.2 mg mL</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was </w:t>
      </w:r>
      <w:r>
        <w:rPr>
          <w:rFonts w:ascii="Times New Roman" w:hAnsi="Times New Roman" w:eastAsia="AdvOTce3d9a73" w:cs="Times New Roman"/>
          <w:kern w:val="0"/>
          <w:sz w:val="24"/>
          <w:lang w:bidi="ar"/>
        </w:rPr>
        <w:t xml:space="preserve">intravenously injected into 4T1 tumor-bearing mice. The tumors and main organs (heart, liver, lung, spleen, and kidney) of the mice were collected at various time durations (4, 8, and 24 h). The Cu content in the tumors and major organs were detected by ICP-OES analysis to evaluate the biodistribution of PEG/Cu-BDC. </w:t>
      </w:r>
    </w:p>
    <w:p>
      <w:pPr>
        <w:spacing w:before="156" w:beforeLines="50" w:line="480" w:lineRule="auto"/>
        <w:rPr>
          <w:rFonts w:ascii="Times New Roman" w:hAnsi="Times New Roman" w:eastAsia="AdvOTce3d9a73" w:cs="Times New Roman"/>
          <w:kern w:val="0"/>
          <w:sz w:val="24"/>
          <w:lang w:bidi="ar"/>
        </w:rPr>
      </w:pPr>
    </w:p>
    <w:p>
      <w:pPr>
        <w:spacing w:before="156" w:beforeLines="50" w:line="480" w:lineRule="auto"/>
        <w:rPr>
          <w:rFonts w:ascii="Times New Roman" w:hAnsi="Times New Roman" w:eastAsia="AdvOTce3d9a73" w:cs="Times New Roman"/>
          <w:b/>
          <w:bCs/>
          <w:kern w:val="0"/>
          <w:sz w:val="24"/>
          <w:lang w:bidi="ar"/>
        </w:rPr>
      </w:pPr>
      <w:r>
        <w:rPr>
          <w:rFonts w:ascii="Times New Roman" w:hAnsi="Times New Roman" w:eastAsia="AdvOTce3d9a73" w:cs="Times New Roman"/>
          <w:b/>
          <w:bCs/>
          <w:kern w:val="0"/>
          <w:sz w:val="24"/>
          <w:lang w:bidi="ar"/>
        </w:rPr>
        <w:t>Antitumor E</w:t>
      </w:r>
      <w:r>
        <w:rPr>
          <w:rFonts w:ascii="Times New Roman" w:hAnsi="Times New Roman" w:eastAsia="AdvOTce3d9a73 + fb" w:cs="Times New Roman"/>
          <w:b/>
          <w:bCs/>
          <w:kern w:val="0"/>
          <w:sz w:val="24"/>
          <w:lang w:bidi="ar"/>
        </w:rPr>
        <w:t>ffi</w:t>
      </w:r>
      <w:r>
        <w:rPr>
          <w:rFonts w:ascii="Times New Roman" w:hAnsi="Times New Roman" w:eastAsia="AdvOTce3d9a73" w:cs="Times New Roman"/>
          <w:b/>
          <w:bCs/>
          <w:kern w:val="0"/>
          <w:sz w:val="24"/>
          <w:lang w:bidi="ar"/>
        </w:rPr>
        <w:t xml:space="preserve">cacy of PEG/Cu-BDC </w:t>
      </w:r>
      <w:r>
        <w:rPr>
          <w:rFonts w:ascii="Times New Roman" w:hAnsi="Times New Roman" w:eastAsia="AdvOTce3d9a73" w:cs="Times New Roman"/>
          <w:b/>
          <w:bCs/>
          <w:i/>
          <w:iCs/>
          <w:kern w:val="0"/>
          <w:sz w:val="24"/>
          <w:lang w:bidi="ar"/>
        </w:rPr>
        <w:t>In Vivo</w:t>
      </w:r>
      <w:r>
        <w:rPr>
          <w:rFonts w:ascii="Times New Roman" w:hAnsi="Times New Roman" w:eastAsia="AdvOTce3d9a73" w:cs="Times New Roman"/>
          <w:b/>
          <w:bCs/>
          <w:kern w:val="0"/>
          <w:sz w:val="24"/>
          <w:lang w:bidi="ar"/>
        </w:rPr>
        <w:t xml:space="preserve"> </w:t>
      </w:r>
    </w:p>
    <w:p>
      <w:pPr>
        <w:spacing w:before="156" w:beforeLines="50" w:line="480" w:lineRule="auto"/>
        <w:rPr>
          <w:rFonts w:ascii="Times New Roman" w:hAnsi="Times New Roman" w:eastAsia="AdvOTce3d9a73" w:cs="Times New Roman"/>
          <w:kern w:val="0"/>
          <w:sz w:val="24"/>
          <w:lang w:bidi="ar"/>
        </w:rPr>
      </w:pPr>
      <w:r>
        <w:rPr>
          <w:rFonts w:ascii="Times New Roman" w:hAnsi="Times New Roman" w:eastAsia="AdvOTce3d9a73" w:cs="Times New Roman"/>
          <w:kern w:val="0"/>
          <w:sz w:val="24"/>
          <w:lang w:bidi="ar"/>
        </w:rPr>
        <w:t xml:space="preserve">4T1 and MDA-MB-231 breast tumor cells were injected subcutaneously in the right back of female nude mice to establish tumor models for further investigation. </w:t>
      </w:r>
      <w:bookmarkStart w:id="10" w:name="OLE_LINK5"/>
      <w:r>
        <w:rPr>
          <w:rFonts w:ascii="Times New Roman" w:hAnsi="Times New Roman" w:eastAsia="AdvOTce3d9a73" w:cs="Times New Roman"/>
          <w:kern w:val="0"/>
          <w:sz w:val="24"/>
          <w:lang w:bidi="ar"/>
        </w:rPr>
        <w:t>When the tumor volume was approximately 100 mm</w:t>
      </w:r>
      <w:r>
        <w:rPr>
          <w:rFonts w:ascii="Times New Roman" w:hAnsi="Times New Roman" w:eastAsia="AdvOTce3d9a73" w:cs="Times New Roman"/>
          <w:kern w:val="0"/>
          <w:sz w:val="24"/>
          <w:vertAlign w:val="superscript"/>
          <w:lang w:bidi="ar"/>
        </w:rPr>
        <w:t>3</w:t>
      </w:r>
      <w:r>
        <w:rPr>
          <w:rFonts w:ascii="Times New Roman" w:hAnsi="Times New Roman" w:eastAsia="AdvOTce3d9a73" w:cs="Times New Roman"/>
          <w:kern w:val="0"/>
          <w:sz w:val="24"/>
          <w:lang w:bidi="ar"/>
        </w:rPr>
        <w:t>, the mice were randomly divided into three groups (n = 5 in each group)</w:t>
      </w:r>
      <w:r>
        <w:rPr>
          <w:rFonts w:ascii="Times New Roman" w:hAnsi="Times New Roman" w:eastAsia="宋体" w:cs="Times New Roman"/>
          <w:kern w:val="0"/>
          <w:sz w:val="24"/>
          <w:lang w:bidi="ar"/>
        </w:rPr>
        <w:t xml:space="preserve">: </w:t>
      </w:r>
      <w:r>
        <w:rPr>
          <w:rFonts w:ascii="Times New Roman" w:hAnsi="Times New Roman" w:eastAsia="AdvOTce3d9a73" w:cs="Times New Roman"/>
          <w:kern w:val="0"/>
          <w:sz w:val="24"/>
          <w:lang w:bidi="ar"/>
        </w:rPr>
        <w:t>Group 1: saline (100 μL/tumor), Group 2: doxorubicin</w:t>
      </w:r>
      <w:bookmarkStart w:id="11" w:name="OLE_LINK7"/>
      <w:r>
        <w:rPr>
          <w:rFonts w:ascii="Times New Roman" w:hAnsi="Times New Roman" w:eastAsia="AdvOTce3d9a73" w:cs="Times New Roman"/>
          <w:kern w:val="0"/>
          <w:sz w:val="24"/>
          <w:lang w:bidi="ar"/>
        </w:rPr>
        <w:t xml:space="preserve"> (</w:t>
      </w:r>
      <w:r>
        <w:rPr>
          <w:rFonts w:ascii="Times New Roman" w:hAnsi="Times New Roman" w:cs="Times New Roman"/>
          <w:sz w:val="24"/>
        </w:rPr>
        <w:t>10 mg kg</w:t>
      </w:r>
      <w:r>
        <w:rPr>
          <w:rFonts w:ascii="Times New Roman" w:hAnsi="Times New Roman" w:cs="Times New Roman"/>
          <w:sz w:val="24"/>
          <w:vertAlign w:val="superscript"/>
        </w:rPr>
        <w:t>-1</w:t>
      </w:r>
      <w:r>
        <w:rPr>
          <w:rFonts w:ascii="Times New Roman" w:hAnsi="Times New Roman" w:eastAsia="AdvOTce3d9a73" w:cs="Times New Roman"/>
          <w:kern w:val="0"/>
          <w:sz w:val="24"/>
          <w:lang w:bidi="ar"/>
        </w:rPr>
        <w:t>, 100 μL/tumor)</w:t>
      </w:r>
      <w:bookmarkEnd w:id="11"/>
      <w:r>
        <w:rPr>
          <w:rFonts w:ascii="Times New Roman" w:hAnsi="Times New Roman" w:eastAsia="AdvOTce3d9a73" w:cs="Times New Roman"/>
          <w:kern w:val="0"/>
          <w:sz w:val="24"/>
          <w:lang w:bidi="ar"/>
        </w:rPr>
        <w:t>, and Group 3: PEG/Cu-BDC (</w:t>
      </w:r>
      <w:r>
        <w:rPr>
          <w:rFonts w:ascii="Times New Roman" w:hAnsi="Times New Roman" w:cs="Times New Roman"/>
          <w:sz w:val="24"/>
        </w:rPr>
        <w:t>10 mg kg</w:t>
      </w:r>
      <w:r>
        <w:rPr>
          <w:rFonts w:ascii="Times New Roman" w:hAnsi="Times New Roman" w:cs="Times New Roman"/>
          <w:sz w:val="24"/>
          <w:vertAlign w:val="superscript"/>
        </w:rPr>
        <w:t>-1</w:t>
      </w:r>
      <w:r>
        <w:rPr>
          <w:rFonts w:ascii="Times New Roman" w:hAnsi="Times New Roman" w:eastAsia="AdvOTce3d9a73" w:cs="Times New Roman"/>
          <w:kern w:val="0"/>
          <w:sz w:val="24"/>
          <w:lang w:bidi="ar"/>
        </w:rPr>
        <w:t xml:space="preserve">, 100 μL/tumor). Then, the body weight and tumor size were recorded every two days. The mice were sacrificed at the end of the therapeutic process. The representative tumors of the mice were dissected for H&amp;E, TdT-mediated dUTP nick-end labeling (TUNEL), and Ki-67 antibody staining. In addition, the representative major organs (heart, liver, lung, spleen, and kidney) of the mice in all treatment groups were collected for H&amp;E staining. </w:t>
      </w:r>
      <w:bookmarkEnd w:id="10"/>
    </w:p>
    <w:p>
      <w:pPr>
        <w:spacing w:line="480" w:lineRule="auto"/>
        <w:ind w:firstLine="480" w:firstLineChars="200"/>
        <w:rPr>
          <w:rFonts w:ascii="Times New Roman" w:hAnsi="Times New Roman" w:eastAsia="AdvOTce3d9a73" w:cs="Times New Roman"/>
          <w:kern w:val="0"/>
          <w:sz w:val="24"/>
          <w:highlight w:val="none"/>
          <w:lang w:bidi="ar"/>
        </w:rPr>
      </w:pPr>
      <w:r>
        <w:rPr>
          <w:rFonts w:ascii="Times New Roman" w:hAnsi="Times New Roman" w:eastAsia="AdvOTce3d9a73" w:cs="Times New Roman"/>
          <w:kern w:val="0"/>
          <w:sz w:val="24"/>
          <w:highlight w:val="none"/>
          <w:lang w:bidi="ar"/>
        </w:rPr>
        <w:t>The volumes of the tumors were calculated by this formula: V=ab</w:t>
      </w:r>
      <w:r>
        <w:rPr>
          <w:rFonts w:ascii="Times New Roman" w:hAnsi="Times New Roman" w:eastAsia="AdvOTce3d9a73" w:cs="Times New Roman"/>
          <w:kern w:val="0"/>
          <w:sz w:val="24"/>
          <w:highlight w:val="none"/>
          <w:vertAlign w:val="superscript"/>
          <w:lang w:bidi="ar"/>
        </w:rPr>
        <w:t>2</w:t>
      </w:r>
      <w:r>
        <w:rPr>
          <w:rFonts w:ascii="Times New Roman" w:hAnsi="Times New Roman" w:eastAsia="AdvOTce3d9a73" w:cs="Times New Roman"/>
          <w:kern w:val="0"/>
          <w:sz w:val="24"/>
          <w:highlight w:val="none"/>
          <w:lang w:bidi="ar"/>
        </w:rPr>
        <w:t>/2 (a for length and b for width)</w:t>
      </w:r>
    </w:p>
    <w:p>
      <w:pPr>
        <w:spacing w:line="480" w:lineRule="auto"/>
        <w:ind w:firstLine="480" w:firstLineChars="200"/>
        <w:rPr>
          <w:rFonts w:ascii="Times New Roman" w:hAnsi="Times New Roman" w:eastAsia="AdvOTce3d9a73" w:cs="Times New Roman"/>
          <w:kern w:val="0"/>
          <w:sz w:val="24"/>
          <w:highlight w:val="none"/>
          <w:lang w:bidi="ar"/>
        </w:rPr>
      </w:pPr>
      <w:r>
        <w:rPr>
          <w:rFonts w:ascii="Times New Roman" w:hAnsi="Times New Roman" w:eastAsia="AdvOTce3d9a73" w:cs="Times New Roman"/>
          <w:kern w:val="0"/>
          <w:sz w:val="24"/>
          <w:highlight w:val="none"/>
          <w:lang w:bidi="ar"/>
        </w:rPr>
        <w:t>The tumor inhibition rates (TIR) were calculated according to the following formula:</w:t>
      </w:r>
    </w:p>
    <w:p>
      <w:pPr>
        <w:spacing w:line="480" w:lineRule="auto"/>
        <w:ind w:firstLine="480" w:firstLineChars="200"/>
        <w:rPr>
          <w:rFonts w:ascii="Times New Roman" w:hAnsi="Times New Roman" w:eastAsia="宋体" w:cs="Times New Roman"/>
          <w:kern w:val="0"/>
          <w:sz w:val="24"/>
          <w:highlight w:val="none"/>
          <w:lang w:bidi="ar"/>
        </w:rPr>
      </w:pPr>
      <m:oMath>
        <m:r>
          <m:rPr>
            <m:sty m:val="p"/>
          </m:rPr>
          <w:rPr>
            <w:rFonts w:ascii="Cambria Math" w:hAnsi="Cambria Math" w:eastAsia="宋体" w:cs="Times New Roman"/>
            <w:kern w:val="0"/>
            <w:sz w:val="24"/>
            <w:highlight w:val="none"/>
            <w:lang w:bidi="ar"/>
          </w:rPr>
          <m:t>TIR=(1−</m:t>
        </m:r>
        <m:f>
          <m:fPr>
            <m:ctrlPr>
              <w:rPr>
                <w:rFonts w:ascii="Cambria Math" w:hAnsi="Cambria Math" w:eastAsia="宋体" w:cs="Times New Roman"/>
                <w:kern w:val="0"/>
                <w:sz w:val="24"/>
                <w:highlight w:val="none"/>
                <w:lang w:bidi="ar"/>
              </w:rPr>
            </m:ctrlPr>
          </m:fPr>
          <m:num>
            <m:sSub>
              <m:sSubPr>
                <m:ctrlPr>
                  <w:rPr>
                    <w:rFonts w:ascii="Cambria Math" w:hAnsi="Cambria Math" w:eastAsia="宋体" w:cs="Times New Roman"/>
                    <w:kern w:val="0"/>
                    <w:sz w:val="24"/>
                    <w:highlight w:val="none"/>
                    <w:lang w:bidi="ar"/>
                  </w:rPr>
                </m:ctrlPr>
              </m:sSubPr>
              <m:e>
                <m:r>
                  <m:rPr/>
                  <w:rPr>
                    <w:rFonts w:ascii="Cambria Math" w:hAnsi="Cambria Math" w:eastAsia="宋体" w:cs="Times New Roman"/>
                    <w:kern w:val="0"/>
                    <w:sz w:val="24"/>
                    <w:highlight w:val="none"/>
                    <w:lang w:bidi="ar"/>
                  </w:rPr>
                  <m:t>RVT</m:t>
                </m:r>
                <m:ctrlPr>
                  <w:rPr>
                    <w:rFonts w:ascii="Cambria Math" w:hAnsi="Cambria Math" w:eastAsia="宋体" w:cs="Times New Roman"/>
                    <w:kern w:val="0"/>
                    <w:sz w:val="24"/>
                    <w:highlight w:val="none"/>
                    <w:lang w:bidi="ar"/>
                  </w:rPr>
                </m:ctrlPr>
              </m:e>
              <m:sub>
                <m:r>
                  <m:rPr/>
                  <w:rPr>
                    <w:rFonts w:ascii="Cambria Math" w:hAnsi="Cambria Math" w:eastAsia="宋体" w:cs="Times New Roman"/>
                    <w:kern w:val="0"/>
                    <w:sz w:val="24"/>
                    <w:highlight w:val="none"/>
                    <w:lang w:bidi="ar"/>
                  </w:rPr>
                  <m:t>experiment</m:t>
                </m:r>
                <m:ctrlPr>
                  <w:rPr>
                    <w:rFonts w:ascii="Cambria Math" w:hAnsi="Cambria Math" w:eastAsia="宋体" w:cs="Times New Roman"/>
                    <w:kern w:val="0"/>
                    <w:sz w:val="24"/>
                    <w:highlight w:val="none"/>
                    <w:lang w:bidi="ar"/>
                  </w:rPr>
                </m:ctrlPr>
              </m:sub>
            </m:sSub>
            <m:ctrlPr>
              <w:rPr>
                <w:rFonts w:ascii="Cambria Math" w:hAnsi="Cambria Math" w:eastAsia="宋体" w:cs="Times New Roman"/>
                <w:kern w:val="0"/>
                <w:sz w:val="24"/>
                <w:highlight w:val="none"/>
                <w:lang w:bidi="ar"/>
              </w:rPr>
            </m:ctrlPr>
          </m:num>
          <m:den>
            <m:sSub>
              <m:sSubPr>
                <m:ctrlPr>
                  <w:rPr>
                    <w:rFonts w:ascii="Cambria Math" w:hAnsi="Cambria Math" w:eastAsia="宋体" w:cs="Times New Roman"/>
                    <w:kern w:val="0"/>
                    <w:sz w:val="24"/>
                    <w:highlight w:val="none"/>
                    <w:lang w:bidi="ar"/>
                  </w:rPr>
                </m:ctrlPr>
              </m:sSubPr>
              <m:e>
                <m:r>
                  <m:rPr/>
                  <w:rPr>
                    <w:rFonts w:ascii="Cambria Math" w:hAnsi="Cambria Math" w:eastAsia="宋体" w:cs="Times New Roman"/>
                    <w:kern w:val="0"/>
                    <w:sz w:val="24"/>
                    <w:highlight w:val="none"/>
                    <w:lang w:bidi="ar"/>
                  </w:rPr>
                  <m:t>RVT</m:t>
                </m:r>
                <m:ctrlPr>
                  <w:rPr>
                    <w:rFonts w:ascii="Cambria Math" w:hAnsi="Cambria Math" w:eastAsia="宋体" w:cs="Times New Roman"/>
                    <w:kern w:val="0"/>
                    <w:sz w:val="24"/>
                    <w:highlight w:val="none"/>
                    <w:lang w:bidi="ar"/>
                  </w:rPr>
                </m:ctrlPr>
              </m:e>
              <m:sub>
                <m:r>
                  <m:rPr/>
                  <w:rPr>
                    <w:rFonts w:ascii="Cambria Math" w:hAnsi="Cambria Math" w:eastAsia="宋体" w:cs="Times New Roman"/>
                    <w:kern w:val="0"/>
                    <w:sz w:val="24"/>
                    <w:highlight w:val="none"/>
                    <w:lang w:bidi="ar"/>
                  </w:rPr>
                  <m:t>control</m:t>
                </m:r>
                <m:r>
                  <m:rPr>
                    <m:sty m:val="p"/>
                  </m:rPr>
                  <w:rPr>
                    <w:rFonts w:ascii="Cambria Math" w:hAnsi="Cambria Math" w:eastAsia="宋体" w:cs="Times New Roman"/>
                    <w:kern w:val="0"/>
                    <w:sz w:val="24"/>
                    <w:highlight w:val="none"/>
                    <w:lang w:bidi="ar"/>
                  </w:rPr>
                  <m:t xml:space="preserve"> </m:t>
                </m:r>
                <m:ctrlPr>
                  <w:rPr>
                    <w:rFonts w:ascii="Cambria Math" w:hAnsi="Cambria Math" w:eastAsia="宋体" w:cs="Times New Roman"/>
                    <w:kern w:val="0"/>
                    <w:sz w:val="24"/>
                    <w:highlight w:val="none"/>
                    <w:lang w:bidi="ar"/>
                  </w:rPr>
                </m:ctrlPr>
              </m:sub>
            </m:sSub>
            <m:ctrlPr>
              <w:rPr>
                <w:rFonts w:ascii="Cambria Math" w:hAnsi="Cambria Math" w:eastAsia="宋体" w:cs="Times New Roman"/>
                <w:kern w:val="0"/>
                <w:sz w:val="24"/>
                <w:highlight w:val="none"/>
                <w:lang w:bidi="ar"/>
              </w:rPr>
            </m:ctrlPr>
          </m:den>
        </m:f>
      </m:oMath>
      <w:r>
        <w:rPr>
          <w:rFonts w:hint="eastAsia" w:hAnsi="Cambria Math" w:eastAsia="宋体" w:cs="Times New Roman"/>
          <w:kern w:val="0"/>
          <w:sz w:val="24"/>
          <w:highlight w:val="none"/>
          <w:lang w:bidi="ar"/>
        </w:rPr>
        <w:t>)</w:t>
      </w:r>
      <w:r>
        <w:rPr>
          <w:rFonts w:ascii="Times New Roman" w:hAnsi="Times New Roman" w:eastAsia="宋体" w:cs="Times New Roman"/>
          <w:kern w:val="0"/>
          <w:sz w:val="24"/>
          <w:highlight w:val="none"/>
          <w:lang w:bidi="ar"/>
        </w:rPr>
        <w:t xml:space="preserve"> × 100%</w:t>
      </w:r>
    </w:p>
    <w:p>
      <w:pPr>
        <w:spacing w:line="480" w:lineRule="auto"/>
        <w:ind w:firstLine="480" w:firstLineChars="200"/>
        <w:rPr>
          <w:rFonts w:ascii="Times New Roman" w:hAnsi="Times New Roman" w:eastAsia="宋体" w:cs="Times New Roman"/>
          <w:kern w:val="0"/>
          <w:sz w:val="24"/>
          <w:highlight w:val="none"/>
          <w:lang w:bidi="ar"/>
        </w:rPr>
      </w:pPr>
    </w:p>
    <w:p>
      <w:pPr>
        <w:spacing w:before="156" w:beforeLines="50" w:line="480" w:lineRule="auto"/>
        <w:rPr>
          <w:rFonts w:ascii="Times New Roman" w:hAnsi="Times New Roman" w:eastAsia="AdvOTce3d9a73" w:cs="Times New Roman"/>
          <w:b/>
          <w:kern w:val="0"/>
          <w:sz w:val="24"/>
          <w:lang w:bidi="ar"/>
        </w:rPr>
      </w:pPr>
      <w:r>
        <w:rPr>
          <w:rFonts w:ascii="Times New Roman" w:hAnsi="Times New Roman" w:eastAsia="AdvOTce3d9a73" w:cs="Times New Roman"/>
          <w:b/>
          <w:kern w:val="0"/>
          <w:sz w:val="24"/>
          <w:lang w:bidi="ar"/>
        </w:rPr>
        <w:t>Statistical analysis</w:t>
      </w:r>
    </w:p>
    <w:p>
      <w:pPr>
        <w:spacing w:before="156" w:beforeLines="50" w:line="480" w:lineRule="auto"/>
        <w:rPr>
          <w:rFonts w:ascii="Times New Roman" w:hAnsi="Times New Roman" w:cs="Times New Roman"/>
          <w:kern w:val="0"/>
          <w:sz w:val="24"/>
          <w:lang w:bidi="ar"/>
        </w:rPr>
      </w:pPr>
      <w:r>
        <w:rPr>
          <w:rFonts w:ascii="Times New Roman" w:hAnsi="Times New Roman" w:eastAsia="AdvOTce3d9a73" w:cs="Times New Roman"/>
          <w:kern w:val="0"/>
          <w:sz w:val="24"/>
          <w:lang w:bidi="ar"/>
        </w:rPr>
        <w:t xml:space="preserve">All data </w:t>
      </w:r>
      <w:r>
        <w:rPr>
          <w:rFonts w:ascii="Times New Roman" w:hAnsi="Times New Roman" w:eastAsia="宋体" w:cs="Times New Roman"/>
          <w:kern w:val="0"/>
          <w:sz w:val="24"/>
          <w:lang w:bidi="ar"/>
        </w:rPr>
        <w:t>were</w:t>
      </w:r>
      <w:r>
        <w:rPr>
          <w:rFonts w:ascii="Times New Roman" w:hAnsi="Times New Roman" w:eastAsia="AdvOTce3d9a73" w:cs="Times New Roman"/>
          <w:kern w:val="0"/>
          <w:sz w:val="24"/>
          <w:lang w:bidi="ar"/>
        </w:rPr>
        <w:t xml:space="preserve"> </w:t>
      </w:r>
      <w:r>
        <w:rPr>
          <w:rFonts w:ascii="Times New Roman" w:hAnsi="Times New Roman" w:eastAsia="宋体" w:cs="Times New Roman"/>
          <w:kern w:val="0"/>
          <w:sz w:val="24"/>
          <w:lang w:bidi="ar"/>
        </w:rPr>
        <w:t>exhibited</w:t>
      </w:r>
      <w:r>
        <w:rPr>
          <w:rFonts w:ascii="Times New Roman" w:hAnsi="Times New Roman" w:eastAsia="AdvOTce3d9a73" w:cs="Times New Roman"/>
          <w:kern w:val="0"/>
          <w:sz w:val="24"/>
          <w:lang w:bidi="ar"/>
        </w:rPr>
        <w:t xml:space="preserve"> as mean ± standard deviation</w:t>
      </w:r>
      <w:r>
        <w:rPr>
          <w:rFonts w:ascii="Times New Roman" w:hAnsi="Times New Roman" w:eastAsia="宋体" w:cs="Times New Roman"/>
          <w:kern w:val="0"/>
          <w:sz w:val="24"/>
          <w:lang w:bidi="ar"/>
        </w:rPr>
        <w:t xml:space="preserve"> and the s</w:t>
      </w:r>
      <w:r>
        <w:rPr>
          <w:rFonts w:ascii="Times New Roman" w:hAnsi="Times New Roman" w:eastAsia="AdvOTce3d9a73" w:cs="Times New Roman"/>
          <w:kern w:val="0"/>
          <w:sz w:val="24"/>
          <w:lang w:bidi="ar"/>
        </w:rPr>
        <w:t xml:space="preserve">tatistical comparisons were </w:t>
      </w:r>
      <w:r>
        <w:rPr>
          <w:rFonts w:ascii="Times New Roman" w:hAnsi="Times New Roman" w:eastAsia="宋体" w:cs="Times New Roman"/>
          <w:kern w:val="0"/>
          <w:sz w:val="24"/>
          <w:lang w:bidi="ar"/>
        </w:rPr>
        <w:t>analyzed through</w:t>
      </w:r>
      <w:r>
        <w:rPr>
          <w:rFonts w:ascii="Times New Roman" w:hAnsi="Times New Roman" w:eastAsia="AdvOTce3d9a73" w:cs="Times New Roman"/>
          <w:kern w:val="0"/>
          <w:sz w:val="24"/>
          <w:lang w:bidi="ar"/>
        </w:rPr>
        <w:t xml:space="preserve"> Student’s two-sided t-test as *P &lt; 0.05, **P &lt; 0.01, and ***P &lt; 0.001.</w:t>
      </w:r>
    </w:p>
    <w:p>
      <w:pPr>
        <w:widowControl/>
        <w:spacing w:line="480" w:lineRule="auto"/>
        <w:rPr>
          <w:rFonts w:ascii="Times New Roman" w:hAnsi="Times New Roman" w:cs="Times New Roman"/>
          <w:b/>
          <w:sz w:val="36"/>
          <w:szCs w:val="36"/>
        </w:rPr>
      </w:pPr>
      <w:r>
        <w:rPr>
          <w:rFonts w:ascii="Times New Roman" w:hAnsi="Times New Roman" w:cs="Times New Roman"/>
          <w:b/>
          <w:sz w:val="36"/>
          <w:szCs w:val="36"/>
        </w:rPr>
        <w:br w:type="page"/>
      </w:r>
    </w:p>
    <w:p>
      <w:pPr>
        <w:spacing w:line="480" w:lineRule="auto"/>
        <w:rPr>
          <w:rFonts w:ascii="Times New Roman" w:hAnsi="Times New Roman" w:eastAsia="宋体" w:cs="Times New Roman"/>
          <w:iCs/>
          <w:color w:val="000000"/>
          <w:szCs w:val="21"/>
        </w:rPr>
      </w:pPr>
      <w:r>
        <w:rPr>
          <w:rFonts w:ascii="Times New Roman" w:hAnsi="Times New Roman" w:cs="Times New Roman"/>
          <w:b/>
          <w:sz w:val="24"/>
        </w:rPr>
        <w:t>Supplementary figures</w:t>
      </w:r>
    </w:p>
    <w:p>
      <w:pPr>
        <w:spacing w:line="480" w:lineRule="auto"/>
        <w:jc w:val="center"/>
        <w:rPr>
          <w:rFonts w:ascii="Times New Roman" w:hAnsi="Times New Roman" w:eastAsia="宋体" w:cs="Times New Roman"/>
          <w:iCs/>
          <w:color w:val="000000"/>
          <w:szCs w:val="21"/>
        </w:rPr>
      </w:pPr>
      <w:r>
        <w:rPr>
          <w:rFonts w:ascii="Times New Roman" w:hAnsi="Times New Roman" w:cs="Times New Roman"/>
        </w:rPr>
        <w:drawing>
          <wp:inline distT="0" distB="0" distL="0" distR="0">
            <wp:extent cx="2879725" cy="22174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cstate="print">
                      <a:extLst>
                        <a:ext uri="{28A0092B-C50C-407E-A947-70E740481C1C}">
                          <a14:useLocalDpi xmlns:a14="http://schemas.microsoft.com/office/drawing/2010/main" val="0"/>
                        </a:ext>
                      </a:extLst>
                    </a:blip>
                    <a:srcRect l="10744" t="2567" r="4917" b="7849"/>
                    <a:stretch>
                      <a:fillRect/>
                    </a:stretch>
                  </pic:blipFill>
                  <pic:spPr>
                    <a:xfrm>
                      <a:off x="0" y="0"/>
                      <a:ext cx="2880000" cy="2217600"/>
                    </a:xfrm>
                    <a:prstGeom prst="rect">
                      <a:avLst/>
                    </a:prstGeom>
                    <a:noFill/>
                    <a:ln>
                      <a:noFill/>
                    </a:ln>
                  </pic:spPr>
                </pic:pic>
              </a:graphicData>
            </a:graphic>
          </wp:inline>
        </w:drawing>
      </w:r>
    </w:p>
    <w:p>
      <w:pPr>
        <w:spacing w:line="480" w:lineRule="auto"/>
        <w:rPr>
          <w:rFonts w:ascii="Times New Roman" w:hAnsi="Times New Roman" w:eastAsia="宋体" w:cs="Times New Roman"/>
          <w:bCs/>
          <w:sz w:val="24"/>
          <w:highlight w:val="none"/>
        </w:rPr>
      </w:pPr>
      <w:r>
        <w:rPr>
          <w:rFonts w:ascii="Times New Roman" w:hAnsi="Times New Roman" w:eastAsia="宋体" w:cs="Times New Roman"/>
          <w:b/>
          <w:sz w:val="24"/>
          <w:highlight w:val="none"/>
        </w:rPr>
        <w:t xml:space="preserve">Figure S1. </w:t>
      </w:r>
      <w:r>
        <w:rPr>
          <w:rFonts w:ascii="Times New Roman" w:hAnsi="Times New Roman" w:eastAsia="宋体" w:cs="Times New Roman"/>
          <w:bCs/>
          <w:sz w:val="24"/>
          <w:highlight w:val="none"/>
        </w:rPr>
        <w:t>Cell viability of 4T1 and normal endothelial cells after incubated with various concentrations of PEG/Cu-BDC for 24 h, respectively.</w:t>
      </w:r>
    </w:p>
    <w:p>
      <w:pPr>
        <w:spacing w:line="480" w:lineRule="auto"/>
        <w:rPr>
          <w:rFonts w:ascii="Times New Roman" w:hAnsi="Times New Roman" w:eastAsia="宋体" w:cs="Times New Roman"/>
          <w:bCs/>
          <w:sz w:val="24"/>
          <w:highlight w:val="yellow"/>
        </w:rPr>
      </w:pPr>
    </w:p>
    <w:p>
      <w:pPr>
        <w:widowControl/>
        <w:jc w:val="left"/>
        <w:rPr>
          <w:rFonts w:ascii="Times New Roman" w:hAnsi="Times New Roman" w:eastAsia="宋体" w:cs="Times New Roman"/>
          <w:bCs/>
          <w:sz w:val="24"/>
        </w:rPr>
      </w:pPr>
    </w:p>
    <w:p>
      <w:pPr>
        <w:spacing w:line="480" w:lineRule="auto"/>
        <w:jc w:val="center"/>
        <w:rPr>
          <w:rFonts w:ascii="Times New Roman" w:hAnsi="Times New Roman" w:eastAsia="宋体" w:cs="Times New Roman"/>
          <w:b/>
          <w:sz w:val="24"/>
        </w:rPr>
      </w:pPr>
      <w:r>
        <w:rPr>
          <w:rFonts w:ascii="Times New Roman" w:hAnsi="Times New Roman" w:eastAsia="宋体" w:cs="Times New Roman"/>
          <w:b/>
          <w:sz w:val="24"/>
        </w:rPr>
        <w:drawing>
          <wp:inline distT="0" distB="0" distL="114300" distR="114300">
            <wp:extent cx="4747260" cy="2773045"/>
            <wp:effectExtent l="0" t="0" r="0" b="8255"/>
            <wp:docPr id="23" name="图片 23" descr="g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go-up"/>
                    <pic:cNvPicPr>
                      <a:picLocks noChangeAspect="1"/>
                    </pic:cNvPicPr>
                  </pic:nvPicPr>
                  <pic:blipFill>
                    <a:blip r:embed="rId6"/>
                    <a:srcRect l="1279" r="12431"/>
                    <a:stretch>
                      <a:fillRect/>
                    </a:stretch>
                  </pic:blipFill>
                  <pic:spPr>
                    <a:xfrm>
                      <a:off x="0" y="0"/>
                      <a:ext cx="4756053" cy="2778478"/>
                    </a:xfrm>
                    <a:prstGeom prst="rect">
                      <a:avLst/>
                    </a:prstGeom>
                    <a:ln>
                      <a:noFill/>
                    </a:ln>
                  </pic:spPr>
                </pic:pic>
              </a:graphicData>
            </a:graphic>
          </wp:inline>
        </w:drawing>
      </w:r>
    </w:p>
    <w:p>
      <w:pPr>
        <w:spacing w:line="480" w:lineRule="auto"/>
        <w:rPr>
          <w:rFonts w:ascii="Times New Roman" w:hAnsi="Times New Roman" w:cs="Times New Roman"/>
          <w:sz w:val="24"/>
        </w:rPr>
      </w:pPr>
      <w:r>
        <w:rPr>
          <w:rFonts w:ascii="Times New Roman" w:hAnsi="Times New Roman" w:cs="Times New Roman"/>
          <w:b/>
          <w:sz w:val="24"/>
        </w:rPr>
        <w:t>Figures S2.</w:t>
      </w:r>
      <w:r>
        <w:rPr>
          <w:rFonts w:ascii="Times New Roman" w:hAnsi="Times New Roman" w:cs="Times New Roman"/>
          <w:sz w:val="24"/>
        </w:rPr>
        <w:t xml:space="preserve"> The GO enriched pathways ranked top ten in terms of credibility in biological process. (P-value &lt; 0.05)</w:t>
      </w:r>
    </w:p>
    <w:p>
      <w:pPr>
        <w:widowControl/>
        <w:jc w:val="left"/>
        <w:rPr>
          <w:rFonts w:ascii="Times New Roman" w:hAnsi="Times New Roman" w:eastAsia="宋体" w:cs="Times New Roman"/>
          <w:sz w:val="24"/>
        </w:rPr>
      </w:pPr>
      <w:r>
        <w:rPr>
          <w:rFonts w:ascii="Times New Roman" w:hAnsi="Times New Roman" w:eastAsia="宋体" w:cs="Times New Roman"/>
          <w:sz w:val="24"/>
        </w:rPr>
        <w:br w:type="page"/>
      </w:r>
    </w:p>
    <w:p>
      <w:pPr>
        <w:spacing w:line="480" w:lineRule="auto"/>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4641850" cy="2680335"/>
            <wp:effectExtent l="0" t="0" r="6350" b="5715"/>
            <wp:docPr id="24" name="图片 24" descr="go-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go-down"/>
                    <pic:cNvPicPr>
                      <a:picLocks noChangeAspect="1"/>
                    </pic:cNvPicPr>
                  </pic:nvPicPr>
                  <pic:blipFill>
                    <a:blip r:embed="rId7"/>
                    <a:srcRect l="10507" r="8457"/>
                    <a:stretch>
                      <a:fillRect/>
                    </a:stretch>
                  </pic:blipFill>
                  <pic:spPr>
                    <a:xfrm>
                      <a:off x="0" y="0"/>
                      <a:ext cx="4651786" cy="2685790"/>
                    </a:xfrm>
                    <a:prstGeom prst="rect">
                      <a:avLst/>
                    </a:prstGeom>
                    <a:ln>
                      <a:noFill/>
                    </a:ln>
                  </pic:spPr>
                </pic:pic>
              </a:graphicData>
            </a:graphic>
          </wp:inline>
        </w:drawing>
      </w:r>
    </w:p>
    <w:p>
      <w:pPr>
        <w:spacing w:line="480" w:lineRule="auto"/>
        <w:rPr>
          <w:rFonts w:ascii="Times New Roman" w:hAnsi="Times New Roman" w:cs="Times New Roman"/>
          <w:sz w:val="24"/>
        </w:rPr>
      </w:pPr>
      <w:r>
        <w:rPr>
          <w:rFonts w:ascii="Times New Roman" w:hAnsi="Times New Roman" w:cs="Times New Roman"/>
          <w:b/>
          <w:sz w:val="24"/>
        </w:rPr>
        <w:t>Figures S3.</w:t>
      </w:r>
      <w:r>
        <w:rPr>
          <w:rFonts w:ascii="Times New Roman" w:hAnsi="Times New Roman" w:cs="Times New Roman"/>
          <w:sz w:val="24"/>
        </w:rPr>
        <w:t xml:space="preserve"> The GO descending pathways ranked top ten in terms of credibility in biological process. (P-value &lt; 0.05)</w:t>
      </w:r>
    </w:p>
    <w:p>
      <w:pPr>
        <w:widowControl/>
        <w:spacing w:line="480" w:lineRule="auto"/>
        <w:jc w:val="left"/>
        <w:rPr>
          <w:rFonts w:ascii="Times New Roman" w:hAnsi="Times New Roman" w:eastAsia="宋体" w:cs="Times New Roman"/>
          <w:sz w:val="24"/>
        </w:rPr>
      </w:pPr>
    </w:p>
    <w:p>
      <w:pPr>
        <w:spacing w:line="480" w:lineRule="auto"/>
        <w:jc w:val="center"/>
        <w:rPr>
          <w:rFonts w:ascii="Times New Roman" w:hAnsi="Times New Roman" w:eastAsia="宋体" w:cs="Times New Roman"/>
          <w:sz w:val="24"/>
        </w:rPr>
      </w:pPr>
    </w:p>
    <w:p>
      <w:pPr>
        <w:spacing w:line="480" w:lineRule="auto"/>
        <w:jc w:val="center"/>
        <w:rPr>
          <w:rFonts w:ascii="Times New Roman" w:hAnsi="Times New Roman" w:cs="Times New Roman"/>
          <w:sz w:val="24"/>
        </w:rPr>
      </w:pPr>
      <w:r>
        <w:rPr>
          <w:rFonts w:ascii="Times New Roman" w:hAnsi="Times New Roman" w:cs="Times New Roman"/>
          <w:sz w:val="24"/>
        </w:rPr>
        <w:drawing>
          <wp:inline distT="0" distB="0" distL="114300" distR="114300">
            <wp:extent cx="5484495" cy="2943860"/>
            <wp:effectExtent l="0" t="0" r="1905" b="25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5484495" cy="2943860"/>
                    </a:xfrm>
                    <a:prstGeom prst="rect">
                      <a:avLst/>
                    </a:prstGeom>
                  </pic:spPr>
                </pic:pic>
              </a:graphicData>
            </a:graphic>
          </wp:inline>
        </w:drawing>
      </w:r>
    </w:p>
    <w:p>
      <w:pPr>
        <w:spacing w:line="480" w:lineRule="auto"/>
        <w:rPr>
          <w:rFonts w:ascii="Times New Roman" w:hAnsi="Times New Roman" w:cs="Times New Roman"/>
          <w:sz w:val="24"/>
        </w:rPr>
      </w:pPr>
      <w:r>
        <w:rPr>
          <w:rFonts w:ascii="Times New Roman" w:hAnsi="Times New Roman" w:cs="Times New Roman"/>
          <w:b/>
          <w:sz w:val="24"/>
        </w:rPr>
        <w:t>Figures S4.</w:t>
      </w:r>
      <w:r>
        <w:rPr>
          <w:rFonts w:ascii="Times New Roman" w:hAnsi="Times New Roman" w:cs="Times New Roman"/>
          <w:sz w:val="24"/>
        </w:rPr>
        <w:t xml:space="preserve"> Illustration of ferroptosis signaling pathway. The red blocks represent up-regulated genes.</w:t>
      </w:r>
    </w:p>
    <w:p>
      <w:pPr>
        <w:widowControl/>
        <w:spacing w:line="480" w:lineRule="auto"/>
        <w:jc w:val="left"/>
        <w:rPr>
          <w:rFonts w:ascii="Times New Roman" w:hAnsi="Times New Roman" w:cs="Times New Roman"/>
          <w:sz w:val="24"/>
        </w:rPr>
      </w:pPr>
      <w:r>
        <w:rPr>
          <w:rFonts w:ascii="Times New Roman" w:hAnsi="Times New Roman" w:cs="Times New Roman"/>
          <w:sz w:val="24"/>
        </w:rPr>
        <w:br w:type="page"/>
      </w:r>
    </w:p>
    <w:p>
      <w:pPr>
        <w:spacing w:line="480" w:lineRule="auto"/>
        <w:jc w:val="center"/>
        <w:rPr>
          <w:rFonts w:ascii="Times New Roman" w:hAnsi="Times New Roman" w:cs="Times New Roman"/>
          <w:b/>
          <w:sz w:val="24"/>
        </w:rPr>
      </w:pPr>
      <w:r>
        <w:rPr>
          <w:rFonts w:ascii="Times New Roman" w:hAnsi="Times New Roman" w:cs="Times New Roman"/>
          <w:b/>
          <w:sz w:val="24"/>
        </w:rPr>
        <w:drawing>
          <wp:inline distT="0" distB="0" distL="114300" distR="114300">
            <wp:extent cx="5507355" cy="7428865"/>
            <wp:effectExtent l="0" t="0" r="0" b="635"/>
            <wp:docPr id="3" name="图片 3" desc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I"/>
                    <pic:cNvPicPr>
                      <a:picLocks noChangeAspect="1"/>
                    </pic:cNvPicPr>
                  </pic:nvPicPr>
                  <pic:blipFill>
                    <a:blip r:embed="rId9"/>
                    <a:srcRect r="3344"/>
                    <a:stretch>
                      <a:fillRect/>
                    </a:stretch>
                  </pic:blipFill>
                  <pic:spPr>
                    <a:xfrm>
                      <a:off x="0" y="0"/>
                      <a:ext cx="5509031" cy="7431342"/>
                    </a:xfrm>
                    <a:prstGeom prst="rect">
                      <a:avLst/>
                    </a:prstGeom>
                    <a:ln>
                      <a:noFill/>
                    </a:ln>
                  </pic:spPr>
                </pic:pic>
              </a:graphicData>
            </a:graphic>
          </wp:inline>
        </w:drawing>
      </w:r>
    </w:p>
    <w:p>
      <w:pPr>
        <w:spacing w:line="480" w:lineRule="auto"/>
        <w:rPr>
          <w:rFonts w:ascii="Times New Roman" w:hAnsi="Times New Roman" w:eastAsia="AdvOTce3d9a73" w:cs="Times New Roman"/>
          <w:color w:val="000000"/>
          <w:kern w:val="0"/>
          <w:sz w:val="24"/>
          <w:lang w:bidi="ar"/>
        </w:rPr>
      </w:pPr>
      <w:r>
        <w:rPr>
          <w:rFonts w:ascii="Times New Roman" w:hAnsi="Times New Roman" w:cs="Times New Roman"/>
          <w:b/>
          <w:bCs/>
          <w:sz w:val="24"/>
        </w:rPr>
        <w:t xml:space="preserve">Figure S5. </w:t>
      </w:r>
      <w:r>
        <w:rPr>
          <w:rFonts w:ascii="Times New Roman" w:hAnsi="Times New Roman" w:cs="Times New Roman"/>
          <w:sz w:val="24"/>
        </w:rPr>
        <w:t xml:space="preserve">Routine blood parameters and serum biochemical indexes </w:t>
      </w:r>
      <w:r>
        <w:rPr>
          <w:rFonts w:ascii="Times New Roman" w:hAnsi="Times New Roman" w:eastAsia="AdvOTce3d9a73" w:cs="Times New Roman"/>
          <w:color w:val="000000"/>
          <w:kern w:val="0"/>
          <w:sz w:val="24"/>
          <w:lang w:bidi="ar"/>
        </w:rPr>
        <w:t xml:space="preserve">of female Kunming mice after intravenous injection with </w:t>
      </w:r>
      <w:r>
        <w:rPr>
          <w:rFonts w:ascii="Times New Roman" w:hAnsi="Times New Roman" w:eastAsia="宋体" w:cs="Times New Roman"/>
          <w:color w:val="000000"/>
          <w:kern w:val="0"/>
          <w:sz w:val="24"/>
          <w:lang w:bidi="ar"/>
        </w:rPr>
        <w:t>10</w:t>
      </w:r>
      <w:r>
        <w:rPr>
          <w:rFonts w:ascii="Times New Roman" w:hAnsi="Times New Roman" w:eastAsia="AdvOTce3d9a73" w:cs="Times New Roman"/>
          <w:color w:val="000000"/>
          <w:kern w:val="0"/>
          <w:sz w:val="24"/>
          <w:lang w:bidi="ar"/>
        </w:rPr>
        <w:t xml:space="preserve"> or </w:t>
      </w:r>
      <w:r>
        <w:rPr>
          <w:rFonts w:ascii="Times New Roman" w:hAnsi="Times New Roman" w:eastAsia="宋体" w:cs="Times New Roman"/>
          <w:color w:val="000000"/>
          <w:kern w:val="0"/>
          <w:sz w:val="24"/>
          <w:lang w:bidi="ar"/>
        </w:rPr>
        <w:t>20</w:t>
      </w:r>
      <w:r>
        <w:rPr>
          <w:rFonts w:ascii="Times New Roman" w:hAnsi="Times New Roman" w:eastAsia="AdvOTce3d9a73" w:cs="Times New Roman"/>
          <w:color w:val="000000"/>
          <w:kern w:val="0"/>
          <w:sz w:val="24"/>
          <w:lang w:bidi="ar"/>
        </w:rPr>
        <w:t xml:space="preserve"> mg </w:t>
      </w:r>
      <w:r>
        <w:rPr>
          <w:rFonts w:ascii="Times New Roman" w:hAnsi="Times New Roman" w:eastAsia="宋体" w:cs="Times New Roman"/>
          <w:color w:val="000000"/>
          <w:kern w:val="0"/>
          <w:sz w:val="24"/>
          <w:lang w:bidi="ar"/>
        </w:rPr>
        <w:t>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 xml:space="preserve"> of PEG/Cu-BDC at the 0, 3</w:t>
      </w:r>
      <w:r>
        <w:rPr>
          <w:rFonts w:ascii="Times New Roman" w:hAnsi="Times New Roman" w:eastAsia="AdvOTce3d9a73" w:cs="Times New Roman"/>
          <w:color w:val="000000"/>
          <w:kern w:val="0"/>
          <w:sz w:val="24"/>
          <w:vertAlign w:val="superscript"/>
          <w:lang w:bidi="ar"/>
        </w:rPr>
        <w:t>rd</w:t>
      </w:r>
      <w:r>
        <w:rPr>
          <w:rFonts w:ascii="Times New Roman" w:hAnsi="Times New Roman" w:eastAsia="AdvOTce3d9a73" w:cs="Times New Roman"/>
          <w:color w:val="000000"/>
          <w:kern w:val="0"/>
          <w:sz w:val="24"/>
          <w:lang w:bidi="ar"/>
        </w:rPr>
        <w:t>, 7</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15</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and 30</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xml:space="preserve"> day, respectively (</w:t>
      </w:r>
      <w:r>
        <w:rPr>
          <w:rFonts w:ascii="Times New Roman" w:hAnsi="Times New Roman" w:eastAsia="宋体" w:cs="Times New Roman"/>
          <w:color w:val="000000"/>
          <w:kern w:val="0"/>
          <w:sz w:val="24"/>
          <w:lang w:bidi="ar"/>
        </w:rPr>
        <w:t>red</w:t>
      </w:r>
      <w:r>
        <w:rPr>
          <w:rFonts w:ascii="Times New Roman" w:hAnsi="Times New Roman" w:eastAsia="AdvOTce3d9a73" w:cs="Times New Roman"/>
          <w:color w:val="000000"/>
          <w:kern w:val="0"/>
          <w:sz w:val="24"/>
          <w:lang w:bidi="ar"/>
        </w:rPr>
        <w:t xml:space="preserve"> and </w:t>
      </w:r>
      <w:r>
        <w:rPr>
          <w:rFonts w:ascii="Times New Roman" w:hAnsi="Times New Roman" w:eastAsia="宋体" w:cs="Times New Roman"/>
          <w:color w:val="000000"/>
          <w:kern w:val="0"/>
          <w:sz w:val="24"/>
          <w:lang w:bidi="ar"/>
        </w:rPr>
        <w:t xml:space="preserve">yellow </w:t>
      </w:r>
      <w:r>
        <w:rPr>
          <w:rFonts w:ascii="Times New Roman" w:hAnsi="Times New Roman" w:eastAsia="AdvOTce3d9a73" w:cs="Times New Roman"/>
          <w:color w:val="000000"/>
          <w:kern w:val="0"/>
          <w:sz w:val="24"/>
          <w:lang w:bidi="ar"/>
        </w:rPr>
        <w:t xml:space="preserve">for </w:t>
      </w:r>
      <w:r>
        <w:rPr>
          <w:rFonts w:ascii="Times New Roman" w:hAnsi="Times New Roman" w:eastAsia="宋体" w:cs="Times New Roman"/>
          <w:color w:val="000000"/>
          <w:kern w:val="0"/>
          <w:sz w:val="24"/>
          <w:lang w:bidi="ar"/>
        </w:rPr>
        <w:t>10</w:t>
      </w:r>
      <w:r>
        <w:rPr>
          <w:rFonts w:ascii="Times New Roman" w:hAnsi="Times New Roman" w:eastAsia="AdvOTce3d9a73" w:cs="Times New Roman"/>
          <w:color w:val="000000"/>
          <w:kern w:val="0"/>
          <w:sz w:val="24"/>
          <w:lang w:bidi="ar"/>
        </w:rPr>
        <w:t xml:space="preserve"> mg</w:t>
      </w:r>
      <w:r>
        <w:rPr>
          <w:rFonts w:ascii="Times New Roman" w:hAnsi="Times New Roman" w:eastAsia="宋体" w:cs="Times New Roman"/>
          <w:color w:val="000000"/>
          <w:kern w:val="0"/>
          <w:sz w:val="24"/>
          <w:lang w:bidi="ar"/>
        </w:rPr>
        <w:t xml:space="preserve"> 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 blue and</w:t>
      </w:r>
      <w:r>
        <w:rPr>
          <w:rFonts w:ascii="Times New Roman" w:hAnsi="Times New Roman" w:eastAsia="宋体" w:cs="Times New Roman"/>
          <w:color w:val="000000"/>
          <w:kern w:val="0"/>
          <w:sz w:val="24"/>
          <w:lang w:bidi="ar"/>
        </w:rPr>
        <w:t xml:space="preserve"> green</w:t>
      </w:r>
      <w:r>
        <w:rPr>
          <w:rFonts w:ascii="Times New Roman" w:hAnsi="Times New Roman" w:eastAsia="AdvOTce3d9a73" w:cs="Times New Roman"/>
          <w:color w:val="000000"/>
          <w:kern w:val="0"/>
          <w:sz w:val="24"/>
          <w:lang w:bidi="ar"/>
        </w:rPr>
        <w:t xml:space="preserve"> for </w:t>
      </w:r>
      <w:r>
        <w:rPr>
          <w:rFonts w:ascii="Times New Roman" w:hAnsi="Times New Roman" w:eastAsia="宋体" w:cs="Times New Roman"/>
          <w:color w:val="000000"/>
          <w:kern w:val="0"/>
          <w:sz w:val="24"/>
          <w:lang w:bidi="ar"/>
        </w:rPr>
        <w:t>20</w:t>
      </w:r>
      <w:r>
        <w:rPr>
          <w:rFonts w:ascii="Times New Roman" w:hAnsi="Times New Roman" w:eastAsia="AdvOTce3d9a73" w:cs="Times New Roman"/>
          <w:color w:val="000000"/>
          <w:kern w:val="0"/>
          <w:sz w:val="24"/>
          <w:lang w:bidi="ar"/>
        </w:rPr>
        <w:t xml:space="preserve"> mg </w:t>
      </w:r>
      <w:r>
        <w:rPr>
          <w:rFonts w:ascii="Times New Roman" w:hAnsi="Times New Roman" w:eastAsia="宋体" w:cs="Times New Roman"/>
          <w:color w:val="000000"/>
          <w:kern w:val="0"/>
          <w:sz w:val="24"/>
          <w:lang w:bidi="ar"/>
        </w:rPr>
        <w:t>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w:t>
      </w:r>
    </w:p>
    <w:p>
      <w:pPr>
        <w:spacing w:line="480" w:lineRule="auto"/>
        <w:jc w:val="center"/>
        <w:rPr>
          <w:rFonts w:ascii="Times New Roman" w:hAnsi="Times New Roman" w:cs="Times New Roman"/>
          <w:sz w:val="24"/>
        </w:rPr>
      </w:pPr>
      <w:r>
        <w:rPr>
          <w:rFonts w:ascii="Times New Roman" w:hAnsi="Times New Roman" w:cs="Times New Roman"/>
          <w:sz w:val="24"/>
        </w:rPr>
        <w:drawing>
          <wp:inline distT="0" distB="0" distL="114300" distR="114300">
            <wp:extent cx="4619625" cy="3506470"/>
            <wp:effectExtent l="0" t="0" r="9525" b="0"/>
            <wp:docPr id="2" name="图片 2" descr="低浓度安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低浓度安评"/>
                    <pic:cNvPicPr>
                      <a:picLocks noChangeAspect="1"/>
                    </pic:cNvPicPr>
                  </pic:nvPicPr>
                  <pic:blipFill>
                    <a:blip r:embed="rId10" cstate="print"/>
                    <a:stretch>
                      <a:fillRect/>
                    </a:stretch>
                  </pic:blipFill>
                  <pic:spPr>
                    <a:xfrm>
                      <a:off x="0" y="0"/>
                      <a:ext cx="4628453" cy="3512995"/>
                    </a:xfrm>
                    <a:prstGeom prst="rect">
                      <a:avLst/>
                    </a:prstGeom>
                  </pic:spPr>
                </pic:pic>
              </a:graphicData>
            </a:graphic>
          </wp:inline>
        </w:drawing>
      </w:r>
    </w:p>
    <w:p>
      <w:pPr>
        <w:spacing w:line="480" w:lineRule="auto"/>
        <w:rPr>
          <w:rFonts w:ascii="Times New Roman" w:hAnsi="Times New Roman" w:eastAsia="AdvOTce3d9a73" w:cs="Times New Roman"/>
          <w:color w:val="000000"/>
          <w:kern w:val="0"/>
          <w:sz w:val="24"/>
          <w:lang w:bidi="ar"/>
        </w:rPr>
      </w:pPr>
      <w:bookmarkStart w:id="12" w:name="_Hlk25755372"/>
      <w:bookmarkStart w:id="13" w:name="OLE_LINK57"/>
      <w:r>
        <w:rPr>
          <w:rFonts w:ascii="Times New Roman" w:hAnsi="Times New Roman" w:cs="Times New Roman"/>
          <w:b/>
          <w:bCs/>
          <w:sz w:val="24"/>
        </w:rPr>
        <w:t>Figure S</w:t>
      </w:r>
      <w:bookmarkEnd w:id="12"/>
      <w:bookmarkEnd w:id="13"/>
      <w:r>
        <w:rPr>
          <w:rFonts w:ascii="Times New Roman" w:hAnsi="Times New Roman" w:cs="Times New Roman"/>
          <w:b/>
          <w:bCs/>
          <w:sz w:val="24"/>
        </w:rPr>
        <w:t xml:space="preserve">6. </w:t>
      </w:r>
      <w:r>
        <w:rPr>
          <w:rFonts w:ascii="Times New Roman" w:hAnsi="Times New Roman" w:cs="Times New Roman"/>
          <w:sz w:val="24"/>
        </w:rPr>
        <w:t>H&amp;E staining images of m</w:t>
      </w:r>
      <w:r>
        <w:rPr>
          <w:rFonts w:ascii="Times New Roman" w:hAnsi="Times New Roman" w:eastAsia="AdvOTce3d9a73" w:cs="Times New Roman"/>
          <w:color w:val="000000"/>
          <w:kern w:val="0"/>
          <w:sz w:val="24"/>
          <w:lang w:bidi="ar"/>
        </w:rPr>
        <w:t xml:space="preserve">ajor organs (heart, liver, spleen, lung, and kidney) from female Kunming mice after injection with </w:t>
      </w:r>
      <w:r>
        <w:rPr>
          <w:rFonts w:ascii="Times New Roman" w:hAnsi="Times New Roman" w:eastAsia="宋体" w:cs="Times New Roman"/>
          <w:color w:val="000000"/>
          <w:kern w:val="0"/>
          <w:sz w:val="24"/>
          <w:lang w:bidi="ar"/>
        </w:rPr>
        <w:t>10</w:t>
      </w:r>
      <w:r>
        <w:rPr>
          <w:rFonts w:ascii="Times New Roman" w:hAnsi="Times New Roman" w:eastAsia="AdvOTce3d9a73" w:cs="Times New Roman"/>
          <w:color w:val="000000"/>
          <w:kern w:val="0"/>
          <w:sz w:val="24"/>
          <w:lang w:bidi="ar"/>
        </w:rPr>
        <w:t xml:space="preserve"> mg </w:t>
      </w:r>
      <w:r>
        <w:rPr>
          <w:rFonts w:ascii="Times New Roman" w:hAnsi="Times New Roman" w:eastAsia="宋体" w:cs="Times New Roman"/>
          <w:color w:val="000000"/>
          <w:kern w:val="0"/>
          <w:sz w:val="24"/>
          <w:lang w:bidi="ar"/>
        </w:rPr>
        <w:t>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 xml:space="preserve"> of PEG/Cu-BDC at the 0, 3</w:t>
      </w:r>
      <w:r>
        <w:rPr>
          <w:rFonts w:ascii="Times New Roman" w:hAnsi="Times New Roman" w:eastAsia="AdvOTce3d9a73" w:cs="Times New Roman"/>
          <w:color w:val="000000"/>
          <w:kern w:val="0"/>
          <w:sz w:val="24"/>
          <w:vertAlign w:val="superscript"/>
          <w:lang w:bidi="ar"/>
        </w:rPr>
        <w:t>rd</w:t>
      </w:r>
      <w:r>
        <w:rPr>
          <w:rFonts w:ascii="Times New Roman" w:hAnsi="Times New Roman" w:eastAsia="AdvOTce3d9a73" w:cs="Times New Roman"/>
          <w:color w:val="000000"/>
          <w:kern w:val="0"/>
          <w:sz w:val="24"/>
          <w:lang w:bidi="ar"/>
        </w:rPr>
        <w:t>, 7</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15</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and 30</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xml:space="preserve"> day </w:t>
      </w:r>
      <w:r>
        <w:rPr>
          <w:rFonts w:ascii="Times New Roman" w:hAnsi="Times New Roman" w:eastAsia="AdvOTce3d9a73" w:cs="Times New Roman"/>
          <w:kern w:val="0"/>
          <w:sz w:val="24"/>
          <w:lang w:bidi="ar"/>
        </w:rPr>
        <w:t xml:space="preserve">(Scale bar: </w:t>
      </w:r>
      <w:r>
        <w:rPr>
          <w:rFonts w:ascii="Times New Roman" w:hAnsi="Times New Roman" w:cs="Times New Roman"/>
          <w:kern w:val="0"/>
          <w:sz w:val="24"/>
          <w:lang w:bidi="ar"/>
        </w:rPr>
        <w:t>100</w:t>
      </w:r>
      <w:r>
        <w:rPr>
          <w:rFonts w:ascii="Times New Roman" w:hAnsi="Times New Roman" w:eastAsia="AdvOTce3d9a73" w:cs="Times New Roman"/>
          <w:kern w:val="0"/>
          <w:sz w:val="24"/>
          <w:lang w:bidi="ar"/>
        </w:rPr>
        <w:t xml:space="preserve"> </w:t>
      </w:r>
      <w:r>
        <w:rPr>
          <w:rFonts w:ascii="Times New Roman" w:hAnsi="Times New Roman" w:cs="Times New Roman"/>
          <w:sz w:val="24"/>
        </w:rPr>
        <w:t>μ</w:t>
      </w:r>
      <w:r>
        <w:rPr>
          <w:rFonts w:ascii="Times New Roman" w:hAnsi="Times New Roman" w:eastAsia="AdvOTce3d9a73" w:cs="Times New Roman"/>
          <w:kern w:val="0"/>
          <w:sz w:val="24"/>
          <w:lang w:bidi="ar"/>
        </w:rPr>
        <w:t>m).</w:t>
      </w:r>
    </w:p>
    <w:p>
      <w:pPr>
        <w:widowControl/>
        <w:spacing w:line="480" w:lineRule="auto"/>
        <w:jc w:val="left"/>
        <w:rPr>
          <w:rFonts w:ascii="Times New Roman" w:hAnsi="Times New Roman" w:cs="Times New Roman"/>
          <w:color w:val="000000"/>
          <w:kern w:val="0"/>
          <w:sz w:val="24"/>
          <w:lang w:bidi="ar"/>
        </w:rPr>
      </w:pPr>
      <w:r>
        <w:rPr>
          <w:rFonts w:ascii="Times New Roman" w:hAnsi="Times New Roman" w:eastAsia="AdvOTce3d9a73" w:cs="Times New Roman"/>
          <w:color w:val="000000"/>
          <w:kern w:val="0"/>
          <w:sz w:val="24"/>
          <w:lang w:bidi="ar"/>
        </w:rPr>
        <w:br w:type="page"/>
      </w:r>
    </w:p>
    <w:p>
      <w:pPr>
        <w:spacing w:line="480" w:lineRule="auto"/>
        <w:jc w:val="center"/>
        <w:rPr>
          <w:rFonts w:ascii="Times New Roman" w:hAnsi="Times New Roman" w:cs="Times New Roman"/>
          <w:sz w:val="24"/>
        </w:rPr>
      </w:pPr>
    </w:p>
    <w:p>
      <w:pPr>
        <w:spacing w:line="480" w:lineRule="auto"/>
        <w:jc w:val="center"/>
        <w:rPr>
          <w:rFonts w:ascii="Times New Roman" w:hAnsi="Times New Roman" w:cs="Times New Roman"/>
          <w:b/>
          <w:sz w:val="24"/>
        </w:rPr>
      </w:pPr>
      <w:r>
        <w:rPr>
          <w:rFonts w:ascii="Times New Roman" w:hAnsi="Times New Roman" w:cs="Times New Roman"/>
          <w:b/>
          <w:sz w:val="24"/>
        </w:rPr>
        <w:drawing>
          <wp:inline distT="0" distB="0" distL="114300" distR="114300">
            <wp:extent cx="4375785" cy="3259455"/>
            <wp:effectExtent l="0" t="0" r="5715" b="0"/>
            <wp:docPr id="4" name="图片 4" descr="高浓度安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高浓度安评"/>
                    <pic:cNvPicPr>
                      <a:picLocks noChangeAspect="1"/>
                    </pic:cNvPicPr>
                  </pic:nvPicPr>
                  <pic:blipFill>
                    <a:blip r:embed="rId11" cstate="print"/>
                    <a:stretch>
                      <a:fillRect/>
                    </a:stretch>
                  </pic:blipFill>
                  <pic:spPr>
                    <a:xfrm>
                      <a:off x="0" y="0"/>
                      <a:ext cx="4378650" cy="3262094"/>
                    </a:xfrm>
                    <a:prstGeom prst="rect">
                      <a:avLst/>
                    </a:prstGeom>
                  </pic:spPr>
                </pic:pic>
              </a:graphicData>
            </a:graphic>
          </wp:inline>
        </w:drawing>
      </w:r>
    </w:p>
    <w:p>
      <w:pPr>
        <w:spacing w:line="480" w:lineRule="auto"/>
        <w:rPr>
          <w:rFonts w:ascii="Times New Roman" w:hAnsi="Times New Roman" w:cs="Times New Roman"/>
          <w:color w:val="000000"/>
          <w:kern w:val="0"/>
          <w:sz w:val="24"/>
          <w:lang w:bidi="ar"/>
        </w:rPr>
      </w:pPr>
      <w:r>
        <w:rPr>
          <w:rFonts w:ascii="Times New Roman" w:hAnsi="Times New Roman" w:cs="Times New Roman"/>
          <w:b/>
          <w:bCs/>
          <w:sz w:val="24"/>
        </w:rPr>
        <w:t xml:space="preserve">Figure S7. </w:t>
      </w:r>
      <w:r>
        <w:rPr>
          <w:rFonts w:ascii="Times New Roman" w:hAnsi="Times New Roman" w:cs="Times New Roman"/>
          <w:sz w:val="24"/>
        </w:rPr>
        <w:t>H&amp;E staining of m</w:t>
      </w:r>
      <w:r>
        <w:rPr>
          <w:rFonts w:ascii="Times New Roman" w:hAnsi="Times New Roman" w:eastAsia="AdvOTce3d9a73" w:cs="Times New Roman"/>
          <w:color w:val="000000"/>
          <w:kern w:val="0"/>
          <w:sz w:val="24"/>
          <w:lang w:bidi="ar"/>
        </w:rPr>
        <w:t xml:space="preserve">ajor organs (heart, liver, spleen, lung, and kidney) from female Kunming mice after intravenous injection with </w:t>
      </w:r>
      <w:r>
        <w:rPr>
          <w:rFonts w:ascii="Times New Roman" w:hAnsi="Times New Roman" w:eastAsia="宋体" w:cs="Times New Roman"/>
          <w:color w:val="000000"/>
          <w:kern w:val="0"/>
          <w:sz w:val="24"/>
          <w:lang w:bidi="ar"/>
        </w:rPr>
        <w:t>20</w:t>
      </w:r>
      <w:r>
        <w:rPr>
          <w:rFonts w:ascii="Times New Roman" w:hAnsi="Times New Roman" w:eastAsia="AdvOTce3d9a73" w:cs="Times New Roman"/>
          <w:color w:val="000000"/>
          <w:kern w:val="0"/>
          <w:sz w:val="24"/>
          <w:lang w:bidi="ar"/>
        </w:rPr>
        <w:t xml:space="preserve"> mg </w:t>
      </w:r>
      <w:r>
        <w:rPr>
          <w:rFonts w:ascii="Times New Roman" w:hAnsi="Times New Roman" w:eastAsia="宋体" w:cs="Times New Roman"/>
          <w:color w:val="000000"/>
          <w:kern w:val="0"/>
          <w:sz w:val="24"/>
          <w:lang w:bidi="ar"/>
        </w:rPr>
        <w:t>kg</w:t>
      </w:r>
      <w:r>
        <w:rPr>
          <w:rFonts w:ascii="Times New Roman" w:hAnsi="Times New Roman" w:eastAsia="AdvOTce3d9a73" w:cs="Times New Roman"/>
          <w:color w:val="000000"/>
          <w:kern w:val="0"/>
          <w:sz w:val="24"/>
          <w:vertAlign w:val="superscript"/>
          <w:lang w:bidi="ar"/>
        </w:rPr>
        <w:t>-1</w:t>
      </w:r>
      <w:r>
        <w:rPr>
          <w:rFonts w:ascii="Times New Roman" w:hAnsi="Times New Roman" w:eastAsia="AdvOTce3d9a73" w:cs="Times New Roman"/>
          <w:color w:val="000000"/>
          <w:kern w:val="0"/>
          <w:sz w:val="24"/>
          <w:lang w:bidi="ar"/>
        </w:rPr>
        <w:t xml:space="preserve"> of PEG/Cu-BDC at the 0, 3</w:t>
      </w:r>
      <w:r>
        <w:rPr>
          <w:rFonts w:ascii="Times New Roman" w:hAnsi="Times New Roman" w:eastAsia="AdvOTce3d9a73" w:cs="Times New Roman"/>
          <w:color w:val="000000"/>
          <w:kern w:val="0"/>
          <w:sz w:val="24"/>
          <w:vertAlign w:val="superscript"/>
          <w:lang w:bidi="ar"/>
        </w:rPr>
        <w:t>rd</w:t>
      </w:r>
      <w:r>
        <w:rPr>
          <w:rFonts w:ascii="Times New Roman" w:hAnsi="Times New Roman" w:eastAsia="AdvOTce3d9a73" w:cs="Times New Roman"/>
          <w:color w:val="000000"/>
          <w:kern w:val="0"/>
          <w:sz w:val="24"/>
          <w:lang w:bidi="ar"/>
        </w:rPr>
        <w:t>, 7</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15</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and 30</w:t>
      </w:r>
      <w:r>
        <w:rPr>
          <w:rFonts w:ascii="Times New Roman" w:hAnsi="Times New Roman" w:eastAsia="AdvOTce3d9a73" w:cs="Times New Roman"/>
          <w:color w:val="000000"/>
          <w:kern w:val="0"/>
          <w:sz w:val="24"/>
          <w:vertAlign w:val="superscript"/>
          <w:lang w:bidi="ar"/>
        </w:rPr>
        <w:t>th</w:t>
      </w:r>
      <w:r>
        <w:rPr>
          <w:rFonts w:ascii="Times New Roman" w:hAnsi="Times New Roman" w:eastAsia="AdvOTce3d9a73" w:cs="Times New Roman"/>
          <w:color w:val="000000"/>
          <w:kern w:val="0"/>
          <w:sz w:val="24"/>
          <w:lang w:bidi="ar"/>
        </w:rPr>
        <w:t xml:space="preserve"> day </w:t>
      </w:r>
      <w:r>
        <w:rPr>
          <w:rFonts w:ascii="Times New Roman" w:hAnsi="Times New Roman" w:eastAsia="AdvOTce3d9a73" w:cs="Times New Roman"/>
          <w:kern w:val="0"/>
          <w:sz w:val="24"/>
          <w:lang w:bidi="ar"/>
        </w:rPr>
        <w:t xml:space="preserve">(Scale bar: </w:t>
      </w:r>
      <w:r>
        <w:rPr>
          <w:rFonts w:ascii="Times New Roman" w:hAnsi="Times New Roman" w:cs="Times New Roman"/>
          <w:kern w:val="0"/>
          <w:sz w:val="24"/>
          <w:lang w:bidi="ar"/>
        </w:rPr>
        <w:t>100</w:t>
      </w:r>
      <w:r>
        <w:rPr>
          <w:rFonts w:ascii="Times New Roman" w:hAnsi="Times New Roman" w:eastAsia="AdvOTce3d9a73" w:cs="Times New Roman"/>
          <w:kern w:val="0"/>
          <w:sz w:val="24"/>
          <w:lang w:bidi="ar"/>
        </w:rPr>
        <w:t xml:space="preserve"> </w:t>
      </w:r>
      <w:r>
        <w:rPr>
          <w:rFonts w:ascii="Times New Roman" w:hAnsi="Times New Roman" w:cs="Times New Roman"/>
          <w:sz w:val="24"/>
        </w:rPr>
        <w:t>μ</w:t>
      </w:r>
      <w:r>
        <w:rPr>
          <w:rFonts w:ascii="Times New Roman" w:hAnsi="Times New Roman" w:eastAsia="AdvOTce3d9a73" w:cs="Times New Roman"/>
          <w:kern w:val="0"/>
          <w:sz w:val="24"/>
          <w:lang w:bidi="ar"/>
        </w:rPr>
        <w:t>m)</w:t>
      </w:r>
      <w:r>
        <w:rPr>
          <w:rFonts w:ascii="Times New Roman" w:hAnsi="Times New Roman" w:eastAsia="AdvOTce3d9a73" w:cs="Times New Roman"/>
          <w:color w:val="000000"/>
          <w:kern w:val="0"/>
          <w:sz w:val="24"/>
          <w:lang w:bidi="ar"/>
        </w:rPr>
        <w:t>.</w:t>
      </w: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rPr>
        <w:drawing>
          <wp:inline distT="0" distB="0" distL="114300" distR="114300">
            <wp:extent cx="4319905" cy="1612265"/>
            <wp:effectExtent l="0" t="0" r="4445" b="6985"/>
            <wp:docPr id="6" name="图片 6" descr="4T-ki67&amp;t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T-ki67&amp;tunnel"/>
                    <pic:cNvPicPr>
                      <a:picLocks noChangeAspect="1"/>
                    </pic:cNvPicPr>
                  </pic:nvPicPr>
                  <pic:blipFill>
                    <a:blip r:embed="rId12"/>
                    <a:srcRect l="1493" t="1791" r="22507" b="69838"/>
                    <a:stretch>
                      <a:fillRect/>
                    </a:stretch>
                  </pic:blipFill>
                  <pic:spPr>
                    <a:xfrm>
                      <a:off x="0" y="0"/>
                      <a:ext cx="4320000" cy="1612800"/>
                    </a:xfrm>
                    <a:prstGeom prst="rect">
                      <a:avLst/>
                    </a:prstGeom>
                    <a:ln>
                      <a:noFill/>
                    </a:ln>
                  </pic:spPr>
                </pic:pic>
              </a:graphicData>
            </a:graphic>
          </wp:inline>
        </w:drawing>
      </w:r>
    </w:p>
    <w:p>
      <w:pPr>
        <w:spacing w:line="480" w:lineRule="auto"/>
        <w:rPr>
          <w:rFonts w:ascii="Times New Roman" w:hAnsi="Times New Roman" w:cs="Times New Roman"/>
          <w:sz w:val="24"/>
          <w:highlight w:val="none"/>
        </w:rPr>
      </w:pPr>
      <w:r>
        <w:rPr>
          <w:rFonts w:ascii="Times New Roman" w:hAnsi="Times New Roman" w:cs="Times New Roman"/>
          <w:b/>
          <w:bCs/>
          <w:sz w:val="24"/>
          <w:highlight w:val="none"/>
        </w:rPr>
        <w:t xml:space="preserve">Figure S8. </w:t>
      </w:r>
      <w:r>
        <w:rPr>
          <w:rFonts w:ascii="Times New Roman" w:hAnsi="Times New Roman" w:cs="Times New Roman"/>
          <w:sz w:val="24"/>
          <w:highlight w:val="none"/>
        </w:rPr>
        <w:t>Quantitative analysis of Ki-67 and apoptosis-positive tumor cells of 4T1 tumor-bearing mice in different treatment groups.</w:t>
      </w:r>
    </w:p>
    <w:p>
      <w:pPr>
        <w:widowControl/>
        <w:jc w:val="left"/>
        <w:rPr>
          <w:rFonts w:ascii="Times New Roman" w:hAnsi="Times New Roman" w:cs="Times New Roman"/>
        </w:rPr>
      </w:pPr>
      <w:r>
        <w:rPr>
          <w:rFonts w:ascii="Times New Roman" w:hAnsi="Times New Roman" w:cs="Times New Roman"/>
        </w:rPr>
        <w:br w:type="page"/>
      </w:r>
    </w:p>
    <w:p>
      <w:pPr>
        <w:jc w:val="center"/>
        <w:rPr>
          <w:rFonts w:ascii="Times New Roman" w:hAnsi="Times New Roman" w:cs="Times New Roman"/>
        </w:rPr>
      </w:pPr>
      <w:r>
        <w:rPr>
          <w:rFonts w:ascii="Times New Roman" w:hAnsi="Times New Roman" w:cs="Times New Roman"/>
        </w:rPr>
        <w:drawing>
          <wp:inline distT="0" distB="0" distL="114300" distR="114300">
            <wp:extent cx="4319905" cy="1576705"/>
            <wp:effectExtent l="0" t="0" r="4445" b="4445"/>
            <wp:docPr id="7" name="图片 7" descr="231-ki67&amp;t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31-ki67&amp;tunnel"/>
                    <pic:cNvPicPr>
                      <a:picLocks noChangeAspect="1"/>
                    </pic:cNvPicPr>
                  </pic:nvPicPr>
                  <pic:blipFill>
                    <a:blip r:embed="rId13"/>
                    <a:srcRect l="1203" t="1952" r="22585" b="70244"/>
                    <a:stretch>
                      <a:fillRect/>
                    </a:stretch>
                  </pic:blipFill>
                  <pic:spPr>
                    <a:xfrm>
                      <a:off x="0" y="0"/>
                      <a:ext cx="4320000" cy="1576800"/>
                    </a:xfrm>
                    <a:prstGeom prst="rect">
                      <a:avLst/>
                    </a:prstGeom>
                    <a:ln>
                      <a:noFill/>
                    </a:ln>
                  </pic:spPr>
                </pic:pic>
              </a:graphicData>
            </a:graphic>
          </wp:inline>
        </w:drawing>
      </w:r>
    </w:p>
    <w:p>
      <w:pPr>
        <w:spacing w:line="480" w:lineRule="auto"/>
        <w:rPr>
          <w:rFonts w:ascii="Times New Roman" w:hAnsi="Times New Roman" w:cs="Times New Roman"/>
          <w:sz w:val="24"/>
          <w:highlight w:val="none"/>
        </w:rPr>
      </w:pPr>
      <w:r>
        <w:rPr>
          <w:rFonts w:ascii="Times New Roman" w:hAnsi="Times New Roman" w:cs="Times New Roman"/>
          <w:b/>
          <w:bCs/>
          <w:sz w:val="24"/>
          <w:highlight w:val="none"/>
        </w:rPr>
        <w:t xml:space="preserve">Figure S9. </w:t>
      </w:r>
      <w:r>
        <w:rPr>
          <w:rFonts w:ascii="Times New Roman" w:hAnsi="Times New Roman" w:cs="Times New Roman"/>
          <w:sz w:val="24"/>
          <w:highlight w:val="none"/>
        </w:rPr>
        <w:t>Quantitative analysis of Ki-67 and apoptosis-positive tumor cells of MDA-MB-231 tumor-bearing mice in different treatment groups.</w:t>
      </w:r>
    </w:p>
    <w:sectPr>
      <w:footerReference r:id="rId3" w:type="default"/>
      <w:pgSz w:w="11906" w:h="16838"/>
      <w:pgMar w:top="1418"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calaSansLF-Bold">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calaSansLF-Regular">
    <w:altName w:val="Segoe Print"/>
    <w:panose1 w:val="00000000000000000000"/>
    <w:charset w:val="00"/>
    <w:family w:val="auto"/>
    <w:pitch w:val="default"/>
    <w:sig w:usb0="00000000" w:usb1="00000000" w:usb2="00000000" w:usb3="00000000" w:csb0="00000000" w:csb1="00000000"/>
  </w:font>
  <w:font w:name="AdvOTce3d9a73">
    <w:altName w:val="Segoe Print"/>
    <w:panose1 w:val="00000000000000000000"/>
    <w:charset w:val="00"/>
    <w:family w:val="auto"/>
    <w:pitch w:val="default"/>
    <w:sig w:usb0="00000000" w:usb1="00000000" w:usb2="00000000" w:usb3="00000000" w:csb0="00000000" w:csb1="00000000"/>
  </w:font>
  <w:font w:name="ScalaSansLF-Italic">
    <w:altName w:val="Segoe Print"/>
    <w:panose1 w:val="00000000000000000000"/>
    <w:charset w:val="00"/>
    <w:family w:val="auto"/>
    <w:pitch w:val="default"/>
    <w:sig w:usb0="00000000" w:usb1="00000000" w:usb2="00000000" w:usb3="00000000" w:csb0="00000000" w:csb1="00000000"/>
  </w:font>
  <w:font w:name="ScalaLF-Regular">
    <w:altName w:val="宋体"/>
    <w:panose1 w:val="00000000000000000000"/>
    <w:charset w:val="00"/>
    <w:family w:val="auto"/>
    <w:pitch w:val="default"/>
    <w:sig w:usb0="00000000" w:usb1="00000000" w:usb2="00000000" w:usb3="00000000" w:csb0="00000000" w:csb1="00000000"/>
  </w:font>
  <w:font w:name="&amp;quot">
    <w:altName w:val="Segoe Print"/>
    <w:panose1 w:val="00000000000000000000"/>
    <w:charset w:val="00"/>
    <w:family w:val="auto"/>
    <w:pitch w:val="default"/>
    <w:sig w:usb0="00000000" w:usb1="00000000" w:usb2="00000000" w:usb3="00000000" w:csb0="00000000" w:csb1="00000000"/>
  </w:font>
  <w:font w:name="AdvOTce3d9a73 + fb">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9403531"/>
    </w:sdtPr>
    <w:sdtContent>
      <w:p>
        <w:pPr>
          <w:pStyle w:val="4"/>
          <w:jc w:val="center"/>
        </w:pPr>
        <w:r>
          <w:fldChar w:fldCharType="begin"/>
        </w:r>
        <w:r>
          <w:instrText xml:space="preserve">PAGE   \* MERGEFORMAT</w:instrText>
        </w:r>
        <w:r>
          <w:fldChar w:fldCharType="separate"/>
        </w:r>
        <w:r>
          <w:rPr>
            <w:lang w:val="zh-CN"/>
          </w:rPr>
          <w:t>8</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676ED0"/>
    <w:rsid w:val="00014DBC"/>
    <w:rsid w:val="00031CA4"/>
    <w:rsid w:val="000801D1"/>
    <w:rsid w:val="000B1768"/>
    <w:rsid w:val="000E04CA"/>
    <w:rsid w:val="000E533B"/>
    <w:rsid w:val="0010065F"/>
    <w:rsid w:val="00100697"/>
    <w:rsid w:val="0012616E"/>
    <w:rsid w:val="00140521"/>
    <w:rsid w:val="0015583A"/>
    <w:rsid w:val="00181AD9"/>
    <w:rsid w:val="0019267A"/>
    <w:rsid w:val="001A1A1F"/>
    <w:rsid w:val="001B6260"/>
    <w:rsid w:val="00215DF4"/>
    <w:rsid w:val="00247369"/>
    <w:rsid w:val="00254B1F"/>
    <w:rsid w:val="00266BC4"/>
    <w:rsid w:val="002A6002"/>
    <w:rsid w:val="002A71A1"/>
    <w:rsid w:val="002B48F5"/>
    <w:rsid w:val="002C33CC"/>
    <w:rsid w:val="002F615C"/>
    <w:rsid w:val="00321E64"/>
    <w:rsid w:val="00386D43"/>
    <w:rsid w:val="0039716C"/>
    <w:rsid w:val="003A15B5"/>
    <w:rsid w:val="003A7934"/>
    <w:rsid w:val="003B40E5"/>
    <w:rsid w:val="004232B1"/>
    <w:rsid w:val="004277C4"/>
    <w:rsid w:val="004559E1"/>
    <w:rsid w:val="00465C93"/>
    <w:rsid w:val="004768C2"/>
    <w:rsid w:val="00485F6E"/>
    <w:rsid w:val="004D5268"/>
    <w:rsid w:val="004D789F"/>
    <w:rsid w:val="004E0715"/>
    <w:rsid w:val="004F4019"/>
    <w:rsid w:val="00514E44"/>
    <w:rsid w:val="0052346B"/>
    <w:rsid w:val="00531786"/>
    <w:rsid w:val="00564AE8"/>
    <w:rsid w:val="00590C83"/>
    <w:rsid w:val="005B099C"/>
    <w:rsid w:val="005D13FD"/>
    <w:rsid w:val="006108C6"/>
    <w:rsid w:val="006335B0"/>
    <w:rsid w:val="00663617"/>
    <w:rsid w:val="0068489F"/>
    <w:rsid w:val="00685A3D"/>
    <w:rsid w:val="006A2A97"/>
    <w:rsid w:val="006A54DF"/>
    <w:rsid w:val="006F7ABA"/>
    <w:rsid w:val="0070600D"/>
    <w:rsid w:val="00723C98"/>
    <w:rsid w:val="00747C6A"/>
    <w:rsid w:val="00796AED"/>
    <w:rsid w:val="007A30CD"/>
    <w:rsid w:val="007B152B"/>
    <w:rsid w:val="007E2C1C"/>
    <w:rsid w:val="00845616"/>
    <w:rsid w:val="008677C4"/>
    <w:rsid w:val="008836AA"/>
    <w:rsid w:val="00891314"/>
    <w:rsid w:val="008A1457"/>
    <w:rsid w:val="008A4CBA"/>
    <w:rsid w:val="008D571A"/>
    <w:rsid w:val="0092468F"/>
    <w:rsid w:val="0092672D"/>
    <w:rsid w:val="00940470"/>
    <w:rsid w:val="00966816"/>
    <w:rsid w:val="00986991"/>
    <w:rsid w:val="009B2735"/>
    <w:rsid w:val="009C44A4"/>
    <w:rsid w:val="009D20C7"/>
    <w:rsid w:val="00A24116"/>
    <w:rsid w:val="00A46F49"/>
    <w:rsid w:val="00A8634C"/>
    <w:rsid w:val="00AA7A43"/>
    <w:rsid w:val="00AD12F8"/>
    <w:rsid w:val="00B426F4"/>
    <w:rsid w:val="00B56B6B"/>
    <w:rsid w:val="00B72758"/>
    <w:rsid w:val="00B74B3A"/>
    <w:rsid w:val="00B7741A"/>
    <w:rsid w:val="00BD0C17"/>
    <w:rsid w:val="00BE51E5"/>
    <w:rsid w:val="00C3504C"/>
    <w:rsid w:val="00C3543A"/>
    <w:rsid w:val="00C41130"/>
    <w:rsid w:val="00C513DF"/>
    <w:rsid w:val="00C838E1"/>
    <w:rsid w:val="00C91584"/>
    <w:rsid w:val="00CF0D2E"/>
    <w:rsid w:val="00D032B0"/>
    <w:rsid w:val="00D1403E"/>
    <w:rsid w:val="00D75273"/>
    <w:rsid w:val="00D75C14"/>
    <w:rsid w:val="00DE1E12"/>
    <w:rsid w:val="00E1472F"/>
    <w:rsid w:val="00E42381"/>
    <w:rsid w:val="00E439C4"/>
    <w:rsid w:val="00E5095D"/>
    <w:rsid w:val="00E65211"/>
    <w:rsid w:val="00EA67DB"/>
    <w:rsid w:val="00EC7CFE"/>
    <w:rsid w:val="00ED3872"/>
    <w:rsid w:val="00EE1D21"/>
    <w:rsid w:val="00EE3F15"/>
    <w:rsid w:val="00EE477B"/>
    <w:rsid w:val="00EF0EB7"/>
    <w:rsid w:val="00F5660C"/>
    <w:rsid w:val="00F93483"/>
    <w:rsid w:val="00FA190A"/>
    <w:rsid w:val="00FB4747"/>
    <w:rsid w:val="00FE2618"/>
    <w:rsid w:val="00FF0523"/>
    <w:rsid w:val="00FF5E8D"/>
    <w:rsid w:val="01676ED0"/>
    <w:rsid w:val="0A4E4E1E"/>
    <w:rsid w:val="0A9F4195"/>
    <w:rsid w:val="0B3F2FA8"/>
    <w:rsid w:val="0C490A3C"/>
    <w:rsid w:val="0E4D78FF"/>
    <w:rsid w:val="10302FA9"/>
    <w:rsid w:val="10A30080"/>
    <w:rsid w:val="115B06EA"/>
    <w:rsid w:val="133A0E11"/>
    <w:rsid w:val="14E9795D"/>
    <w:rsid w:val="178D1819"/>
    <w:rsid w:val="2BB3475C"/>
    <w:rsid w:val="2C401B81"/>
    <w:rsid w:val="37191CB8"/>
    <w:rsid w:val="3B6A20B6"/>
    <w:rsid w:val="47CD01D2"/>
    <w:rsid w:val="487942B5"/>
    <w:rsid w:val="50E165B8"/>
    <w:rsid w:val="55DB6BD7"/>
    <w:rsid w:val="563D4544"/>
    <w:rsid w:val="5AB87AA9"/>
    <w:rsid w:val="686177B7"/>
    <w:rsid w:val="6D546DAC"/>
    <w:rsid w:val="707F377D"/>
    <w:rsid w:val="70F06C7F"/>
    <w:rsid w:val="71594D66"/>
    <w:rsid w:val="767B6075"/>
    <w:rsid w:val="78D9598D"/>
    <w:rsid w:val="7D35536E"/>
    <w:rsid w:val="7E5F1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paragraph" w:customStyle="1" w:styleId="10">
    <w:name w:val="VA_Figure_Caption"/>
    <w:basedOn w:val="1"/>
    <w:next w:val="1"/>
    <w:qFormat/>
    <w:uiPriority w:val="0"/>
    <w:pPr>
      <w:spacing w:line="480" w:lineRule="auto"/>
    </w:p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99"/>
    <w:rPr>
      <w:kern w:val="2"/>
      <w:sz w:val="18"/>
      <w:szCs w:val="18"/>
    </w:rPr>
  </w:style>
  <w:style w:type="character" w:customStyle="1" w:styleId="13">
    <w:name w:val="批注文字 字符"/>
    <w:basedOn w:val="8"/>
    <w:link w:val="2"/>
    <w:qFormat/>
    <w:uiPriority w:val="0"/>
    <w:rPr>
      <w:kern w:val="2"/>
      <w:sz w:val="21"/>
      <w:szCs w:val="24"/>
    </w:rPr>
  </w:style>
  <w:style w:type="character" w:customStyle="1" w:styleId="14">
    <w:name w:val="批注主题 字符"/>
    <w:basedOn w:val="13"/>
    <w:link w:val="6"/>
    <w:qFormat/>
    <w:uiPriority w:val="0"/>
    <w:rPr>
      <w:b/>
      <w:bCs/>
      <w:kern w:val="2"/>
      <w:sz w:val="21"/>
      <w:szCs w:val="24"/>
    </w:rPr>
  </w:style>
  <w:style w:type="character" w:customStyle="1" w:styleId="15">
    <w:name w:val="批注框文本 字符"/>
    <w:basedOn w:val="8"/>
    <w:link w:val="3"/>
    <w:semiHidden/>
    <w:qFormat/>
    <w:uiPriority w:val="0"/>
    <w:rPr>
      <w:kern w:val="2"/>
      <w:sz w:val="18"/>
      <w:szCs w:val="18"/>
    </w:rPr>
  </w:style>
  <w:style w:type="paragraph" w:customStyle="1" w:styleId="16">
    <w:name w:val="TA_Main_Text"/>
    <w:basedOn w:val="1"/>
    <w:qFormat/>
    <w:uiPriority w:val="0"/>
    <w:pPr>
      <w:spacing w:line="480" w:lineRule="auto"/>
      <w:ind w:firstLine="202"/>
    </w:p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1.png"/><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1729</Words>
  <Characters>9858</Characters>
  <Lines>82</Lines>
  <Paragraphs>23</Paragraphs>
  <TotalTime>5</TotalTime>
  <ScaleCrop>false</ScaleCrop>
  <LinksUpToDate>false</LinksUpToDate>
  <CharactersWithSpaces>11564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2021-12-06T14:40:00Z</dcterms:created>
  <dc:creator>Charlotte Hopkins</dc:creator>
  <cp:lastModifiedBy>庄尚文</cp:lastModifiedBy>
  <dcterms:modified xsi:type="dcterms:W3CDTF">2022-01-24T11:06:35Z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B487E6BFB134437DBED471366059821F</vt:lpwstr>
  </property>
</Properties>
</file>