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37AC2" w14:textId="5C164BCC" w:rsidR="00DA5B69" w:rsidRDefault="00DA5B69" w:rsidP="00A64B32">
      <w:pPr>
        <w:jc w:val="center"/>
      </w:pPr>
    </w:p>
    <w:tbl>
      <w:tblPr>
        <w:tblStyle w:val="TableGrid"/>
        <w:tblpPr w:leftFromText="180" w:rightFromText="180" w:vertAnchor="text" w:tblpXSpec="center" w:tblpY="1"/>
        <w:tblOverlap w:val="never"/>
        <w:tblW w:w="98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9"/>
      </w:tblGrid>
      <w:tr w:rsidR="00A64B32" w:rsidRPr="00FD3DE1" w14:paraId="649BE447" w14:textId="77777777" w:rsidTr="001C7D21">
        <w:trPr>
          <w:trHeight w:val="4986"/>
          <w:jc w:val="center"/>
        </w:trPr>
        <w:tc>
          <w:tcPr>
            <w:tcW w:w="9849" w:type="dxa"/>
            <w:vAlign w:val="center"/>
          </w:tcPr>
          <w:p w14:paraId="3C5A05C3" w14:textId="49A85BC9" w:rsidR="00A64B32" w:rsidRPr="00FD3DE1" w:rsidRDefault="00A64B32" w:rsidP="00A64B32">
            <w:pPr>
              <w:snapToGri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D3DE1">
              <w:rPr>
                <w:rFonts w:asciiTheme="majorBidi" w:hAnsiTheme="majorBidi" w:cstheme="majorBidi"/>
                <w:noProof/>
                <w:color w:val="4472C4" w:themeColor="accent1"/>
                <w:sz w:val="24"/>
                <w:szCs w:val="24"/>
                <w:lang w:val="en-IN" w:eastAsia="en-IN"/>
              </w:rPr>
              <w:drawing>
                <wp:inline distT="0" distB="0" distL="0" distR="0" wp14:anchorId="5AD5FDD1" wp14:editId="5E7725EC">
                  <wp:extent cx="4797188" cy="3358035"/>
                  <wp:effectExtent l="0" t="0" r="381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864" cy="337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38F24" w14:textId="2439017D" w:rsidR="00A64B32" w:rsidRPr="00FD3DE1" w:rsidRDefault="00A64B32" w:rsidP="00A64B32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FD3DE1">
        <w:rPr>
          <w:rFonts w:asciiTheme="majorBidi" w:hAnsiTheme="majorBidi" w:cstheme="majorBidi"/>
          <w:b/>
          <w:bCs/>
        </w:rPr>
        <w:t xml:space="preserve">Fig. </w:t>
      </w:r>
      <w:r w:rsidR="007274A5" w:rsidRPr="00FD3DE1">
        <w:rPr>
          <w:rFonts w:asciiTheme="majorBidi" w:hAnsiTheme="majorBidi" w:cstheme="majorBidi"/>
          <w:b/>
          <w:bCs/>
        </w:rPr>
        <w:t>S</w:t>
      </w:r>
      <w:r w:rsidRPr="00FD3DE1">
        <w:rPr>
          <w:rFonts w:asciiTheme="majorBidi" w:hAnsiTheme="majorBidi" w:cstheme="majorBidi"/>
          <w:b/>
          <w:bCs/>
        </w:rPr>
        <w:t>1.</w:t>
      </w:r>
      <w:r w:rsidRPr="00FD3DE1">
        <w:rPr>
          <w:rFonts w:asciiTheme="majorBidi" w:hAnsiTheme="majorBidi" w:cstheme="majorBidi"/>
        </w:rPr>
        <w:t xml:space="preserve"> Selenium pathway in plants</w:t>
      </w:r>
      <w:r w:rsidRPr="00FD3DE1">
        <w:rPr>
          <w:rFonts w:asciiTheme="majorBidi" w:hAnsiTheme="majorBidi" w:cstheme="majorBidi"/>
          <w:noProof/>
          <w:color w:val="000000" w:themeColor="text1"/>
        </w:rPr>
        <w:t>.</w:t>
      </w:r>
      <w:r w:rsidRPr="00FD3DE1">
        <w:rPr>
          <w:rFonts w:asciiTheme="majorBidi" w:hAnsiTheme="majorBidi" w:cstheme="majorBidi"/>
          <w:color w:val="000000" w:themeColor="text1"/>
        </w:rPr>
        <w:t xml:space="preserve"> </w:t>
      </w:r>
    </w:p>
    <w:p w14:paraId="5552C1E9" w14:textId="77777777" w:rsidR="00A64B32" w:rsidRPr="00FD3DE1" w:rsidRDefault="00A64B32">
      <w:pPr>
        <w:rPr>
          <w:rFonts w:asciiTheme="majorBidi" w:hAnsiTheme="majorBidi" w:cstheme="majorBidi"/>
          <w:color w:val="000000" w:themeColor="text1"/>
        </w:rPr>
      </w:pPr>
      <w:r w:rsidRPr="00FD3DE1">
        <w:rPr>
          <w:rFonts w:asciiTheme="majorBidi" w:hAnsiTheme="majorBidi" w:cstheme="majorBidi"/>
          <w:color w:val="000000" w:themeColor="text1"/>
        </w:rP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98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9"/>
      </w:tblGrid>
      <w:tr w:rsidR="00A64B32" w:rsidRPr="00FD3DE1" w14:paraId="2BE7D71A" w14:textId="77777777" w:rsidTr="001C7D21">
        <w:trPr>
          <w:trHeight w:val="4986"/>
          <w:jc w:val="center"/>
        </w:trPr>
        <w:tc>
          <w:tcPr>
            <w:tcW w:w="9849" w:type="dxa"/>
            <w:vAlign w:val="center"/>
          </w:tcPr>
          <w:p w14:paraId="62E5FB55" w14:textId="6C339913" w:rsidR="00A64B32" w:rsidRPr="00FD3DE1" w:rsidRDefault="00A64B32" w:rsidP="00772CB0">
            <w:pPr>
              <w:snapToGri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D3DE1"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  <w:lang w:val="en-IN" w:eastAsia="en-IN"/>
              </w:rPr>
              <w:lastRenderedPageBreak/>
              <w:drawing>
                <wp:inline distT="0" distB="0" distL="0" distR="0" wp14:anchorId="128462DE" wp14:editId="7BD1A6F3">
                  <wp:extent cx="4824483" cy="2769821"/>
                  <wp:effectExtent l="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171" cy="2781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98E59B" w14:textId="22574FA0" w:rsidR="001C7D21" w:rsidRPr="00FD3DE1" w:rsidRDefault="00A64B32" w:rsidP="00A6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color w:val="000000" w:themeColor="text1"/>
        </w:rPr>
      </w:pPr>
      <w:r w:rsidRPr="00FD3DE1">
        <w:rPr>
          <w:rFonts w:asciiTheme="majorBidi" w:hAnsiTheme="majorBidi" w:cstheme="majorBidi"/>
          <w:b/>
          <w:bCs/>
          <w:color w:val="000000" w:themeColor="text1"/>
          <w:lang w:bidi="ar-EG"/>
        </w:rPr>
        <w:t xml:space="preserve">Fig. </w:t>
      </w:r>
      <w:r w:rsidR="007274A5" w:rsidRPr="00FD3DE1">
        <w:rPr>
          <w:rFonts w:asciiTheme="majorBidi" w:hAnsiTheme="majorBidi" w:cstheme="majorBidi"/>
          <w:b/>
          <w:bCs/>
          <w:color w:val="000000" w:themeColor="text1"/>
          <w:lang w:bidi="ar-EG"/>
        </w:rPr>
        <w:t>S</w:t>
      </w:r>
      <w:r w:rsidRPr="00FD3DE1">
        <w:rPr>
          <w:rFonts w:asciiTheme="majorBidi" w:hAnsiTheme="majorBidi" w:cstheme="majorBidi"/>
          <w:b/>
          <w:bCs/>
          <w:color w:val="000000" w:themeColor="text1"/>
          <w:lang w:bidi="ar-EG"/>
        </w:rPr>
        <w:t>2.</w:t>
      </w:r>
      <w:r w:rsidRPr="00FD3DE1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FD3DE1">
        <w:rPr>
          <w:rFonts w:asciiTheme="majorBidi" w:eastAsia="Times New Roman" w:hAnsiTheme="majorBidi" w:cstheme="majorBidi"/>
        </w:rPr>
        <w:t>Preparation and purification of nano selenium (SeNPs).</w:t>
      </w:r>
      <w:r w:rsidRPr="00FD3DE1" w:rsidDel="006443B3">
        <w:rPr>
          <w:rFonts w:asciiTheme="majorBidi" w:eastAsia="Times New Roman" w:hAnsiTheme="majorBidi" w:cstheme="majorBidi"/>
          <w:color w:val="000000" w:themeColor="text1"/>
        </w:rPr>
        <w:t xml:space="preserve"> </w:t>
      </w:r>
    </w:p>
    <w:p w14:paraId="0A96683F" w14:textId="77777777" w:rsidR="001C7D21" w:rsidRPr="00FD3DE1" w:rsidRDefault="001C7D21">
      <w:pPr>
        <w:rPr>
          <w:rFonts w:asciiTheme="majorBidi" w:eastAsia="Times New Roman" w:hAnsiTheme="majorBidi" w:cstheme="majorBidi"/>
          <w:color w:val="000000" w:themeColor="text1"/>
        </w:rPr>
      </w:pPr>
      <w:r w:rsidRPr="00FD3DE1">
        <w:rPr>
          <w:rFonts w:asciiTheme="majorBidi" w:eastAsia="Times New Roman" w:hAnsiTheme="majorBidi" w:cstheme="majorBidi"/>
          <w:color w:val="000000" w:themeColor="text1"/>
        </w:rPr>
        <w:br w:type="page"/>
      </w:r>
    </w:p>
    <w:tbl>
      <w:tblPr>
        <w:tblpPr w:leftFromText="180" w:rightFromText="180" w:vertAnchor="text" w:tblpXSpec="center" w:tblpY="1"/>
        <w:tblOverlap w:val="never"/>
        <w:tblW w:w="10363" w:type="dxa"/>
        <w:tblLook w:val="04A0" w:firstRow="1" w:lastRow="0" w:firstColumn="1" w:lastColumn="0" w:noHBand="0" w:noVBand="1"/>
      </w:tblPr>
      <w:tblGrid>
        <w:gridCol w:w="5439"/>
        <w:gridCol w:w="4924"/>
      </w:tblGrid>
      <w:tr w:rsidR="001C7D21" w:rsidRPr="00FD3DE1" w14:paraId="07C0A6C4" w14:textId="77777777" w:rsidTr="001C7D21">
        <w:trPr>
          <w:trHeight w:val="3521"/>
        </w:trPr>
        <w:tc>
          <w:tcPr>
            <w:tcW w:w="5439" w:type="dxa"/>
            <w:vAlign w:val="center"/>
          </w:tcPr>
          <w:p w14:paraId="70E78E75" w14:textId="7825872A" w:rsidR="001C7D21" w:rsidRPr="00FD3DE1" w:rsidRDefault="001C7D21" w:rsidP="001C7D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3DE1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71FC4D6C" wp14:editId="3E020874">
                  <wp:extent cx="2613546" cy="215877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285" cy="216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  <w:vAlign w:val="center"/>
          </w:tcPr>
          <w:p w14:paraId="7E5115DC" w14:textId="61ABA66E" w:rsidR="001C7D21" w:rsidRPr="00FD3DE1" w:rsidRDefault="001C7D21" w:rsidP="001C7D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3DE1">
              <w:rPr>
                <w:noProof/>
                <w:lang w:val="en-IN" w:eastAsia="en-IN"/>
              </w:rPr>
              <w:drawing>
                <wp:inline distT="0" distB="0" distL="0" distR="0" wp14:anchorId="111CA813" wp14:editId="5A56C0C5">
                  <wp:extent cx="2621937" cy="2160000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3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200471" w14:textId="5D9F7749" w:rsidR="00A64B32" w:rsidRPr="00FD3DE1" w:rsidRDefault="001C7D21" w:rsidP="00A6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color w:val="000000" w:themeColor="text1"/>
        </w:rPr>
      </w:pPr>
      <w:r w:rsidRPr="00FD3DE1">
        <w:rPr>
          <w:rFonts w:ascii="Times New Roman" w:eastAsia="Times New Roman" w:hAnsi="Times New Roman" w:cs="Times New Roman"/>
          <w:b/>
          <w:bCs/>
        </w:rPr>
        <w:t>Fig. S3.</w:t>
      </w:r>
      <w:r w:rsidRPr="00FD3DE1">
        <w:rPr>
          <w:rFonts w:ascii="Times New Roman" w:eastAsia="Times New Roman" w:hAnsi="Times New Roman" w:cs="Times New Roman"/>
        </w:rPr>
        <w:t xml:space="preserve"> Effect of different concentrations of SeNPs and Na</w:t>
      </w:r>
      <w:r w:rsidRPr="00FD3DE1">
        <w:rPr>
          <w:rFonts w:ascii="Times New Roman" w:eastAsia="Times New Roman" w:hAnsi="Times New Roman" w:cs="Times New Roman"/>
          <w:vertAlign w:val="subscript"/>
        </w:rPr>
        <w:t>2</w:t>
      </w:r>
      <w:r w:rsidRPr="00FD3DE1">
        <w:rPr>
          <w:rFonts w:asciiTheme="majorBidi" w:hAnsiTheme="majorBidi" w:cstheme="majorBidi"/>
        </w:rPr>
        <w:t>SeO</w:t>
      </w:r>
      <w:r w:rsidRPr="00FD3DE1">
        <w:rPr>
          <w:rFonts w:asciiTheme="majorBidi" w:hAnsiTheme="majorBidi" w:cstheme="majorBidi"/>
          <w:vertAlign w:val="subscript"/>
        </w:rPr>
        <w:t>3</w:t>
      </w:r>
      <w:r w:rsidRPr="00FD3DE1">
        <w:rPr>
          <w:rFonts w:asciiTheme="majorBidi" w:hAnsiTheme="majorBidi" w:cstheme="majorBidi"/>
        </w:rPr>
        <w:t xml:space="preserve"> </w:t>
      </w:r>
      <w:r w:rsidRPr="00FD3DE1">
        <w:rPr>
          <w:rFonts w:ascii="Times New Roman" w:eastAsia="Times New Roman" w:hAnsi="Times New Roman" w:cs="Times New Roman"/>
        </w:rPr>
        <w:t xml:space="preserve">(0, 50, 100 and 150 </w:t>
      </w:r>
      <w:r w:rsidRPr="00FD3DE1">
        <w:rPr>
          <w:rFonts w:asciiTheme="majorBidi" w:hAnsiTheme="majorBidi" w:cstheme="majorBidi"/>
        </w:rPr>
        <w:t>µmol/L</w:t>
      </w:r>
      <w:r w:rsidRPr="00FD3DE1">
        <w:rPr>
          <w:rFonts w:ascii="Times New Roman" w:eastAsia="Times New Roman" w:hAnsi="Times New Roman" w:cs="Times New Roman"/>
        </w:rPr>
        <w:t>) on (a) shoot dry weight (g) and (b) root dry weight (g) on rapeseed seedlings. Bars represent ± SE of three replicates. The difference in letters indicates significant differences at (</w:t>
      </w:r>
      <w:r w:rsidRPr="00FD3DE1">
        <w:rPr>
          <w:rFonts w:ascii="Times New Roman" w:eastAsia="Times New Roman" w:hAnsi="Times New Roman" w:cs="Times New Roman"/>
          <w:i/>
          <w:iCs/>
        </w:rPr>
        <w:t>P</w:t>
      </w:r>
      <w:r w:rsidRPr="00FD3DE1">
        <w:rPr>
          <w:rFonts w:ascii="Times New Roman" w:eastAsia="Times New Roman" w:hAnsi="Times New Roman" w:cs="Times New Roman"/>
        </w:rPr>
        <w:t xml:space="preserve"> &lt; 0.05) using Duncan's multiple range tests.</w:t>
      </w:r>
    </w:p>
    <w:p w14:paraId="7CBBB73F" w14:textId="00AD2E99" w:rsidR="00A64B32" w:rsidRPr="00FD3DE1" w:rsidRDefault="00A64B32">
      <w:pPr>
        <w:rPr>
          <w:rFonts w:asciiTheme="majorBidi" w:hAnsiTheme="majorBidi" w:cstheme="majorBidi"/>
          <w:color w:val="000000" w:themeColor="text1"/>
        </w:rPr>
      </w:pPr>
      <w:r w:rsidRPr="00FD3DE1">
        <w:rPr>
          <w:rFonts w:asciiTheme="majorBidi" w:hAnsiTheme="majorBidi" w:cstheme="majorBidi"/>
          <w:color w:val="000000" w:themeColor="text1"/>
        </w:rPr>
        <w:br w:type="page"/>
      </w:r>
    </w:p>
    <w:p w14:paraId="1B06D525" w14:textId="6E2CEEE8" w:rsidR="00A64B32" w:rsidRPr="00FD3DE1" w:rsidRDefault="00A64B32" w:rsidP="00A64B32"/>
    <w:tbl>
      <w:tblPr>
        <w:tblpPr w:leftFromText="180" w:rightFromText="180" w:vertAnchor="text" w:tblpXSpec="center" w:tblpY="1"/>
        <w:tblOverlap w:val="never"/>
        <w:tblW w:w="10145" w:type="dxa"/>
        <w:tblLook w:val="04A0" w:firstRow="1" w:lastRow="0" w:firstColumn="1" w:lastColumn="0" w:noHBand="0" w:noVBand="1"/>
      </w:tblPr>
      <w:tblGrid>
        <w:gridCol w:w="5356"/>
        <w:gridCol w:w="4789"/>
      </w:tblGrid>
      <w:tr w:rsidR="00A64B32" w:rsidRPr="00FD3DE1" w14:paraId="203FA758" w14:textId="77777777" w:rsidTr="001C7D21">
        <w:trPr>
          <w:trHeight w:val="3351"/>
        </w:trPr>
        <w:tc>
          <w:tcPr>
            <w:tcW w:w="10145" w:type="dxa"/>
            <w:gridSpan w:val="2"/>
            <w:vAlign w:val="center"/>
          </w:tcPr>
          <w:p w14:paraId="4AD6747C" w14:textId="77777777" w:rsidR="00A64B32" w:rsidRPr="00FD3DE1" w:rsidRDefault="00A64B32" w:rsidP="00A64B3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FD3DE1">
              <w:rPr>
                <w:rFonts w:asciiTheme="majorBidi" w:hAnsiTheme="majorBidi" w:cstheme="majorBidi"/>
                <w:noProof/>
                <w:lang w:val="en-IN" w:eastAsia="en-IN"/>
              </w:rPr>
              <w:drawing>
                <wp:inline distT="0" distB="0" distL="0" distR="0" wp14:anchorId="2FBA3AC2" wp14:editId="166CFE9E">
                  <wp:extent cx="5175250" cy="2070100"/>
                  <wp:effectExtent l="0" t="0" r="6350" b="635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191" cy="207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B32" w:rsidRPr="00FD3DE1" w14:paraId="5BA6F963" w14:textId="77777777" w:rsidTr="001C7D21">
        <w:trPr>
          <w:trHeight w:val="3333"/>
        </w:trPr>
        <w:tc>
          <w:tcPr>
            <w:tcW w:w="5356" w:type="dxa"/>
            <w:vAlign w:val="center"/>
          </w:tcPr>
          <w:p w14:paraId="45039CD5" w14:textId="77777777" w:rsidR="00A64B32" w:rsidRPr="00FD3DE1" w:rsidRDefault="00A64B32" w:rsidP="00A64B32">
            <w:pPr>
              <w:spacing w:after="0" w:line="240" w:lineRule="auto"/>
              <w:jc w:val="center"/>
              <w:rPr>
                <w:noProof/>
              </w:rPr>
            </w:pPr>
            <w:r w:rsidRPr="00FD3DE1">
              <w:rPr>
                <w:noProof/>
                <w:lang w:val="en-IN" w:eastAsia="en-IN"/>
              </w:rPr>
              <w:drawing>
                <wp:inline distT="0" distB="0" distL="0" distR="0" wp14:anchorId="6E70BA94" wp14:editId="75B2AF08">
                  <wp:extent cx="2489200" cy="2057400"/>
                  <wp:effectExtent l="0" t="0" r="635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981" cy="2065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9" w:type="dxa"/>
            <w:vAlign w:val="center"/>
          </w:tcPr>
          <w:p w14:paraId="36A46442" w14:textId="77777777" w:rsidR="00A64B32" w:rsidRPr="00FD3DE1" w:rsidRDefault="00A64B32" w:rsidP="00A64B32">
            <w:pPr>
              <w:spacing w:after="0" w:line="240" w:lineRule="auto"/>
              <w:jc w:val="center"/>
              <w:rPr>
                <w:noProof/>
              </w:rPr>
            </w:pPr>
            <w:r w:rsidRPr="00FD3DE1">
              <w:rPr>
                <w:noProof/>
                <w:lang w:val="en-IN" w:eastAsia="en-IN"/>
              </w:rPr>
              <w:drawing>
                <wp:inline distT="0" distB="0" distL="0" distR="0" wp14:anchorId="62F1BC11" wp14:editId="6EC8C33F">
                  <wp:extent cx="2489200" cy="2070100"/>
                  <wp:effectExtent l="0" t="0" r="6350" b="635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79" cy="2076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62EB9" w14:textId="5E2350B8" w:rsidR="001C7D21" w:rsidRPr="00FD3DE1" w:rsidRDefault="00A64B32" w:rsidP="001C7D21">
      <w:pPr>
        <w:spacing w:after="0" w:line="360" w:lineRule="auto"/>
        <w:jc w:val="both"/>
        <w:rPr>
          <w:rFonts w:asciiTheme="majorBidi" w:hAnsiTheme="majorBidi" w:cstheme="majorBidi"/>
        </w:rPr>
      </w:pPr>
      <w:r w:rsidRPr="00FD3DE1">
        <w:rPr>
          <w:rFonts w:asciiTheme="majorBidi" w:eastAsia="Times New Roman" w:hAnsiTheme="majorBidi" w:cstheme="majorBidi"/>
          <w:b/>
          <w:bCs/>
        </w:rPr>
        <w:t xml:space="preserve">Fig. </w:t>
      </w:r>
      <w:r w:rsidR="00FD47A1" w:rsidRPr="00FD3DE1">
        <w:rPr>
          <w:rFonts w:asciiTheme="majorBidi" w:eastAsia="Times New Roman" w:hAnsiTheme="majorBidi" w:cstheme="majorBidi"/>
          <w:b/>
          <w:bCs/>
        </w:rPr>
        <w:t>S</w:t>
      </w:r>
      <w:r w:rsidR="001C7D21" w:rsidRPr="00FD3DE1">
        <w:rPr>
          <w:rFonts w:asciiTheme="majorBidi" w:eastAsia="Times New Roman" w:hAnsiTheme="majorBidi" w:cstheme="majorBidi"/>
          <w:b/>
          <w:bCs/>
        </w:rPr>
        <w:t>4</w:t>
      </w:r>
      <w:r w:rsidRPr="00FD3DE1">
        <w:rPr>
          <w:rFonts w:asciiTheme="majorBidi" w:eastAsia="Times New Roman" w:hAnsiTheme="majorBidi" w:cstheme="majorBidi"/>
        </w:rPr>
        <w:t xml:space="preserve">. (a): Heat map, and </w:t>
      </w:r>
      <w:r w:rsidRPr="00FD3DE1">
        <w:rPr>
          <w:rFonts w:asciiTheme="majorBidi" w:hAnsiTheme="majorBidi" w:cstheme="majorBidi"/>
        </w:rPr>
        <w:t>A Pearson’s correlation</w:t>
      </w:r>
      <w:r w:rsidRPr="00FD3DE1">
        <w:rPr>
          <w:rFonts w:asciiTheme="majorBidi" w:eastAsia="Times New Roman" w:hAnsiTheme="majorBidi" w:cstheme="majorBidi"/>
        </w:rPr>
        <w:t xml:space="preserve"> of (b): SeNPs and (c) Se (IV) showing the effects of different doses of SeNPs and Se (IV) (0, 50, 100, and 150 µmol/L) on the morphophysiological parameters in the seedling of</w:t>
      </w:r>
      <w:r w:rsidRPr="00FD3DE1">
        <w:rPr>
          <w:rFonts w:asciiTheme="majorBidi" w:eastAsia="Times New Roman" w:hAnsiTheme="majorBidi" w:cstheme="majorBidi"/>
          <w:i/>
          <w:iCs/>
        </w:rPr>
        <w:t xml:space="preserve"> </w:t>
      </w:r>
      <w:r w:rsidRPr="00FD3DE1">
        <w:rPr>
          <w:rFonts w:asciiTheme="majorBidi" w:eastAsia="Times New Roman" w:hAnsiTheme="majorBidi" w:cstheme="majorBidi"/>
        </w:rPr>
        <w:t xml:space="preserve">rapeseed. Color scale corresponds to the logarithmic transformation of measured values (higher levels are shown in blue, lower levels in red and intermediate levels in dark colors for both blue/red). </w:t>
      </w:r>
      <w:r w:rsidRPr="00FD3DE1">
        <w:rPr>
          <w:rFonts w:asciiTheme="majorBidi" w:hAnsiTheme="majorBidi" w:cstheme="majorBidi"/>
        </w:rPr>
        <w:t>FG%: final germination percentage; GR: germination rate; VI (I): vigor index I; VI (II): vigor index II; ShL: shoot length; RL: root length; ShFW: shoot fresh weight; RFW: root fresh weight; ShDW: shoot dry weight; RDW: root dry weight;</w:t>
      </w:r>
      <w:r w:rsidRPr="00FD3DE1">
        <w:rPr>
          <w:rFonts w:asciiTheme="majorBidi" w:eastAsia="Times New Roman" w:hAnsiTheme="majorBidi" w:cstheme="majorBidi"/>
        </w:rPr>
        <w:t xml:space="preserve"> Chl a: chlorophyll a; Chl b: chlorophyll b</w:t>
      </w:r>
      <w:r w:rsidRPr="00FD3DE1">
        <w:rPr>
          <w:rFonts w:asciiTheme="majorBidi" w:hAnsiTheme="majorBidi" w:cstheme="majorBidi"/>
        </w:rPr>
        <w:t>; TC: total chlorophyll; C: carotenoid contents; TSS: total soluble sugar; TP: total protein; MDA: Lipid peroxidation; P: proline content; SOD: super oxidase dismutase activity; POD: peroxidase activity; CAT: catalase activity; APX: ascorbate peroxidase and GR: glutathione reductase.</w:t>
      </w:r>
    </w:p>
    <w:p w14:paraId="0BDC830E" w14:textId="77777777" w:rsidR="001C7D21" w:rsidRPr="00FD3DE1" w:rsidRDefault="001C7D21">
      <w:pPr>
        <w:rPr>
          <w:rFonts w:asciiTheme="majorBidi" w:hAnsiTheme="majorBidi" w:cstheme="majorBidi"/>
        </w:rPr>
      </w:pPr>
      <w:r w:rsidRPr="00FD3DE1">
        <w:rPr>
          <w:rFonts w:asciiTheme="majorBidi" w:hAnsiTheme="majorBidi" w:cstheme="majorBidi"/>
        </w:rPr>
        <w:br w:type="page"/>
      </w:r>
    </w:p>
    <w:tbl>
      <w:tblPr>
        <w:tblpPr w:leftFromText="180" w:rightFromText="180" w:vertAnchor="text" w:tblpXSpec="center" w:tblpY="1"/>
        <w:tblOverlap w:val="never"/>
        <w:tblW w:w="10363" w:type="dxa"/>
        <w:tblLook w:val="04A0" w:firstRow="1" w:lastRow="0" w:firstColumn="1" w:lastColumn="0" w:noHBand="0" w:noVBand="1"/>
      </w:tblPr>
      <w:tblGrid>
        <w:gridCol w:w="5439"/>
        <w:gridCol w:w="4924"/>
      </w:tblGrid>
      <w:tr w:rsidR="001C7D21" w:rsidRPr="00FD3DE1" w14:paraId="63780440" w14:textId="77777777" w:rsidTr="006B18D2">
        <w:trPr>
          <w:trHeight w:val="3521"/>
        </w:trPr>
        <w:tc>
          <w:tcPr>
            <w:tcW w:w="5439" w:type="dxa"/>
            <w:vAlign w:val="center"/>
          </w:tcPr>
          <w:p w14:paraId="259C6C41" w14:textId="35B86EEE" w:rsidR="001C7D21" w:rsidRPr="00FD3DE1" w:rsidRDefault="006B18D2" w:rsidP="006F3F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3DE1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7ECFE4FF" wp14:editId="273FDE53">
                  <wp:extent cx="2477069" cy="215963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063" cy="216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  <w:vAlign w:val="center"/>
          </w:tcPr>
          <w:p w14:paraId="7CF1CDFB" w14:textId="770F3399" w:rsidR="001C7D21" w:rsidRPr="00FD3DE1" w:rsidRDefault="006B18D2" w:rsidP="006F3F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3DE1">
              <w:rPr>
                <w:noProof/>
                <w:lang w:val="en-IN" w:eastAsia="en-IN"/>
              </w:rPr>
              <w:drawing>
                <wp:inline distT="0" distB="0" distL="0" distR="0" wp14:anchorId="1D3B72D7" wp14:editId="234B2AB4">
                  <wp:extent cx="2460369" cy="2160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6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1706C" w14:textId="7A0D9123" w:rsidR="00A64B32" w:rsidRPr="00FD3DE1" w:rsidRDefault="000A316B" w:rsidP="000A316B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FD3DE1">
        <w:rPr>
          <w:rFonts w:asciiTheme="majorBidi" w:eastAsia="Times New Roman" w:hAnsiTheme="majorBidi" w:cstheme="majorBidi"/>
          <w:b/>
          <w:bCs/>
        </w:rPr>
        <w:t>Fig</w:t>
      </w:r>
      <w:r w:rsidRPr="00FD3DE1">
        <w:rPr>
          <w:rFonts w:asciiTheme="majorBidi" w:eastAsia="Times New Roman" w:hAnsiTheme="majorBidi" w:cstheme="majorBidi"/>
        </w:rPr>
        <w:t xml:space="preserve">. </w:t>
      </w:r>
      <w:r w:rsidRPr="00FD3DE1">
        <w:rPr>
          <w:rFonts w:asciiTheme="majorBidi" w:eastAsia="Times New Roman" w:hAnsiTheme="majorBidi" w:cstheme="majorBidi"/>
          <w:b/>
          <w:bCs/>
        </w:rPr>
        <w:t>S5</w:t>
      </w:r>
      <w:r w:rsidRPr="00FD3DE1">
        <w:rPr>
          <w:rFonts w:asciiTheme="majorBidi" w:eastAsia="Times New Roman" w:hAnsiTheme="majorBidi" w:cstheme="majorBidi"/>
        </w:rPr>
        <w:t>. Impacts of selenium treatments on (a) shoot dry weight (g), and (b) root dry weight (g) on Yangyou 9 under two concentrations of salt stress during the early seedling stage. Bars represent ± SE of three replicates. The different letters indicate significant differences at (</w:t>
      </w:r>
      <w:r w:rsidRPr="00FD3DE1">
        <w:rPr>
          <w:rFonts w:asciiTheme="majorBidi" w:eastAsia="Times New Roman" w:hAnsiTheme="majorBidi" w:cstheme="majorBidi"/>
          <w:i/>
          <w:iCs/>
        </w:rPr>
        <w:t>P</w:t>
      </w:r>
      <w:r w:rsidRPr="00FD3DE1">
        <w:rPr>
          <w:rFonts w:asciiTheme="majorBidi" w:eastAsia="Times New Roman" w:hAnsiTheme="majorBidi" w:cstheme="majorBidi"/>
        </w:rPr>
        <w:t xml:space="preserve"> &lt; 0.05) using Duncan's multiple range tests.</w:t>
      </w:r>
    </w:p>
    <w:p w14:paraId="3B237B43" w14:textId="77777777" w:rsidR="00164577" w:rsidRPr="00FD3DE1" w:rsidRDefault="00164577" w:rsidP="001C7D21"/>
    <w:p w14:paraId="5B3C94FA" w14:textId="77777777" w:rsidR="00164577" w:rsidRPr="00FD3DE1" w:rsidRDefault="00164577" w:rsidP="00164577">
      <w:pPr>
        <w:spacing w:after="0" w:line="360" w:lineRule="auto"/>
        <w:ind w:firstLine="397"/>
        <w:jc w:val="both"/>
        <w:rPr>
          <w:rFonts w:asciiTheme="majorBidi" w:hAnsiTheme="majorBidi" w:cstheme="majorBidi"/>
          <w:sz w:val="24"/>
          <w:szCs w:val="24"/>
        </w:rPr>
      </w:pPr>
      <w:r w:rsidRPr="00FD3DE1">
        <w:rPr>
          <w:rFonts w:asciiTheme="majorBidi" w:hAnsiTheme="majorBidi" w:cstheme="majorBidi"/>
          <w:sz w:val="24"/>
          <w:szCs w:val="24"/>
        </w:rPr>
        <w:t>Shoot dry weight was increased by 36.21 and 33.98% in NaCl treatment under 150 and 200 mM, respectively. However, under 150 µmol L</w:t>
      </w:r>
      <w:r w:rsidRPr="00FD3DE1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FD3DE1">
        <w:rPr>
          <w:rFonts w:asciiTheme="majorBidi" w:hAnsiTheme="majorBidi" w:cstheme="majorBidi"/>
          <w:sz w:val="24"/>
          <w:szCs w:val="24"/>
        </w:rPr>
        <w:t>, bioSeNPs increased the shoot dry weight by 0.15% (150 mM) and 1.29% (200 mM), while Se (IV) improved it by 4.20% (150 mM) over the NaCl (Fig. S5a). Root dry weight was decreased by 43.52 and 58.90% in NaCl treatment under 150 and 200 mM, respectively. 150 µmol L</w:t>
      </w:r>
      <w:r w:rsidRPr="00FD3DE1">
        <w:rPr>
          <w:rFonts w:asciiTheme="majorBidi" w:hAnsiTheme="majorBidi" w:cstheme="majorBidi"/>
          <w:sz w:val="24"/>
          <w:szCs w:val="24"/>
          <w:vertAlign w:val="superscript"/>
        </w:rPr>
        <w:t xml:space="preserve">-1 </w:t>
      </w:r>
      <w:r w:rsidRPr="00FD3DE1">
        <w:rPr>
          <w:rFonts w:asciiTheme="majorBidi" w:hAnsiTheme="majorBidi" w:cstheme="majorBidi"/>
          <w:sz w:val="24"/>
          <w:szCs w:val="24"/>
        </w:rPr>
        <w:t>of Se decreased the root dry weight by 6.04 and 68.64% (150 mM), 1.93 and 65.77% (200 mM) under bioSeNPs and Se (IV), respectively versus seedlin</w:t>
      </w:r>
      <w:bookmarkStart w:id="0" w:name="_GoBack"/>
      <w:bookmarkEnd w:id="0"/>
      <w:r w:rsidRPr="00FD3DE1">
        <w:rPr>
          <w:rFonts w:asciiTheme="majorBidi" w:hAnsiTheme="majorBidi" w:cstheme="majorBidi"/>
          <w:sz w:val="24"/>
          <w:szCs w:val="24"/>
        </w:rPr>
        <w:t>g treated with NaCl alone (Fig. S5b).</w:t>
      </w:r>
    </w:p>
    <w:p w14:paraId="4E83A46A" w14:textId="67B8E484" w:rsidR="00A64B32" w:rsidRPr="00FD3DE1" w:rsidRDefault="00A64B32" w:rsidP="001C7D21">
      <w:r w:rsidRPr="00FD3DE1">
        <w:br w:type="page"/>
      </w:r>
    </w:p>
    <w:p w14:paraId="188D3156" w14:textId="2B7C2B96" w:rsidR="00A64B32" w:rsidRPr="00FD3DE1" w:rsidRDefault="00A64B32" w:rsidP="001C7D21">
      <w:pPr>
        <w:rPr>
          <w:rFonts w:asciiTheme="majorBidi" w:eastAsia="Times New Roman" w:hAnsiTheme="majorBidi" w:cstheme="majorBidi"/>
          <w:b/>
          <w:bCs/>
        </w:rPr>
      </w:pPr>
      <w:r w:rsidRPr="00FD3DE1">
        <w:rPr>
          <w:rFonts w:asciiTheme="majorBidi" w:eastAsia="Times New Roman" w:hAnsiTheme="majorBidi" w:cstheme="majorBidi"/>
          <w:b/>
          <w:bCs/>
        </w:rPr>
        <w:lastRenderedPageBreak/>
        <w:t>Table S1.</w:t>
      </w:r>
      <w:r w:rsidRPr="00FD3DE1">
        <w:rPr>
          <w:rFonts w:asciiTheme="majorBidi" w:eastAsia="Times New Roman" w:hAnsiTheme="majorBidi" w:cstheme="majorBidi"/>
        </w:rPr>
        <w:t xml:space="preserve"> Sequences of primers used in this study</w:t>
      </w:r>
    </w:p>
    <w:tbl>
      <w:tblPr>
        <w:tblpPr w:leftFromText="180" w:rightFromText="180" w:vertAnchor="text" w:tblpXSpec="center" w:tblpY="1"/>
        <w:tblOverlap w:val="never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3540"/>
        <w:gridCol w:w="2936"/>
        <w:gridCol w:w="3084"/>
      </w:tblGrid>
      <w:tr w:rsidR="00A64B32" w:rsidRPr="00FD3DE1" w14:paraId="7ED0164E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63BD2DA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bookmarkStart w:id="1" w:name="_Hlk54461505"/>
            <w:r w:rsidRPr="00FD3DE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No.</w:t>
            </w:r>
          </w:p>
        </w:tc>
        <w:tc>
          <w:tcPr>
            <w:tcW w:w="992" w:type="dxa"/>
            <w:vAlign w:val="center"/>
          </w:tcPr>
          <w:p w14:paraId="6B8E2A0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Abbreviation</w:t>
            </w:r>
          </w:p>
        </w:tc>
        <w:tc>
          <w:tcPr>
            <w:tcW w:w="3540" w:type="dxa"/>
            <w:vAlign w:val="center"/>
          </w:tcPr>
          <w:p w14:paraId="47EF22C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Gene name</w:t>
            </w:r>
          </w:p>
        </w:tc>
        <w:tc>
          <w:tcPr>
            <w:tcW w:w="2936" w:type="dxa"/>
            <w:vAlign w:val="center"/>
          </w:tcPr>
          <w:p w14:paraId="3C1572F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3084" w:type="dxa"/>
            <w:vAlign w:val="center"/>
          </w:tcPr>
          <w:p w14:paraId="1DE8960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R</w:t>
            </w:r>
          </w:p>
        </w:tc>
      </w:tr>
      <w:tr w:rsidR="00A64B32" w:rsidRPr="00FD3DE1" w14:paraId="3612B5C0" w14:textId="77777777" w:rsidTr="00A64B32">
        <w:trPr>
          <w:trHeight w:val="135"/>
        </w:trPr>
        <w:tc>
          <w:tcPr>
            <w:tcW w:w="10973" w:type="dxa"/>
            <w:gridSpan w:val="5"/>
            <w:vAlign w:val="center"/>
          </w:tcPr>
          <w:p w14:paraId="0FF49C0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Antioxidant related genes</w:t>
            </w:r>
          </w:p>
        </w:tc>
      </w:tr>
      <w:tr w:rsidR="00A64B32" w:rsidRPr="00FD3DE1" w14:paraId="1DBF3CB9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06D34E3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736D123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SOD</w:t>
            </w:r>
          </w:p>
        </w:tc>
        <w:tc>
          <w:tcPr>
            <w:tcW w:w="3540" w:type="dxa"/>
            <w:vAlign w:val="center"/>
          </w:tcPr>
          <w:p w14:paraId="3A60873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Superoxide dismutase</w:t>
            </w:r>
          </w:p>
        </w:tc>
        <w:tc>
          <w:tcPr>
            <w:tcW w:w="2936" w:type="dxa"/>
            <w:vAlign w:val="center"/>
          </w:tcPr>
          <w:p w14:paraId="243054E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ACGGTGTGACCACTGTGACT</w:t>
            </w:r>
          </w:p>
        </w:tc>
        <w:tc>
          <w:tcPr>
            <w:tcW w:w="3084" w:type="dxa"/>
            <w:vAlign w:val="center"/>
          </w:tcPr>
          <w:p w14:paraId="6D34CD9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GCACCGTGTTGTTTACCATC</w:t>
            </w:r>
          </w:p>
        </w:tc>
      </w:tr>
      <w:tr w:rsidR="00A64B32" w:rsidRPr="00FD3DE1" w14:paraId="3181BE6D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4C89413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898148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POD</w:t>
            </w:r>
          </w:p>
        </w:tc>
        <w:tc>
          <w:tcPr>
            <w:tcW w:w="3540" w:type="dxa"/>
            <w:vAlign w:val="center"/>
          </w:tcPr>
          <w:p w14:paraId="0D5768D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Peroxidase</w:t>
            </w:r>
          </w:p>
        </w:tc>
        <w:tc>
          <w:tcPr>
            <w:tcW w:w="2936" w:type="dxa"/>
            <w:vAlign w:val="center"/>
          </w:tcPr>
          <w:p w14:paraId="6D5CC62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ATGTTTCGTGCGTCTCTGTC</w:t>
            </w:r>
          </w:p>
        </w:tc>
        <w:tc>
          <w:tcPr>
            <w:tcW w:w="3084" w:type="dxa"/>
            <w:vAlign w:val="center"/>
          </w:tcPr>
          <w:p w14:paraId="1B29E6A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TACGAGGGTCC- GATCTTAGC</w:t>
            </w:r>
          </w:p>
        </w:tc>
      </w:tr>
      <w:tr w:rsidR="00A64B32" w:rsidRPr="00FD3DE1" w14:paraId="246787F8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597332D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33713FE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CAT</w:t>
            </w:r>
          </w:p>
        </w:tc>
        <w:tc>
          <w:tcPr>
            <w:tcW w:w="3540" w:type="dxa"/>
            <w:vAlign w:val="center"/>
          </w:tcPr>
          <w:p w14:paraId="1AACB7A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Catalase</w:t>
            </w:r>
          </w:p>
        </w:tc>
        <w:tc>
          <w:tcPr>
            <w:tcW w:w="2936" w:type="dxa"/>
            <w:vAlign w:val="center"/>
          </w:tcPr>
          <w:p w14:paraId="6F0DCFB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TCGCCATGCTGAGAAGTATC</w:t>
            </w:r>
          </w:p>
        </w:tc>
        <w:tc>
          <w:tcPr>
            <w:tcW w:w="3084" w:type="dxa"/>
            <w:vAlign w:val="center"/>
          </w:tcPr>
          <w:p w14:paraId="7FE58D3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TCTCCAGGCTCCTTGAAGTT</w:t>
            </w:r>
          </w:p>
        </w:tc>
      </w:tr>
      <w:tr w:rsidR="00A64B32" w:rsidRPr="00FD3DE1" w14:paraId="24BD4158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32D7FAD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22BF5B2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APX</w:t>
            </w:r>
          </w:p>
        </w:tc>
        <w:tc>
          <w:tcPr>
            <w:tcW w:w="3540" w:type="dxa"/>
            <w:vAlign w:val="center"/>
          </w:tcPr>
          <w:p w14:paraId="2218DED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Ascorbate peroxidase</w:t>
            </w:r>
          </w:p>
        </w:tc>
        <w:tc>
          <w:tcPr>
            <w:tcW w:w="2936" w:type="dxa"/>
            <w:vAlign w:val="center"/>
          </w:tcPr>
          <w:p w14:paraId="2F2947E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ATGAGGTTTGA CGGTGAGC</w:t>
            </w:r>
          </w:p>
        </w:tc>
        <w:tc>
          <w:tcPr>
            <w:tcW w:w="3084" w:type="dxa"/>
            <w:vAlign w:val="center"/>
          </w:tcPr>
          <w:p w14:paraId="5DB931E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CAGCATGGGAGATGGTAGG</w:t>
            </w:r>
          </w:p>
        </w:tc>
      </w:tr>
      <w:tr w:rsidR="00A64B32" w:rsidRPr="00FD3DE1" w14:paraId="451BA7DE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0B80843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5C5C209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GR</w:t>
            </w:r>
          </w:p>
        </w:tc>
        <w:tc>
          <w:tcPr>
            <w:tcW w:w="3540" w:type="dxa"/>
            <w:vAlign w:val="center"/>
          </w:tcPr>
          <w:p w14:paraId="555C3EE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Glutathione reductase</w:t>
            </w:r>
          </w:p>
        </w:tc>
        <w:tc>
          <w:tcPr>
            <w:tcW w:w="2936" w:type="dxa"/>
            <w:vAlign w:val="center"/>
          </w:tcPr>
          <w:p w14:paraId="4EE677F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AAGCTGGAGCTGTGAAGGTT</w:t>
            </w:r>
          </w:p>
        </w:tc>
        <w:tc>
          <w:tcPr>
            <w:tcW w:w="3084" w:type="dxa"/>
            <w:vAlign w:val="center"/>
          </w:tcPr>
          <w:p w14:paraId="7A951A3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AGACAGTGTTCGCAAAGCAG</w:t>
            </w:r>
          </w:p>
        </w:tc>
      </w:tr>
      <w:tr w:rsidR="00A64B32" w:rsidRPr="00FD3DE1" w14:paraId="172DAAEA" w14:textId="77777777" w:rsidTr="00A64B32">
        <w:trPr>
          <w:trHeight w:val="135"/>
        </w:trPr>
        <w:tc>
          <w:tcPr>
            <w:tcW w:w="10973" w:type="dxa"/>
            <w:gridSpan w:val="5"/>
            <w:vAlign w:val="center"/>
          </w:tcPr>
          <w:p w14:paraId="5103BB1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</w:p>
        </w:tc>
      </w:tr>
      <w:tr w:rsidR="00A64B32" w:rsidRPr="00FD3DE1" w14:paraId="2231562B" w14:textId="77777777" w:rsidTr="00A64B32">
        <w:trPr>
          <w:trHeight w:val="198"/>
        </w:trPr>
        <w:tc>
          <w:tcPr>
            <w:tcW w:w="421" w:type="dxa"/>
            <w:vAlign w:val="center"/>
          </w:tcPr>
          <w:p w14:paraId="4E029E0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5574AC1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E3-MUL1</w:t>
            </w:r>
          </w:p>
        </w:tc>
        <w:tc>
          <w:tcPr>
            <w:tcW w:w="3540" w:type="dxa"/>
            <w:vAlign w:val="center"/>
          </w:tcPr>
          <w:p w14:paraId="77FB91E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E3 ubiquitin-protein ligase MUL1</w:t>
            </w:r>
          </w:p>
        </w:tc>
        <w:tc>
          <w:tcPr>
            <w:tcW w:w="2936" w:type="dxa"/>
            <w:vAlign w:val="center"/>
          </w:tcPr>
          <w:p w14:paraId="09191BB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TGCTGGCATCCTTGGCTTTGC</w:t>
            </w:r>
          </w:p>
        </w:tc>
        <w:tc>
          <w:tcPr>
            <w:tcW w:w="3084" w:type="dxa"/>
            <w:vAlign w:val="center"/>
          </w:tcPr>
          <w:p w14:paraId="234827F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TGCGCTGGTCTCTGCTCGAC</w:t>
            </w:r>
          </w:p>
        </w:tc>
      </w:tr>
      <w:tr w:rsidR="00A64B32" w:rsidRPr="00FD3DE1" w14:paraId="35874EBE" w14:textId="77777777" w:rsidTr="00A64B32">
        <w:trPr>
          <w:trHeight w:val="201"/>
        </w:trPr>
        <w:tc>
          <w:tcPr>
            <w:tcW w:w="421" w:type="dxa"/>
            <w:vAlign w:val="center"/>
          </w:tcPr>
          <w:p w14:paraId="59C36EA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97833D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CTP</w:t>
            </w:r>
          </w:p>
        </w:tc>
        <w:tc>
          <w:tcPr>
            <w:tcW w:w="3540" w:type="dxa"/>
            <w:vAlign w:val="center"/>
          </w:tcPr>
          <w:p w14:paraId="536983AA" w14:textId="4C73142B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CTP synthase (glutamine metabolic process)</w:t>
            </w:r>
          </w:p>
        </w:tc>
        <w:tc>
          <w:tcPr>
            <w:tcW w:w="2936" w:type="dxa"/>
            <w:vAlign w:val="center"/>
          </w:tcPr>
          <w:p w14:paraId="11ECF25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TGATGAGAGACACCGGCACAGA</w:t>
            </w:r>
          </w:p>
        </w:tc>
        <w:tc>
          <w:tcPr>
            <w:tcW w:w="3084" w:type="dxa"/>
            <w:vAlign w:val="center"/>
          </w:tcPr>
          <w:p w14:paraId="4A18D3E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CCATACGACGCCCAGTCCCA</w:t>
            </w:r>
          </w:p>
        </w:tc>
      </w:tr>
      <w:tr w:rsidR="00A64B32" w:rsidRPr="00FD3DE1" w14:paraId="7D8CDBD2" w14:textId="77777777" w:rsidTr="00A64B32">
        <w:trPr>
          <w:trHeight w:val="198"/>
        </w:trPr>
        <w:tc>
          <w:tcPr>
            <w:tcW w:w="421" w:type="dxa"/>
            <w:vAlign w:val="center"/>
          </w:tcPr>
          <w:p w14:paraId="22E49D7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377A0B9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LBD16</w:t>
            </w:r>
          </w:p>
        </w:tc>
        <w:tc>
          <w:tcPr>
            <w:tcW w:w="3540" w:type="dxa"/>
            <w:vAlign w:val="center"/>
          </w:tcPr>
          <w:p w14:paraId="601C6C0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LOB domain-containing protein 16</w:t>
            </w:r>
          </w:p>
        </w:tc>
        <w:tc>
          <w:tcPr>
            <w:tcW w:w="2936" w:type="dxa"/>
            <w:vAlign w:val="center"/>
          </w:tcPr>
          <w:p w14:paraId="3D68911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CGTCAGCCGCCGAAGGTACT</w:t>
            </w:r>
          </w:p>
        </w:tc>
        <w:tc>
          <w:tcPr>
            <w:tcW w:w="3084" w:type="dxa"/>
            <w:vAlign w:val="center"/>
          </w:tcPr>
          <w:p w14:paraId="6F93360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GCTCTGTGGCGAGACCGGAT</w:t>
            </w:r>
          </w:p>
        </w:tc>
      </w:tr>
      <w:tr w:rsidR="00A64B32" w:rsidRPr="00FD3DE1" w14:paraId="240AE740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FD9FE8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9054E0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SULT1A</w:t>
            </w:r>
          </w:p>
        </w:tc>
        <w:tc>
          <w:tcPr>
            <w:tcW w:w="3540" w:type="dxa"/>
            <w:vAlign w:val="center"/>
          </w:tcPr>
          <w:p w14:paraId="2B8FB1C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Aryl sulfotransferase</w:t>
            </w:r>
          </w:p>
        </w:tc>
        <w:tc>
          <w:tcPr>
            <w:tcW w:w="2936" w:type="dxa"/>
            <w:vAlign w:val="center"/>
          </w:tcPr>
          <w:p w14:paraId="42A4A29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CCAGCTCAAGAGACTTGCGGAGT</w:t>
            </w:r>
          </w:p>
        </w:tc>
        <w:tc>
          <w:tcPr>
            <w:tcW w:w="3084" w:type="dxa"/>
            <w:vAlign w:val="center"/>
          </w:tcPr>
          <w:p w14:paraId="40FF7A7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GGCTACGCAGGGAGCAGAGC</w:t>
            </w:r>
          </w:p>
        </w:tc>
      </w:tr>
      <w:tr w:rsidR="00A64B32" w:rsidRPr="00FD3DE1" w14:paraId="31079DA6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515653E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77DE5E1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SOX</w:t>
            </w:r>
          </w:p>
        </w:tc>
        <w:tc>
          <w:tcPr>
            <w:tcW w:w="3540" w:type="dxa"/>
            <w:vAlign w:val="center"/>
          </w:tcPr>
          <w:p w14:paraId="28CDBFD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Sulfite oxidase</w:t>
            </w:r>
          </w:p>
        </w:tc>
        <w:tc>
          <w:tcPr>
            <w:tcW w:w="2936" w:type="dxa"/>
            <w:vAlign w:val="center"/>
          </w:tcPr>
          <w:p w14:paraId="7845D9F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TGGTCCTCAAGGAGACCGCAA</w:t>
            </w:r>
          </w:p>
        </w:tc>
        <w:tc>
          <w:tcPr>
            <w:tcW w:w="3084" w:type="dxa"/>
            <w:vAlign w:val="center"/>
          </w:tcPr>
          <w:p w14:paraId="2AC70B4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CCCGCCCACCTCCAGAAACC</w:t>
            </w:r>
          </w:p>
        </w:tc>
      </w:tr>
      <w:tr w:rsidR="00A64B32" w:rsidRPr="00FD3DE1" w14:paraId="61DB0866" w14:textId="77777777" w:rsidTr="00A64B32">
        <w:trPr>
          <w:trHeight w:val="198"/>
        </w:trPr>
        <w:tc>
          <w:tcPr>
            <w:tcW w:w="421" w:type="dxa"/>
            <w:vAlign w:val="center"/>
          </w:tcPr>
          <w:p w14:paraId="0C37A56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4DD1077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Aat</w:t>
            </w:r>
          </w:p>
        </w:tc>
        <w:tc>
          <w:tcPr>
            <w:tcW w:w="3540" w:type="dxa"/>
            <w:vAlign w:val="center"/>
          </w:tcPr>
          <w:p w14:paraId="6717DF54" w14:textId="75D99779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Aspartate aminotransferase</w:t>
            </w:r>
          </w:p>
        </w:tc>
        <w:tc>
          <w:tcPr>
            <w:tcW w:w="2936" w:type="dxa"/>
            <w:vAlign w:val="center"/>
          </w:tcPr>
          <w:p w14:paraId="19DF92D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AGGCCACTGCTGAGCTGCTT</w:t>
            </w:r>
          </w:p>
        </w:tc>
        <w:tc>
          <w:tcPr>
            <w:tcW w:w="3084" w:type="dxa"/>
            <w:vAlign w:val="center"/>
          </w:tcPr>
          <w:p w14:paraId="3110856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AGCCGCTGCTAACCGCAGTG</w:t>
            </w:r>
          </w:p>
        </w:tc>
      </w:tr>
      <w:tr w:rsidR="00A64B32" w:rsidRPr="00FD3DE1" w14:paraId="54F31BBE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2ADE298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27EC6FF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GST-12</w:t>
            </w:r>
          </w:p>
        </w:tc>
        <w:tc>
          <w:tcPr>
            <w:tcW w:w="3540" w:type="dxa"/>
            <w:vAlign w:val="center"/>
          </w:tcPr>
          <w:p w14:paraId="349058F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glutathione S-transferase 12</w:t>
            </w:r>
          </w:p>
        </w:tc>
        <w:tc>
          <w:tcPr>
            <w:tcW w:w="2936" w:type="dxa"/>
            <w:vAlign w:val="center"/>
          </w:tcPr>
          <w:p w14:paraId="20B17D0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GCCTGGCCGTCCAAGCTTTC</w:t>
            </w:r>
          </w:p>
        </w:tc>
        <w:tc>
          <w:tcPr>
            <w:tcW w:w="3084" w:type="dxa"/>
            <w:vAlign w:val="center"/>
          </w:tcPr>
          <w:p w14:paraId="54156C9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CCATCCTCCCGGCGTCATCC</w:t>
            </w:r>
          </w:p>
        </w:tc>
      </w:tr>
      <w:tr w:rsidR="00A64B32" w:rsidRPr="00FD3DE1" w14:paraId="7AEA4035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0D7C27C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6F0F02B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Trx1</w:t>
            </w:r>
          </w:p>
        </w:tc>
        <w:tc>
          <w:tcPr>
            <w:tcW w:w="3540" w:type="dxa"/>
            <w:vAlign w:val="center"/>
          </w:tcPr>
          <w:p w14:paraId="2DE8F9C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Thioredoxin 1</w:t>
            </w:r>
          </w:p>
        </w:tc>
        <w:tc>
          <w:tcPr>
            <w:tcW w:w="2936" w:type="dxa"/>
            <w:vAlign w:val="center"/>
          </w:tcPr>
          <w:p w14:paraId="5DC24CEF" w14:textId="379505B4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GCAGACATCGACGAATGCCCTGA</w:t>
            </w:r>
          </w:p>
        </w:tc>
        <w:tc>
          <w:tcPr>
            <w:tcW w:w="3084" w:type="dxa"/>
            <w:vAlign w:val="center"/>
          </w:tcPr>
          <w:p w14:paraId="020E554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GCCAAAGACGATCACGGAGCCT</w:t>
            </w:r>
          </w:p>
        </w:tc>
      </w:tr>
      <w:tr w:rsidR="00A64B32" w:rsidRPr="00FD3DE1" w14:paraId="225E4502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07AE330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40E89B8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E2</w:t>
            </w:r>
          </w:p>
        </w:tc>
        <w:tc>
          <w:tcPr>
            <w:tcW w:w="3540" w:type="dxa"/>
            <w:vAlign w:val="center"/>
          </w:tcPr>
          <w:p w14:paraId="36A3CA9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ubiquitin-conjugating enzyme E2</w:t>
            </w:r>
          </w:p>
        </w:tc>
        <w:tc>
          <w:tcPr>
            <w:tcW w:w="2936" w:type="dxa"/>
            <w:vAlign w:val="center"/>
          </w:tcPr>
          <w:p w14:paraId="44A0957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TGGTCCCAACGATGAGTCTCCTG</w:t>
            </w:r>
          </w:p>
        </w:tc>
        <w:tc>
          <w:tcPr>
            <w:tcW w:w="3084" w:type="dxa"/>
            <w:vAlign w:val="center"/>
          </w:tcPr>
          <w:p w14:paraId="5F92EB6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TCTCACACACCGGCTCACCT</w:t>
            </w:r>
          </w:p>
        </w:tc>
      </w:tr>
      <w:tr w:rsidR="00A64B32" w:rsidRPr="00FD3DE1" w14:paraId="6F8A59D0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58A2F1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13DB5F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ABCC1</w:t>
            </w:r>
          </w:p>
        </w:tc>
        <w:tc>
          <w:tcPr>
            <w:tcW w:w="3540" w:type="dxa"/>
            <w:vAlign w:val="center"/>
          </w:tcPr>
          <w:p w14:paraId="677A7D1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ATP-binding cassette, subfamily B (MDR/TAP), member 1</w:t>
            </w:r>
          </w:p>
        </w:tc>
        <w:tc>
          <w:tcPr>
            <w:tcW w:w="2936" w:type="dxa"/>
            <w:vAlign w:val="center"/>
          </w:tcPr>
          <w:p w14:paraId="611D328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TGCGTGGTACGGAAGCAGGT</w:t>
            </w:r>
          </w:p>
        </w:tc>
        <w:tc>
          <w:tcPr>
            <w:tcW w:w="3084" w:type="dxa"/>
            <w:vAlign w:val="center"/>
          </w:tcPr>
          <w:p w14:paraId="3827F262" w14:textId="6B0890E5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GCCGTCCCTAGAGAAAGGCCACT</w:t>
            </w:r>
          </w:p>
        </w:tc>
      </w:tr>
      <w:tr w:rsidR="00A64B32" w:rsidRPr="00FD3DE1" w14:paraId="26206975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29A473F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14:paraId="250126F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E3-RNF13</w:t>
            </w:r>
          </w:p>
        </w:tc>
        <w:tc>
          <w:tcPr>
            <w:tcW w:w="3540" w:type="dxa"/>
            <w:vAlign w:val="center"/>
          </w:tcPr>
          <w:p w14:paraId="38419F7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E3 ubiquitin-protein ligase RNF13</w:t>
            </w:r>
          </w:p>
        </w:tc>
        <w:tc>
          <w:tcPr>
            <w:tcW w:w="2936" w:type="dxa"/>
            <w:vAlign w:val="center"/>
          </w:tcPr>
          <w:p w14:paraId="488F4CC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CGTCGCCGTCGCAGAGATCA</w:t>
            </w:r>
          </w:p>
        </w:tc>
        <w:tc>
          <w:tcPr>
            <w:tcW w:w="3084" w:type="dxa"/>
            <w:vAlign w:val="center"/>
          </w:tcPr>
          <w:p w14:paraId="3C806E9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CAGGCGACGCATTGCTCGGA</w:t>
            </w:r>
          </w:p>
        </w:tc>
      </w:tr>
      <w:tr w:rsidR="00A64B32" w:rsidRPr="00FD3DE1" w14:paraId="0A0BAA94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447A80F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14:paraId="2AB2B7A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PRt5</w:t>
            </w:r>
          </w:p>
        </w:tc>
        <w:tc>
          <w:tcPr>
            <w:tcW w:w="3540" w:type="dxa"/>
            <w:vAlign w:val="center"/>
          </w:tcPr>
          <w:p w14:paraId="253BA04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26S proteasome regulatory subunit T5</w:t>
            </w:r>
          </w:p>
        </w:tc>
        <w:tc>
          <w:tcPr>
            <w:tcW w:w="2936" w:type="dxa"/>
            <w:vAlign w:val="center"/>
          </w:tcPr>
          <w:p w14:paraId="7B7FFF1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ACAGGGAAGTGCAGCGGACTA</w:t>
            </w:r>
          </w:p>
        </w:tc>
        <w:tc>
          <w:tcPr>
            <w:tcW w:w="3084" w:type="dxa"/>
            <w:vAlign w:val="center"/>
          </w:tcPr>
          <w:p w14:paraId="7869B32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ACGCATCAGTGCTGGGTCCAA</w:t>
            </w:r>
          </w:p>
        </w:tc>
      </w:tr>
      <w:tr w:rsidR="00A64B32" w:rsidRPr="00FD3DE1" w14:paraId="5DD6D88F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7C9BB28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14:paraId="7C1CB8C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APR</w:t>
            </w:r>
          </w:p>
        </w:tc>
        <w:tc>
          <w:tcPr>
            <w:tcW w:w="3540" w:type="dxa"/>
            <w:vAlign w:val="center"/>
          </w:tcPr>
          <w:p w14:paraId="74EAE06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Adenylyl sulfate reductase</w:t>
            </w:r>
          </w:p>
        </w:tc>
        <w:tc>
          <w:tcPr>
            <w:tcW w:w="2936" w:type="dxa"/>
            <w:vAlign w:val="center"/>
          </w:tcPr>
          <w:p w14:paraId="71AF84F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TTGAGGCGTGCGCTCAAGGG</w:t>
            </w:r>
          </w:p>
        </w:tc>
        <w:tc>
          <w:tcPr>
            <w:tcW w:w="3084" w:type="dxa"/>
            <w:vAlign w:val="center"/>
          </w:tcPr>
          <w:p w14:paraId="758DD95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CAGCTCCGCCGTCCAAACCT</w:t>
            </w:r>
          </w:p>
        </w:tc>
      </w:tr>
      <w:tr w:rsidR="00A64B32" w:rsidRPr="00FD3DE1" w14:paraId="7AE745E9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63EC19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14:paraId="009576F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Sulfur1;2</w:t>
            </w:r>
          </w:p>
        </w:tc>
        <w:tc>
          <w:tcPr>
            <w:tcW w:w="3540" w:type="dxa"/>
            <w:vAlign w:val="center"/>
          </w:tcPr>
          <w:p w14:paraId="010131D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Sulfate transporter 1;2 (high-affinity)</w:t>
            </w:r>
          </w:p>
        </w:tc>
        <w:tc>
          <w:tcPr>
            <w:tcW w:w="2936" w:type="dxa"/>
            <w:vAlign w:val="center"/>
          </w:tcPr>
          <w:p w14:paraId="25E24F6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AATCGGACCCGTCGCTGTGG</w:t>
            </w:r>
          </w:p>
        </w:tc>
        <w:tc>
          <w:tcPr>
            <w:tcW w:w="3084" w:type="dxa"/>
            <w:vAlign w:val="center"/>
          </w:tcPr>
          <w:p w14:paraId="760D64F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ACGTGGCGGTGAAGGCAAGT</w:t>
            </w:r>
          </w:p>
        </w:tc>
      </w:tr>
      <w:tr w:rsidR="00A64B32" w:rsidRPr="00FD3DE1" w14:paraId="1946650A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571ECB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14:paraId="4E92DFB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PLR1</w:t>
            </w:r>
          </w:p>
        </w:tc>
        <w:tc>
          <w:tcPr>
            <w:tcW w:w="3540" w:type="dxa"/>
            <w:vAlign w:val="center"/>
          </w:tcPr>
          <w:p w14:paraId="739CD13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pyridoxine 4-dehydrogenase</w:t>
            </w:r>
          </w:p>
        </w:tc>
        <w:tc>
          <w:tcPr>
            <w:tcW w:w="2936" w:type="dxa"/>
            <w:vAlign w:val="center"/>
          </w:tcPr>
          <w:p w14:paraId="6212CFC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ACCGCAAACTACGCGCCTCT</w:t>
            </w:r>
          </w:p>
        </w:tc>
        <w:tc>
          <w:tcPr>
            <w:tcW w:w="3084" w:type="dxa"/>
            <w:vAlign w:val="center"/>
          </w:tcPr>
          <w:p w14:paraId="06B9999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TGACTCCAACAGCTCGAACTAGCC</w:t>
            </w:r>
          </w:p>
        </w:tc>
      </w:tr>
      <w:tr w:rsidR="00A64B32" w:rsidRPr="00FD3DE1" w14:paraId="2D3820A2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3C9EFE0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14:paraId="3A846B1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metB (CγS)</w:t>
            </w:r>
          </w:p>
        </w:tc>
        <w:tc>
          <w:tcPr>
            <w:tcW w:w="3540" w:type="dxa"/>
            <w:vAlign w:val="center"/>
          </w:tcPr>
          <w:p w14:paraId="050D7108" w14:textId="42AB9E79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cystathionine gamma-synthase</w:t>
            </w:r>
          </w:p>
        </w:tc>
        <w:tc>
          <w:tcPr>
            <w:tcW w:w="2936" w:type="dxa"/>
            <w:vAlign w:val="center"/>
          </w:tcPr>
          <w:p w14:paraId="6FB5F64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TGTGGCCCACTGAAGGTGGT</w:t>
            </w:r>
          </w:p>
        </w:tc>
        <w:tc>
          <w:tcPr>
            <w:tcW w:w="3084" w:type="dxa"/>
            <w:vAlign w:val="center"/>
          </w:tcPr>
          <w:p w14:paraId="32B6E33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AGGTACGCTGCGTTCGGGTT</w:t>
            </w:r>
          </w:p>
        </w:tc>
      </w:tr>
      <w:tr w:rsidR="00A64B32" w:rsidRPr="00FD3DE1" w14:paraId="61214753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5D48A44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center"/>
          </w:tcPr>
          <w:p w14:paraId="46D3A8F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metE (MET)</w:t>
            </w:r>
          </w:p>
        </w:tc>
        <w:tc>
          <w:tcPr>
            <w:tcW w:w="3540" w:type="dxa"/>
            <w:vAlign w:val="center"/>
          </w:tcPr>
          <w:p w14:paraId="4106C04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5-methyltetrahydropteroyl-triglutamate-homocysteine methyltransferase</w:t>
            </w:r>
          </w:p>
        </w:tc>
        <w:tc>
          <w:tcPr>
            <w:tcW w:w="2936" w:type="dxa"/>
            <w:vAlign w:val="center"/>
          </w:tcPr>
          <w:p w14:paraId="3B0B8A3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CCACCGCTATGCTCGGTGCT</w:t>
            </w:r>
          </w:p>
        </w:tc>
        <w:tc>
          <w:tcPr>
            <w:tcW w:w="3084" w:type="dxa"/>
            <w:vAlign w:val="center"/>
          </w:tcPr>
          <w:p w14:paraId="44C1FD5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CCATGGCTGGAACAGAGGCGTT</w:t>
            </w:r>
          </w:p>
        </w:tc>
      </w:tr>
      <w:tr w:rsidR="00A64B32" w:rsidRPr="00FD3DE1" w14:paraId="5A4C9CB0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54BA2EF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14:paraId="05A9991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metC (CBL)</w:t>
            </w:r>
          </w:p>
        </w:tc>
        <w:tc>
          <w:tcPr>
            <w:tcW w:w="3540" w:type="dxa"/>
            <w:vAlign w:val="center"/>
          </w:tcPr>
          <w:p w14:paraId="5662165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cystathionine beta-lyase</w:t>
            </w:r>
          </w:p>
        </w:tc>
        <w:tc>
          <w:tcPr>
            <w:tcW w:w="2936" w:type="dxa"/>
            <w:vAlign w:val="center"/>
          </w:tcPr>
          <w:p w14:paraId="0C00CAE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TGGGAATCCTACACGGGATGCAC</w:t>
            </w:r>
          </w:p>
        </w:tc>
        <w:tc>
          <w:tcPr>
            <w:tcW w:w="3084" w:type="dxa"/>
            <w:vAlign w:val="center"/>
          </w:tcPr>
          <w:p w14:paraId="1575911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AGCAGCAAGAGCAGCCATTCCA</w:t>
            </w:r>
          </w:p>
        </w:tc>
      </w:tr>
      <w:tr w:rsidR="00A64B32" w:rsidRPr="00FD3DE1" w14:paraId="198ECF28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4823EAA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14:paraId="24EDAC9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CYSK</w:t>
            </w:r>
          </w:p>
        </w:tc>
        <w:tc>
          <w:tcPr>
            <w:tcW w:w="3540" w:type="dxa"/>
            <w:vAlign w:val="center"/>
          </w:tcPr>
          <w:p w14:paraId="4D01C40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cysteine synthase A</w:t>
            </w:r>
          </w:p>
        </w:tc>
        <w:tc>
          <w:tcPr>
            <w:tcW w:w="2936" w:type="dxa"/>
            <w:vAlign w:val="center"/>
          </w:tcPr>
          <w:p w14:paraId="57C98DAA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GGGAAACACTGGCCTCGGGAT</w:t>
            </w:r>
          </w:p>
        </w:tc>
        <w:tc>
          <w:tcPr>
            <w:tcW w:w="3084" w:type="dxa"/>
            <w:vAlign w:val="center"/>
          </w:tcPr>
          <w:p w14:paraId="6A4CA62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CCGCTCCTAGCGCGCGTAAA</w:t>
            </w:r>
          </w:p>
        </w:tc>
      </w:tr>
      <w:tr w:rsidR="00A64B32" w:rsidRPr="00FD3DE1" w14:paraId="7AFC43BB" w14:textId="77777777" w:rsidTr="00A64B32">
        <w:trPr>
          <w:trHeight w:val="182"/>
        </w:trPr>
        <w:tc>
          <w:tcPr>
            <w:tcW w:w="421" w:type="dxa"/>
            <w:vAlign w:val="center"/>
          </w:tcPr>
          <w:p w14:paraId="16ADF2B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2A4557B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SL</w:t>
            </w:r>
          </w:p>
        </w:tc>
        <w:tc>
          <w:tcPr>
            <w:tcW w:w="3540" w:type="dxa"/>
            <w:vAlign w:val="center"/>
          </w:tcPr>
          <w:p w14:paraId="4143877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selenocysteine lyase</w:t>
            </w:r>
          </w:p>
        </w:tc>
        <w:tc>
          <w:tcPr>
            <w:tcW w:w="2936" w:type="dxa"/>
            <w:vAlign w:val="center"/>
          </w:tcPr>
          <w:p w14:paraId="56AF99B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TGTGGAGGGACTGCACCCAA</w:t>
            </w:r>
          </w:p>
        </w:tc>
        <w:tc>
          <w:tcPr>
            <w:tcW w:w="3084" w:type="dxa"/>
            <w:vAlign w:val="center"/>
          </w:tcPr>
          <w:p w14:paraId="29AA07D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GCGCAGTGGTGTCCTGACCT</w:t>
            </w:r>
          </w:p>
        </w:tc>
      </w:tr>
      <w:tr w:rsidR="00A64B32" w:rsidRPr="00FD3DE1" w14:paraId="3A12D3B3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3ABF61B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vAlign w:val="center"/>
          </w:tcPr>
          <w:p w14:paraId="5B14317F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GST-U4</w:t>
            </w:r>
          </w:p>
        </w:tc>
        <w:tc>
          <w:tcPr>
            <w:tcW w:w="3540" w:type="dxa"/>
            <w:vAlign w:val="center"/>
          </w:tcPr>
          <w:p w14:paraId="30BBBFB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glutathione S-transferase tau 4</w:t>
            </w:r>
          </w:p>
        </w:tc>
        <w:tc>
          <w:tcPr>
            <w:tcW w:w="2936" w:type="dxa"/>
            <w:vAlign w:val="center"/>
          </w:tcPr>
          <w:p w14:paraId="2DB581A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TCGGCGGCAAGACAATCGGA</w:t>
            </w:r>
          </w:p>
        </w:tc>
        <w:tc>
          <w:tcPr>
            <w:tcW w:w="3084" w:type="dxa"/>
            <w:vAlign w:val="center"/>
          </w:tcPr>
          <w:p w14:paraId="273BBEC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TTCCCAAGCCCGAGCTACGC</w:t>
            </w:r>
          </w:p>
        </w:tc>
      </w:tr>
      <w:tr w:rsidR="00A64B32" w:rsidRPr="00FD3DE1" w14:paraId="13A8A2F8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7F505A1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92" w:type="dxa"/>
            <w:vAlign w:val="center"/>
          </w:tcPr>
          <w:p w14:paraId="489CD29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PAPSS</w:t>
            </w:r>
          </w:p>
        </w:tc>
        <w:tc>
          <w:tcPr>
            <w:tcW w:w="3540" w:type="dxa"/>
            <w:vAlign w:val="center"/>
          </w:tcPr>
          <w:p w14:paraId="4347A12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3′-phosphoadenosine 5′-phosphosulfate synthase</w:t>
            </w:r>
          </w:p>
        </w:tc>
        <w:tc>
          <w:tcPr>
            <w:tcW w:w="2936" w:type="dxa"/>
            <w:vAlign w:val="center"/>
          </w:tcPr>
          <w:p w14:paraId="2DFF2FA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ATCCGCGCCGGACTCATCTC</w:t>
            </w:r>
          </w:p>
        </w:tc>
        <w:tc>
          <w:tcPr>
            <w:tcW w:w="3084" w:type="dxa"/>
            <w:vAlign w:val="center"/>
          </w:tcPr>
          <w:p w14:paraId="31D35675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GCTTCTTCTCCCGCCGTCGT</w:t>
            </w:r>
          </w:p>
        </w:tc>
      </w:tr>
      <w:tr w:rsidR="00A64B32" w:rsidRPr="00FD3DE1" w14:paraId="5B20763E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4780BD1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92" w:type="dxa"/>
            <w:vAlign w:val="center"/>
          </w:tcPr>
          <w:p w14:paraId="30E3E42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CYSE</w:t>
            </w:r>
          </w:p>
        </w:tc>
        <w:tc>
          <w:tcPr>
            <w:tcW w:w="3540" w:type="dxa"/>
            <w:vAlign w:val="center"/>
          </w:tcPr>
          <w:p w14:paraId="31B4146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serine O-acetyltransferase</w:t>
            </w:r>
          </w:p>
        </w:tc>
        <w:tc>
          <w:tcPr>
            <w:tcW w:w="2936" w:type="dxa"/>
            <w:vAlign w:val="center"/>
          </w:tcPr>
          <w:p w14:paraId="6480107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CCGACGTCGAGCAAGAACCCA</w:t>
            </w:r>
          </w:p>
        </w:tc>
        <w:tc>
          <w:tcPr>
            <w:tcW w:w="3084" w:type="dxa"/>
            <w:vAlign w:val="center"/>
          </w:tcPr>
          <w:p w14:paraId="20042C3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TGTTCGCCAAAGCGGAGTCCA</w:t>
            </w:r>
          </w:p>
        </w:tc>
      </w:tr>
      <w:tr w:rsidR="00A64B32" w:rsidRPr="00FD3DE1" w14:paraId="7ECC1300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076520F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  <w:vAlign w:val="center"/>
          </w:tcPr>
          <w:p w14:paraId="4DAD46B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VHA-a2</w:t>
            </w:r>
          </w:p>
        </w:tc>
        <w:tc>
          <w:tcPr>
            <w:tcW w:w="3540" w:type="dxa"/>
            <w:vAlign w:val="center"/>
          </w:tcPr>
          <w:p w14:paraId="0B7DD44A" w14:textId="4CEB5668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V-type H+-transporting ATPase subunit I</w:t>
            </w:r>
          </w:p>
        </w:tc>
        <w:tc>
          <w:tcPr>
            <w:tcW w:w="2936" w:type="dxa"/>
            <w:vAlign w:val="center"/>
          </w:tcPr>
          <w:p w14:paraId="7545C22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TGCCGTGATGCCTCTTGCAGT</w:t>
            </w:r>
          </w:p>
        </w:tc>
        <w:tc>
          <w:tcPr>
            <w:tcW w:w="3084" w:type="dxa"/>
            <w:vAlign w:val="center"/>
          </w:tcPr>
          <w:p w14:paraId="1035E62D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TGCGGGTACCATGCCACACA</w:t>
            </w:r>
          </w:p>
        </w:tc>
      </w:tr>
      <w:tr w:rsidR="00A64B32" w:rsidRPr="00FD3DE1" w14:paraId="7F879A54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7601F23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14:paraId="43B614B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AtGoLS3</w:t>
            </w:r>
          </w:p>
        </w:tc>
        <w:tc>
          <w:tcPr>
            <w:tcW w:w="3540" w:type="dxa"/>
            <w:vAlign w:val="center"/>
          </w:tcPr>
          <w:p w14:paraId="3B450672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galactinol synthase 3</w:t>
            </w:r>
          </w:p>
        </w:tc>
        <w:tc>
          <w:tcPr>
            <w:tcW w:w="2936" w:type="dxa"/>
            <w:vAlign w:val="center"/>
          </w:tcPr>
          <w:p w14:paraId="6215211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TCGCCGGGAACGGTGACTAC</w:t>
            </w:r>
          </w:p>
        </w:tc>
        <w:tc>
          <w:tcPr>
            <w:tcW w:w="3084" w:type="dxa"/>
            <w:vAlign w:val="center"/>
          </w:tcPr>
          <w:p w14:paraId="5FA2B1B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GGTGATCCACCGGCACGTCT</w:t>
            </w:r>
          </w:p>
        </w:tc>
      </w:tr>
      <w:tr w:rsidR="00A64B32" w:rsidRPr="00FD3DE1" w14:paraId="59BF813B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038903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92" w:type="dxa"/>
            <w:vAlign w:val="center"/>
          </w:tcPr>
          <w:p w14:paraId="65013FA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XET</w:t>
            </w:r>
          </w:p>
        </w:tc>
        <w:tc>
          <w:tcPr>
            <w:tcW w:w="3540" w:type="dxa"/>
            <w:vAlign w:val="center"/>
          </w:tcPr>
          <w:p w14:paraId="7BF3FA47" w14:textId="7B3D12A9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xyloglucan: xyloglucosyl transferase</w:t>
            </w:r>
          </w:p>
        </w:tc>
        <w:tc>
          <w:tcPr>
            <w:tcW w:w="2936" w:type="dxa"/>
            <w:vAlign w:val="center"/>
          </w:tcPr>
          <w:p w14:paraId="59D5655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GCGACGTCAACGTGGCTTGG</w:t>
            </w:r>
          </w:p>
        </w:tc>
        <w:tc>
          <w:tcPr>
            <w:tcW w:w="3084" w:type="dxa"/>
            <w:vAlign w:val="center"/>
          </w:tcPr>
          <w:p w14:paraId="6A9E661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GGTGAGAGTAAGAAGCTGGCCGTT</w:t>
            </w:r>
          </w:p>
        </w:tc>
      </w:tr>
      <w:tr w:rsidR="00A64B32" w:rsidRPr="00FD3DE1" w14:paraId="1A0087AE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22CD9E76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92" w:type="dxa"/>
            <w:vAlign w:val="center"/>
          </w:tcPr>
          <w:p w14:paraId="4544C92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SUlT1a</w:t>
            </w:r>
          </w:p>
        </w:tc>
        <w:tc>
          <w:tcPr>
            <w:tcW w:w="3540" w:type="dxa"/>
            <w:vAlign w:val="center"/>
          </w:tcPr>
          <w:p w14:paraId="7AE6483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Aryl sulfotransferase</w:t>
            </w:r>
          </w:p>
        </w:tc>
        <w:tc>
          <w:tcPr>
            <w:tcW w:w="2936" w:type="dxa"/>
            <w:vAlign w:val="center"/>
          </w:tcPr>
          <w:p w14:paraId="6F6D5EC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CCAGCTCAAGAGACTTGCGGAGT</w:t>
            </w:r>
          </w:p>
        </w:tc>
        <w:tc>
          <w:tcPr>
            <w:tcW w:w="3084" w:type="dxa"/>
            <w:vAlign w:val="center"/>
          </w:tcPr>
          <w:p w14:paraId="51D9578C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GGCTACGCAGGGAGCAGAGC</w:t>
            </w:r>
          </w:p>
        </w:tc>
      </w:tr>
      <w:tr w:rsidR="00A64B32" w:rsidRPr="00FD3DE1" w14:paraId="168E9228" w14:textId="77777777" w:rsidTr="00A64B32">
        <w:trPr>
          <w:trHeight w:val="135"/>
        </w:trPr>
        <w:tc>
          <w:tcPr>
            <w:tcW w:w="421" w:type="dxa"/>
            <w:vAlign w:val="center"/>
          </w:tcPr>
          <w:p w14:paraId="2161CE5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92" w:type="dxa"/>
            <w:vAlign w:val="center"/>
          </w:tcPr>
          <w:p w14:paraId="4034C46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ABCC2</w:t>
            </w:r>
          </w:p>
        </w:tc>
        <w:tc>
          <w:tcPr>
            <w:tcW w:w="3540" w:type="dxa"/>
            <w:vAlign w:val="center"/>
          </w:tcPr>
          <w:p w14:paraId="436082FB" w14:textId="7101E5D6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ATP-binding cassette, subfamily C (CFTR/MRP), member 2</w:t>
            </w:r>
          </w:p>
        </w:tc>
        <w:tc>
          <w:tcPr>
            <w:tcW w:w="2936" w:type="dxa"/>
            <w:vAlign w:val="center"/>
          </w:tcPr>
          <w:p w14:paraId="688DBAE9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TGGAGTTCGGGTGGCTGTCC</w:t>
            </w:r>
          </w:p>
        </w:tc>
        <w:tc>
          <w:tcPr>
            <w:tcW w:w="3084" w:type="dxa"/>
            <w:vAlign w:val="center"/>
          </w:tcPr>
          <w:p w14:paraId="204873C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ATCAACACCGGCGTGCTCCA</w:t>
            </w:r>
          </w:p>
        </w:tc>
      </w:tr>
      <w:tr w:rsidR="00A64B32" w:rsidRPr="00FD3DE1" w14:paraId="14CCF6B8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7689BB7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92" w:type="dxa"/>
            <w:vAlign w:val="center"/>
          </w:tcPr>
          <w:p w14:paraId="1CEA4B4E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TUB</w:t>
            </w:r>
          </w:p>
        </w:tc>
        <w:tc>
          <w:tcPr>
            <w:tcW w:w="3540" w:type="dxa"/>
            <w:vAlign w:val="center"/>
          </w:tcPr>
          <w:p w14:paraId="6357BF48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hAnsiTheme="majorBidi" w:cstheme="majorBidi"/>
                <w:sz w:val="16"/>
                <w:szCs w:val="16"/>
              </w:rPr>
              <w:t>tubulin beta</w:t>
            </w:r>
          </w:p>
        </w:tc>
        <w:tc>
          <w:tcPr>
            <w:tcW w:w="2936" w:type="dxa"/>
            <w:vAlign w:val="center"/>
          </w:tcPr>
          <w:p w14:paraId="38522617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CCAGCTCGAGCGCATCAACG</w:t>
            </w:r>
          </w:p>
        </w:tc>
        <w:tc>
          <w:tcPr>
            <w:tcW w:w="3084" w:type="dxa"/>
            <w:vAlign w:val="center"/>
          </w:tcPr>
          <w:p w14:paraId="428C20A3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GGGCGGAAGGTCTGACCGTAG</w:t>
            </w:r>
          </w:p>
        </w:tc>
      </w:tr>
      <w:tr w:rsidR="00A64B32" w:rsidRPr="00062F5B" w14:paraId="5DC7D8E5" w14:textId="77777777" w:rsidTr="00A64B32">
        <w:trPr>
          <w:trHeight w:val="119"/>
        </w:trPr>
        <w:tc>
          <w:tcPr>
            <w:tcW w:w="421" w:type="dxa"/>
            <w:vAlign w:val="center"/>
          </w:tcPr>
          <w:p w14:paraId="16219ABB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14:paraId="2239C004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Actin</w:t>
            </w:r>
          </w:p>
        </w:tc>
        <w:tc>
          <w:tcPr>
            <w:tcW w:w="3540" w:type="dxa"/>
            <w:vAlign w:val="center"/>
          </w:tcPr>
          <w:p w14:paraId="1C882941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Actin</w:t>
            </w:r>
          </w:p>
        </w:tc>
        <w:tc>
          <w:tcPr>
            <w:tcW w:w="2936" w:type="dxa"/>
            <w:vAlign w:val="center"/>
          </w:tcPr>
          <w:p w14:paraId="2EA36740" w14:textId="77777777" w:rsidR="00A64B32" w:rsidRPr="00FD3DE1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TTGGGATGGACCAGAAGG</w:t>
            </w:r>
          </w:p>
        </w:tc>
        <w:tc>
          <w:tcPr>
            <w:tcW w:w="3084" w:type="dxa"/>
            <w:vAlign w:val="center"/>
          </w:tcPr>
          <w:p w14:paraId="4DBCC469" w14:textId="77777777" w:rsidR="00A64B32" w:rsidRPr="00062F5B" w:rsidRDefault="00A64B32" w:rsidP="00A64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17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FD3DE1">
              <w:rPr>
                <w:rFonts w:asciiTheme="majorBidi" w:eastAsia="Times New Roman" w:hAnsiTheme="majorBidi" w:cstheme="majorBidi"/>
                <w:sz w:val="16"/>
                <w:szCs w:val="16"/>
              </w:rPr>
              <w:t>TCAGGAGCAATACGGAGC</w:t>
            </w:r>
          </w:p>
        </w:tc>
      </w:tr>
      <w:bookmarkEnd w:id="1"/>
    </w:tbl>
    <w:p w14:paraId="5851A19F" w14:textId="0E9AAF58" w:rsidR="00A64B32" w:rsidRDefault="00A64B32" w:rsidP="00A64B32">
      <w:pPr>
        <w:jc w:val="center"/>
      </w:pPr>
    </w:p>
    <w:p w14:paraId="5F458042" w14:textId="08565426" w:rsidR="00A64B32" w:rsidRDefault="00A64B32" w:rsidP="00A64B32">
      <w:pPr>
        <w:jc w:val="center"/>
      </w:pPr>
    </w:p>
    <w:p w14:paraId="72E6E60E" w14:textId="56D8A07B" w:rsidR="00A64B32" w:rsidRDefault="00A64B32" w:rsidP="00A64B32">
      <w:pPr>
        <w:jc w:val="center"/>
      </w:pPr>
    </w:p>
    <w:p w14:paraId="4F917FF9" w14:textId="746D05AE" w:rsidR="00A64B32" w:rsidRDefault="00A64B32" w:rsidP="00A64B32">
      <w:pPr>
        <w:jc w:val="center"/>
      </w:pPr>
    </w:p>
    <w:p w14:paraId="157FE098" w14:textId="65D7EEC6" w:rsidR="00A64B32" w:rsidRDefault="00A64B32" w:rsidP="00A64B32">
      <w:pPr>
        <w:jc w:val="center"/>
      </w:pPr>
    </w:p>
    <w:p w14:paraId="27F00DAE" w14:textId="3F498754" w:rsidR="00A64B32" w:rsidRDefault="00A64B32" w:rsidP="00A64B32">
      <w:pPr>
        <w:jc w:val="center"/>
      </w:pPr>
    </w:p>
    <w:p w14:paraId="02D9876C" w14:textId="77777777" w:rsidR="00A64B32" w:rsidRDefault="00A64B32" w:rsidP="00A64B32">
      <w:pPr>
        <w:jc w:val="center"/>
      </w:pPr>
    </w:p>
    <w:p w14:paraId="7640152E" w14:textId="13797129" w:rsidR="00A64B32" w:rsidRDefault="00A64B32" w:rsidP="00A64B32">
      <w:pPr>
        <w:jc w:val="center"/>
      </w:pPr>
    </w:p>
    <w:p w14:paraId="34F6F7A7" w14:textId="01879FA2" w:rsidR="00A64B32" w:rsidRDefault="00A64B32" w:rsidP="00A64B32">
      <w:pPr>
        <w:jc w:val="center"/>
      </w:pPr>
    </w:p>
    <w:p w14:paraId="4B03B4C9" w14:textId="683B5FEE" w:rsidR="00A64B32" w:rsidRDefault="00A64B32" w:rsidP="00A64B32">
      <w:pPr>
        <w:jc w:val="center"/>
      </w:pPr>
    </w:p>
    <w:p w14:paraId="48DC1BC1" w14:textId="3F21A357" w:rsidR="00A64B32" w:rsidRDefault="00A64B32" w:rsidP="00A64B32">
      <w:pPr>
        <w:jc w:val="center"/>
      </w:pPr>
    </w:p>
    <w:p w14:paraId="593FE546" w14:textId="77777777" w:rsidR="00A64B32" w:rsidRDefault="00A64B32" w:rsidP="00A64B32">
      <w:pPr>
        <w:jc w:val="center"/>
      </w:pPr>
    </w:p>
    <w:sectPr w:rsidR="00A64B32" w:rsidSect="00A64B32">
      <w:type w:val="continuous"/>
      <w:pgSz w:w="11906" w:h="16838" w:code="9"/>
      <w:pgMar w:top="1077" w:right="1418" w:bottom="1418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markup="0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jQxNTG0tDQ3MDRQ0lEKTi0uzszPAykwrgUAwGqYQywAAAA="/>
  </w:docVars>
  <w:rsids>
    <w:rsidRoot w:val="00E83EEB"/>
    <w:rsid w:val="000A316B"/>
    <w:rsid w:val="00164577"/>
    <w:rsid w:val="00176C08"/>
    <w:rsid w:val="001C7D21"/>
    <w:rsid w:val="006B18D2"/>
    <w:rsid w:val="006F1DD6"/>
    <w:rsid w:val="007274A5"/>
    <w:rsid w:val="008861CD"/>
    <w:rsid w:val="00A64B32"/>
    <w:rsid w:val="00CC3DB1"/>
    <w:rsid w:val="00D339C3"/>
    <w:rsid w:val="00DA5B69"/>
    <w:rsid w:val="00E83EEB"/>
    <w:rsid w:val="00FD3DE1"/>
    <w:rsid w:val="00FD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D1502"/>
  <w15:chartTrackingRefBased/>
  <w15:docId w15:val="{7D570303-0C0E-4D3F-9335-DEF3A1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Ayaad</dc:creator>
  <cp:keywords/>
  <dc:description/>
  <cp:lastModifiedBy>Ishwarya P.S.</cp:lastModifiedBy>
  <cp:revision>8</cp:revision>
  <dcterms:created xsi:type="dcterms:W3CDTF">2021-09-11T08:10:00Z</dcterms:created>
  <dcterms:modified xsi:type="dcterms:W3CDTF">2022-03-14T14:18:00Z</dcterms:modified>
</cp:coreProperties>
</file>