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108" w:rsidRDefault="00ED0183">
      <w:pPr>
        <w:spacing w:line="240" w:lineRule="auto"/>
        <w:rPr>
          <w:rFonts w:ascii="Times New Roman" w:hAnsi="Times New Roman" w:cs="Times New Roman"/>
          <w:b/>
          <w:sz w:val="28"/>
          <w:szCs w:val="28"/>
        </w:rPr>
      </w:pPr>
      <w:r>
        <w:rPr>
          <w:rFonts w:ascii="Times New Roman" w:hAnsi="Times New Roman" w:cs="Times New Roman" w:hint="eastAsia"/>
          <w:b/>
          <w:sz w:val="28"/>
          <w:szCs w:val="28"/>
        </w:rPr>
        <w:t>S</w:t>
      </w:r>
      <w:r>
        <w:rPr>
          <w:rFonts w:ascii="Times New Roman" w:hAnsi="Times New Roman" w:cs="Times New Roman"/>
          <w:b/>
          <w:sz w:val="28"/>
          <w:szCs w:val="28"/>
        </w:rPr>
        <w:t>upporting information</w:t>
      </w:r>
    </w:p>
    <w:p w:rsidR="00E31108" w:rsidRDefault="00ED0183">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Oral administration of turmeric-derived exosome-like nanovesicles with anti-inflammatory and pro-resolving bioactions for </w:t>
      </w:r>
      <w:r w:rsidR="00B063D0" w:rsidRPr="00000B7A">
        <w:rPr>
          <w:rFonts w:ascii="Times New Roman" w:hAnsi="Times New Roman" w:cs="Times New Roman"/>
          <w:b/>
          <w:sz w:val="28"/>
          <w:szCs w:val="28"/>
        </w:rPr>
        <w:t>murine</w:t>
      </w:r>
      <w:r w:rsidR="00D3002B">
        <w:rPr>
          <w:rFonts w:ascii="Times New Roman" w:hAnsi="Times New Roman" w:cs="Times New Roman"/>
          <w:b/>
          <w:sz w:val="28"/>
          <w:szCs w:val="28"/>
        </w:rPr>
        <w:t xml:space="preserve"> colitis </w:t>
      </w:r>
      <w:r w:rsidR="00D3002B">
        <w:rPr>
          <w:rFonts w:ascii="Times New Roman" w:hAnsi="Times New Roman" w:cs="Times New Roman" w:hint="eastAsia"/>
          <w:b/>
          <w:sz w:val="28"/>
          <w:szCs w:val="28"/>
        </w:rPr>
        <w:t>therapy</w:t>
      </w:r>
      <w:r>
        <w:rPr>
          <w:rFonts w:ascii="Times New Roman" w:hAnsi="Times New Roman" w:cs="Times New Roman"/>
          <w:b/>
          <w:sz w:val="28"/>
          <w:szCs w:val="28"/>
        </w:rPr>
        <w:t xml:space="preserve"> </w:t>
      </w:r>
    </w:p>
    <w:p w:rsidR="000562DF" w:rsidRPr="00A55DE8" w:rsidRDefault="000562DF" w:rsidP="000562DF">
      <w:pPr>
        <w:spacing w:line="480" w:lineRule="auto"/>
        <w:jc w:val="both"/>
        <w:rPr>
          <w:rFonts w:ascii="Times New Roman" w:hAnsi="Times New Roman" w:cs="Times New Roman"/>
          <w:b/>
          <w:sz w:val="24"/>
          <w:szCs w:val="24"/>
        </w:rPr>
      </w:pPr>
      <w:bookmarkStart w:id="0" w:name="OLE_LINK2"/>
      <w:bookmarkStart w:id="1" w:name="OLE_LINK1"/>
      <w:r>
        <w:rPr>
          <w:rFonts w:ascii="Times New Roman" w:hAnsi="Times New Roman" w:cs="Times New Roman"/>
          <w:bCs/>
          <w:iCs/>
          <w:sz w:val="24"/>
          <w:szCs w:val="24"/>
        </w:rPr>
        <w:t>Cui Liu</w:t>
      </w:r>
      <w:r w:rsidRPr="00652FE9">
        <w:rPr>
          <w:rFonts w:ascii="Times New Roman" w:hAnsi="Times New Roman" w:cs="Times New Roman"/>
          <w:bCs/>
          <w:iCs/>
          <w:sz w:val="24"/>
          <w:szCs w:val="24"/>
          <w:vertAlign w:val="superscript"/>
        </w:rPr>
        <w:t>1,2</w:t>
      </w:r>
      <w:r w:rsidRPr="00652FE9">
        <w:rPr>
          <w:rFonts w:ascii="Times New Roman" w:hAnsi="Times New Roman" w:cs="Times New Roman"/>
          <w:sz w:val="24"/>
          <w:szCs w:val="24"/>
          <w:vertAlign w:val="superscript"/>
        </w:rPr>
        <w:t>#</w:t>
      </w:r>
      <w:r>
        <w:rPr>
          <w:rFonts w:ascii="Times New Roman" w:hAnsi="Times New Roman" w:cs="Times New Roman"/>
          <w:bCs/>
          <w:iCs/>
          <w:sz w:val="24"/>
          <w:szCs w:val="24"/>
        </w:rPr>
        <w:t xml:space="preserve">, </w:t>
      </w:r>
      <w:r w:rsidRPr="00652FE9">
        <w:rPr>
          <w:rFonts w:ascii="Times New Roman" w:hAnsi="Times New Roman" w:cs="Times New Roman"/>
          <w:bCs/>
          <w:iCs/>
          <w:sz w:val="24"/>
          <w:szCs w:val="24"/>
        </w:rPr>
        <w:t>Xiangji Yan</w:t>
      </w:r>
      <w:r w:rsidRPr="00652FE9">
        <w:rPr>
          <w:rFonts w:ascii="Times New Roman" w:hAnsi="Times New Roman" w:cs="Times New Roman"/>
          <w:bCs/>
          <w:iCs/>
          <w:sz w:val="24"/>
          <w:szCs w:val="24"/>
          <w:vertAlign w:val="superscript"/>
        </w:rPr>
        <w:t>1,2</w:t>
      </w:r>
      <w:r w:rsidRPr="00652FE9">
        <w:rPr>
          <w:rFonts w:ascii="Times New Roman" w:hAnsi="Times New Roman" w:cs="Times New Roman"/>
          <w:sz w:val="24"/>
          <w:szCs w:val="24"/>
          <w:vertAlign w:val="superscript"/>
        </w:rPr>
        <w:t>#</w:t>
      </w:r>
      <w:r w:rsidRPr="00652FE9">
        <w:rPr>
          <w:rFonts w:ascii="Times New Roman" w:hAnsi="Times New Roman" w:cs="Times New Roman"/>
          <w:bCs/>
          <w:iCs/>
          <w:sz w:val="24"/>
          <w:szCs w:val="24"/>
        </w:rPr>
        <w:t>,</w:t>
      </w:r>
      <w:r>
        <w:rPr>
          <w:rFonts w:ascii="Times New Roman" w:hAnsi="Times New Roman" w:cs="Times New Roman"/>
          <w:bCs/>
          <w:iCs/>
          <w:sz w:val="24"/>
          <w:szCs w:val="24"/>
        </w:rPr>
        <w:t xml:space="preserve"> </w:t>
      </w:r>
      <w:r w:rsidRPr="00652FE9">
        <w:rPr>
          <w:rFonts w:ascii="Times New Roman" w:hAnsi="Times New Roman" w:cs="Times New Roman"/>
          <w:bCs/>
          <w:iCs/>
          <w:sz w:val="24"/>
          <w:szCs w:val="24"/>
        </w:rPr>
        <w:t>Yujie Zhang</w:t>
      </w:r>
      <w:r w:rsidRPr="00652FE9">
        <w:rPr>
          <w:rFonts w:ascii="Times New Roman" w:hAnsi="Times New Roman" w:cs="Times New Roman"/>
          <w:bCs/>
          <w:iCs/>
          <w:sz w:val="24"/>
          <w:szCs w:val="24"/>
          <w:vertAlign w:val="superscript"/>
        </w:rPr>
        <w:t>1,2</w:t>
      </w:r>
      <w:r w:rsidRPr="00652FE9">
        <w:rPr>
          <w:rFonts w:ascii="Times New Roman" w:hAnsi="Times New Roman" w:cs="Times New Roman"/>
          <w:sz w:val="24"/>
          <w:szCs w:val="24"/>
          <w:vertAlign w:val="superscript"/>
        </w:rPr>
        <w:t>#</w:t>
      </w:r>
      <w:r w:rsidRPr="00652FE9">
        <w:rPr>
          <w:rFonts w:ascii="Times New Roman" w:hAnsi="Times New Roman" w:cs="Times New Roman"/>
          <w:bCs/>
          <w:iCs/>
          <w:sz w:val="24"/>
          <w:szCs w:val="24"/>
        </w:rPr>
        <w:t>, Mei Yang</w:t>
      </w:r>
      <w:r w:rsidRPr="00652FE9">
        <w:rPr>
          <w:rFonts w:ascii="Times New Roman" w:hAnsi="Times New Roman" w:cs="Times New Roman"/>
          <w:bCs/>
          <w:iCs/>
          <w:sz w:val="24"/>
          <w:szCs w:val="24"/>
          <w:vertAlign w:val="superscript"/>
        </w:rPr>
        <w:t>1,2</w:t>
      </w:r>
      <w:r w:rsidRPr="00652FE9">
        <w:rPr>
          <w:rFonts w:ascii="Times New Roman" w:hAnsi="Times New Roman" w:cs="Times New Roman"/>
          <w:bCs/>
          <w:iCs/>
          <w:sz w:val="24"/>
          <w:szCs w:val="24"/>
        </w:rPr>
        <w:t>, Yana Ma</w:t>
      </w:r>
      <w:r w:rsidRPr="00652FE9">
        <w:rPr>
          <w:rFonts w:ascii="Times New Roman" w:hAnsi="Times New Roman" w:cs="Times New Roman"/>
          <w:bCs/>
          <w:iCs/>
          <w:sz w:val="24"/>
          <w:szCs w:val="24"/>
          <w:vertAlign w:val="superscript"/>
        </w:rPr>
        <w:t>1,2</w:t>
      </w:r>
      <w:r w:rsidRPr="00652FE9">
        <w:rPr>
          <w:rFonts w:ascii="Times New Roman" w:hAnsi="Times New Roman" w:cs="Times New Roman"/>
          <w:bCs/>
          <w:iCs/>
          <w:sz w:val="24"/>
          <w:szCs w:val="24"/>
        </w:rPr>
        <w:t>, Yuanyuan Zhang</w:t>
      </w:r>
      <w:r w:rsidRPr="00652FE9">
        <w:rPr>
          <w:rFonts w:ascii="Times New Roman" w:hAnsi="Times New Roman" w:cs="Times New Roman"/>
          <w:bCs/>
          <w:iCs/>
          <w:sz w:val="24"/>
          <w:szCs w:val="24"/>
          <w:vertAlign w:val="superscript"/>
        </w:rPr>
        <w:t>1,2</w:t>
      </w:r>
      <w:r w:rsidRPr="00652FE9">
        <w:rPr>
          <w:rFonts w:ascii="Times New Roman" w:hAnsi="Times New Roman" w:cs="Times New Roman"/>
          <w:bCs/>
          <w:iCs/>
          <w:sz w:val="24"/>
          <w:szCs w:val="24"/>
        </w:rPr>
        <w:t>, Qiuran Xu</w:t>
      </w:r>
      <w:r>
        <w:rPr>
          <w:rFonts w:ascii="Times New Roman" w:hAnsi="Times New Roman" w:cs="Times New Roman"/>
          <w:bCs/>
          <w:iCs/>
          <w:sz w:val="24"/>
          <w:szCs w:val="24"/>
          <w:vertAlign w:val="superscript"/>
        </w:rPr>
        <w:t>3</w:t>
      </w:r>
      <w:r w:rsidRPr="00652FE9">
        <w:rPr>
          <w:rFonts w:ascii="Times New Roman" w:hAnsi="Times New Roman" w:cs="Times New Roman"/>
          <w:bCs/>
          <w:iCs/>
          <w:sz w:val="24"/>
          <w:szCs w:val="24"/>
          <w:vertAlign w:val="superscript"/>
        </w:rPr>
        <w:sym w:font="Symbol" w:char="F02A"/>
      </w:r>
      <w:r w:rsidRPr="00652FE9">
        <w:rPr>
          <w:rFonts w:ascii="Times New Roman" w:hAnsi="Times New Roman" w:cs="Times New Roman"/>
          <w:bCs/>
          <w:iCs/>
          <w:sz w:val="24"/>
          <w:szCs w:val="24"/>
        </w:rPr>
        <w:t>, Kangsheng Tu</w:t>
      </w:r>
      <w:r>
        <w:rPr>
          <w:rFonts w:ascii="Times New Roman" w:hAnsi="Times New Roman" w:cs="Times New Roman"/>
          <w:bCs/>
          <w:iCs/>
          <w:sz w:val="24"/>
          <w:szCs w:val="24"/>
          <w:vertAlign w:val="superscript"/>
        </w:rPr>
        <w:t>4</w:t>
      </w:r>
      <w:r w:rsidRPr="00652FE9">
        <w:rPr>
          <w:rFonts w:ascii="Times New Roman" w:hAnsi="Times New Roman" w:cs="Times New Roman"/>
          <w:bCs/>
          <w:iCs/>
          <w:sz w:val="24"/>
          <w:szCs w:val="24"/>
          <w:vertAlign w:val="superscript"/>
        </w:rPr>
        <w:sym w:font="Symbol" w:char="F02A"/>
      </w:r>
      <w:r>
        <w:rPr>
          <w:rFonts w:ascii="Times New Roman" w:hAnsi="Times New Roman" w:cs="Times New Roman" w:hint="eastAsia"/>
          <w:sz w:val="24"/>
          <w:szCs w:val="24"/>
        </w:rPr>
        <w:t>,</w:t>
      </w:r>
      <w:r w:rsidRPr="00652FE9">
        <w:rPr>
          <w:rFonts w:ascii="Times New Roman" w:hAnsi="Times New Roman" w:cs="Times New Roman"/>
          <w:bCs/>
          <w:iCs/>
          <w:sz w:val="24"/>
          <w:szCs w:val="24"/>
        </w:rPr>
        <w:t xml:space="preserve"> Mingzhen Zhang</w:t>
      </w:r>
      <w:r w:rsidRPr="00652FE9">
        <w:rPr>
          <w:rFonts w:ascii="Times New Roman" w:hAnsi="Times New Roman" w:cs="Times New Roman"/>
          <w:bCs/>
          <w:iCs/>
          <w:sz w:val="24"/>
          <w:szCs w:val="24"/>
          <w:vertAlign w:val="superscript"/>
        </w:rPr>
        <w:t>1,2,</w:t>
      </w:r>
      <w:r>
        <w:rPr>
          <w:rFonts w:ascii="Times New Roman" w:hAnsi="Times New Roman" w:cs="Times New Roman"/>
          <w:bCs/>
          <w:iCs/>
          <w:sz w:val="24"/>
          <w:szCs w:val="24"/>
          <w:vertAlign w:val="superscript"/>
        </w:rPr>
        <w:t>5</w:t>
      </w:r>
      <w:r w:rsidRPr="00652FE9">
        <w:rPr>
          <w:rFonts w:ascii="Times New Roman" w:hAnsi="Times New Roman" w:cs="Times New Roman"/>
          <w:bCs/>
          <w:iCs/>
          <w:sz w:val="24"/>
          <w:szCs w:val="24"/>
          <w:vertAlign w:val="superscript"/>
        </w:rPr>
        <w:sym w:font="Symbol" w:char="F02A"/>
      </w:r>
    </w:p>
    <w:p w:rsidR="000562DF" w:rsidRPr="0029064A" w:rsidRDefault="000562DF" w:rsidP="000562DF">
      <w:pPr>
        <w:pStyle w:val="Paragraph"/>
        <w:spacing w:before="0"/>
        <w:ind w:firstLine="0"/>
        <w:jc w:val="both"/>
      </w:pPr>
      <w:r w:rsidRPr="0029064A">
        <w:t>Affiliations:</w:t>
      </w:r>
    </w:p>
    <w:p w:rsidR="000562DF" w:rsidRPr="00AA7691" w:rsidRDefault="000562DF" w:rsidP="000562DF">
      <w:pPr>
        <w:pStyle w:val="ab"/>
        <w:numPr>
          <w:ilvl w:val="0"/>
          <w:numId w:val="2"/>
        </w:numPr>
        <w:autoSpaceDE w:val="0"/>
        <w:autoSpaceDN w:val="0"/>
        <w:adjustRightInd w:val="0"/>
        <w:ind w:left="480" w:hangingChars="200" w:hanging="480"/>
        <w:rPr>
          <w:rFonts w:ascii="Times New Roman" w:hAnsi="Times New Roman" w:cs="Times New Roman"/>
          <w:sz w:val="24"/>
          <w:szCs w:val="24"/>
        </w:rPr>
      </w:pPr>
      <w:r w:rsidRPr="00AA7691">
        <w:rPr>
          <w:rFonts w:ascii="Times New Roman" w:hAnsi="Times New Roman" w:cs="Times New Roman"/>
          <w:sz w:val="24"/>
          <w:szCs w:val="24"/>
        </w:rPr>
        <w:t>School of Basic Medical Sciences, Xi'an Key Laboratory of Immune Related Diseases, Xi'an Jiaotong University, Xi'an, Shaanxi, 710061, China</w:t>
      </w:r>
    </w:p>
    <w:p w:rsidR="000562DF" w:rsidRDefault="000562DF" w:rsidP="000562DF">
      <w:pPr>
        <w:pStyle w:val="ab"/>
        <w:numPr>
          <w:ilvl w:val="0"/>
          <w:numId w:val="2"/>
        </w:numPr>
        <w:spacing w:before="240"/>
        <w:ind w:left="480" w:hangingChars="200" w:hanging="480"/>
        <w:rPr>
          <w:rFonts w:ascii="Times New Roman" w:hAnsi="Times New Roman" w:cs="Times New Roman"/>
          <w:sz w:val="24"/>
          <w:szCs w:val="24"/>
        </w:rPr>
      </w:pPr>
      <w:r w:rsidRPr="00AA7691">
        <w:rPr>
          <w:rFonts w:ascii="Times New Roman" w:hAnsi="Times New Roman" w:cs="Times New Roman"/>
          <w:sz w:val="24"/>
          <w:szCs w:val="24"/>
        </w:rPr>
        <w:t>Key Laboratory of Environment and Genes Related to Diseases, Xi'an Jiaotong University, Ministry of Education, Xi'an, Shaanxi, 710061, China</w:t>
      </w:r>
    </w:p>
    <w:p w:rsidR="000562DF" w:rsidRPr="00690E6B" w:rsidRDefault="000562DF" w:rsidP="000562DF">
      <w:pPr>
        <w:widowControl w:val="0"/>
        <w:numPr>
          <w:ilvl w:val="0"/>
          <w:numId w:val="2"/>
        </w:numPr>
        <w:spacing w:before="240" w:after="0" w:line="240" w:lineRule="auto"/>
        <w:ind w:left="480" w:hangingChars="200" w:hanging="480"/>
        <w:jc w:val="both"/>
        <w:rPr>
          <w:rFonts w:ascii="Times New Roman" w:hAnsi="Times New Roman" w:cs="Times New Roman"/>
          <w:sz w:val="24"/>
          <w:szCs w:val="24"/>
        </w:rPr>
      </w:pPr>
      <w:r w:rsidRPr="00AA7691">
        <w:rPr>
          <w:rFonts w:ascii="Times New Roman" w:hAnsi="Times New Roman" w:cs="Times New Roman"/>
          <w:sz w:val="24"/>
          <w:szCs w:val="24"/>
        </w:rPr>
        <w:t>Laboratory of Tumor Molecular Diagnosis and Individualized Medicine of Zhejiang Province, Zhejiang Provincial People's Hospital, Affiliated People's Hospital, Hangzhou Medical College, Hangzhou, Zhejiang, 310014, China</w:t>
      </w:r>
    </w:p>
    <w:p w:rsidR="000562DF" w:rsidRPr="00652FE9" w:rsidRDefault="000562DF" w:rsidP="000562DF">
      <w:pPr>
        <w:pStyle w:val="ab"/>
        <w:numPr>
          <w:ilvl w:val="0"/>
          <w:numId w:val="2"/>
        </w:numPr>
        <w:spacing w:before="240"/>
        <w:ind w:left="480" w:hangingChars="200" w:hanging="480"/>
        <w:rPr>
          <w:rFonts w:ascii="Times New Roman" w:hAnsi="Times New Roman" w:cs="Times New Roman"/>
          <w:sz w:val="24"/>
          <w:szCs w:val="24"/>
        </w:rPr>
      </w:pPr>
      <w:r w:rsidRPr="00AA7691">
        <w:rPr>
          <w:rFonts w:ascii="Times New Roman" w:hAnsi="Times New Roman" w:cs="Times New Roman"/>
          <w:sz w:val="24"/>
          <w:szCs w:val="24"/>
        </w:rPr>
        <w:t>Department of Hepatobiliary Surgery, the First Affiliated Hospital of Xi'an Jiaotong University, Xi'an, Shaanxi, 710061, China</w:t>
      </w:r>
    </w:p>
    <w:p w:rsidR="000562DF" w:rsidRDefault="000562DF" w:rsidP="000562DF">
      <w:pPr>
        <w:pStyle w:val="ab"/>
        <w:numPr>
          <w:ilvl w:val="0"/>
          <w:numId w:val="2"/>
        </w:numPr>
        <w:spacing w:before="240"/>
        <w:ind w:left="480" w:hangingChars="200" w:hanging="480"/>
        <w:rPr>
          <w:rFonts w:ascii="Times New Roman" w:hAnsi="Times New Roman" w:cs="Times New Roman"/>
          <w:sz w:val="24"/>
          <w:szCs w:val="24"/>
        </w:rPr>
      </w:pPr>
      <w:r w:rsidRPr="00AA7691">
        <w:rPr>
          <w:rFonts w:ascii="Times New Roman" w:hAnsi="Times New Roman" w:cs="Times New Roman"/>
          <w:sz w:val="24"/>
          <w:szCs w:val="24"/>
        </w:rPr>
        <w:t>Institute for Biomedical Sciences, Center for Diagnostics and Therapeutics, Digestive Disease Research Group, Georgia State University, Atlanta, Georgia, 30302, United States.</w:t>
      </w:r>
    </w:p>
    <w:p w:rsidR="000562DF" w:rsidRDefault="000562DF" w:rsidP="000562DF">
      <w:pPr>
        <w:rPr>
          <w:rFonts w:ascii="Times New Roman" w:hAnsi="Times New Roman" w:cs="Times New Roman"/>
          <w:color w:val="C00000"/>
          <w:sz w:val="24"/>
          <w:szCs w:val="24"/>
        </w:rPr>
      </w:pPr>
    </w:p>
    <w:p w:rsidR="000562DF" w:rsidRDefault="000562DF" w:rsidP="000562DF">
      <w:pPr>
        <w:rPr>
          <w:rFonts w:ascii="Times New Roman" w:hAnsi="Times New Roman" w:cs="Times New Roman"/>
          <w:color w:val="C00000"/>
          <w:sz w:val="24"/>
          <w:szCs w:val="24"/>
        </w:rPr>
      </w:pPr>
    </w:p>
    <w:p w:rsidR="000562DF" w:rsidRDefault="000562DF" w:rsidP="000562DF">
      <w:pPr>
        <w:rPr>
          <w:rFonts w:ascii="Times New Roman" w:hAnsi="Times New Roman" w:cs="Times New Roman"/>
          <w:sz w:val="24"/>
          <w:szCs w:val="24"/>
        </w:rPr>
      </w:pPr>
      <w:r>
        <w:rPr>
          <w:rFonts w:ascii="Times New Roman" w:hAnsi="Times New Roman" w:cs="Times New Roman"/>
          <w:sz w:val="24"/>
          <w:szCs w:val="24"/>
          <w:vertAlign w:val="superscript"/>
        </w:rPr>
        <w:t>#</w:t>
      </w:r>
      <w:r>
        <w:rPr>
          <w:rFonts w:ascii="Times New Roman" w:hAnsi="Times New Roman" w:cs="Times New Roman"/>
          <w:sz w:val="24"/>
          <w:szCs w:val="24"/>
        </w:rPr>
        <w:t xml:space="preserve"> These authors contributed equally to this article.</w:t>
      </w:r>
    </w:p>
    <w:p w:rsidR="003B7C15" w:rsidRDefault="003B7C15" w:rsidP="000562DF">
      <w:pPr>
        <w:rPr>
          <w:rFonts w:ascii="Times New Roman" w:hAnsi="Times New Roman" w:cs="Times New Roman"/>
          <w:sz w:val="24"/>
          <w:szCs w:val="24"/>
        </w:rPr>
      </w:pPr>
    </w:p>
    <w:p w:rsidR="003B7C15" w:rsidRDefault="003B7C15" w:rsidP="000562DF">
      <w:pPr>
        <w:rPr>
          <w:rFonts w:ascii="Times New Roman" w:hAnsi="Times New Roman" w:cs="Times New Roman"/>
          <w:sz w:val="24"/>
          <w:szCs w:val="24"/>
        </w:rPr>
      </w:pPr>
    </w:p>
    <w:p w:rsidR="003B7C15" w:rsidRDefault="003B7C15" w:rsidP="000562DF">
      <w:pPr>
        <w:rPr>
          <w:rFonts w:ascii="Times New Roman" w:hAnsi="Times New Roman" w:cs="Times New Roman"/>
          <w:sz w:val="24"/>
          <w:szCs w:val="24"/>
        </w:rPr>
      </w:pPr>
    </w:p>
    <w:p w:rsidR="003B7C15" w:rsidRDefault="003B7C15" w:rsidP="000562DF">
      <w:pPr>
        <w:rPr>
          <w:rFonts w:ascii="Times New Roman" w:hAnsi="Times New Roman" w:cs="Times New Roman"/>
          <w:sz w:val="24"/>
          <w:szCs w:val="24"/>
        </w:rPr>
      </w:pPr>
    </w:p>
    <w:p w:rsidR="003B7C15" w:rsidRDefault="003B7C15" w:rsidP="000562DF">
      <w:pPr>
        <w:rPr>
          <w:rFonts w:ascii="Times New Roman" w:hAnsi="Times New Roman" w:cs="Times New Roman"/>
          <w:sz w:val="24"/>
          <w:szCs w:val="24"/>
        </w:rPr>
      </w:pPr>
    </w:p>
    <w:p w:rsidR="003B7C15" w:rsidRDefault="003B7C15" w:rsidP="000562DF">
      <w:pPr>
        <w:rPr>
          <w:rFonts w:ascii="Times New Roman" w:hAnsi="Times New Roman" w:cs="Times New Roman"/>
          <w:sz w:val="24"/>
          <w:szCs w:val="24"/>
        </w:rPr>
      </w:pPr>
    </w:p>
    <w:p w:rsidR="003B7C15" w:rsidRDefault="003B7C15" w:rsidP="000562DF">
      <w:pPr>
        <w:rPr>
          <w:rFonts w:ascii="Times New Roman" w:hAnsi="Times New Roman" w:cs="Times New Roman"/>
          <w:sz w:val="24"/>
          <w:szCs w:val="24"/>
        </w:rPr>
      </w:pPr>
    </w:p>
    <w:p w:rsidR="00653EA1" w:rsidRPr="00653EA1" w:rsidRDefault="00653EA1" w:rsidP="00653EA1">
      <w:pPr>
        <w:contextualSpacing/>
        <w:rPr>
          <w:rFonts w:ascii="Times New Roman" w:eastAsia="宋体" w:hAnsi="Times New Roman" w:cs="Times New Roman"/>
          <w:b/>
          <w:bCs/>
          <w:sz w:val="24"/>
          <w:szCs w:val="24"/>
        </w:rPr>
      </w:pPr>
      <w:r w:rsidRPr="00653EA1">
        <w:rPr>
          <w:rFonts w:ascii="Times New Roman" w:eastAsia="宋体" w:hAnsi="Times New Roman" w:cs="Times New Roman"/>
          <w:b/>
          <w:bCs/>
          <w:sz w:val="24"/>
          <w:szCs w:val="24"/>
        </w:rPr>
        <w:lastRenderedPageBreak/>
        <w:t>Supplementary methods</w:t>
      </w:r>
    </w:p>
    <w:p w:rsidR="003B7C15" w:rsidRDefault="003B7C15" w:rsidP="000562DF">
      <w:pPr>
        <w:rPr>
          <w:rFonts w:ascii="Times New Roman" w:hAnsi="Times New Roman" w:cs="Times New Roman"/>
          <w:sz w:val="24"/>
          <w:szCs w:val="24"/>
        </w:rPr>
      </w:pPr>
    </w:p>
    <w:p w:rsidR="00653EA1" w:rsidRPr="008D0F78" w:rsidRDefault="00653EA1" w:rsidP="00FB2065">
      <w:pPr>
        <w:spacing w:after="0" w:line="480" w:lineRule="auto"/>
        <w:jc w:val="both"/>
        <w:rPr>
          <w:rFonts w:ascii="Times New Roman" w:hAnsi="Times New Roman" w:cs="Times New Roman"/>
          <w:b/>
          <w:sz w:val="24"/>
          <w:szCs w:val="24"/>
        </w:rPr>
      </w:pPr>
      <w:r w:rsidRPr="008D0F78">
        <w:rPr>
          <w:rFonts w:ascii="Times New Roman" w:hAnsi="Times New Roman" w:cs="Times New Roman"/>
          <w:b/>
          <w:sz w:val="24"/>
          <w:szCs w:val="24"/>
        </w:rPr>
        <w:t>Chemicals</w:t>
      </w:r>
    </w:p>
    <w:p w:rsidR="00653EA1" w:rsidRDefault="00653EA1" w:rsidP="00FB2065">
      <w:pPr>
        <w:spacing w:after="0" w:line="480" w:lineRule="auto"/>
        <w:jc w:val="both"/>
        <w:rPr>
          <w:rFonts w:ascii="Times New Roman" w:eastAsia="宋体" w:hAnsi="Times New Roman" w:cs="Times New Roman"/>
          <w:sz w:val="24"/>
          <w:szCs w:val="24"/>
        </w:rPr>
      </w:pPr>
      <w:r>
        <w:rPr>
          <w:rFonts w:ascii="Times New Roman" w:hAnsi="Times New Roman" w:cs="Times New Roman"/>
          <w:sz w:val="24"/>
          <w:szCs w:val="24"/>
        </w:rPr>
        <w:t>Phalloidin-FITC, O-dianisidine dihydrochloride, myeloperoxidase standard from human leukocytes, type VIII collagenase, DNase I, curcumin standard, ALT and AST assay kits, TUNEL in situ cell death detection kit, and pathway inhibitors (</w:t>
      </w:r>
      <w:r>
        <w:rPr>
          <w:rFonts w:ascii="Times New Roman" w:hAnsi="Times New Roman" w:cs="Times New Roman" w:hint="eastAsia"/>
          <w:sz w:val="24"/>
          <w:szCs w:val="24"/>
        </w:rPr>
        <w:t>cytochalasin D</w:t>
      </w:r>
      <w:r>
        <w:rPr>
          <w:rFonts w:ascii="Times New Roman" w:hAnsi="Times New Roman" w:cs="Times New Roman"/>
          <w:sz w:val="24"/>
          <w:szCs w:val="24"/>
        </w:rPr>
        <w:t>, amiloride, indomethacin and chlorpromazine) were purchased from Sigma (St. Louis, MO, USA); Fluorescent lipophilic dyes, 1,1'-dioctadecyl-3,3,3',3'-tetramethylindocarbocyanine perchlorate (DiL), 3,3'-dioctadecyloxacarbocyanine perchlorate (DiO) and 1,1'-dioctadecyl-3,3',3'- tetramethylindotricarbocyanine iodide (DiR) were purchased from Promokine (Heidelberg, Germany); Rabbit anti-mouse E-cadherin antibody was from Santa Cruz Biotechnology (Santa Cruz, CA, USA); Anti-mouse CD326 (EpCAM) PE-Cy7, anti-mouse CD11b</w:t>
      </w:r>
      <w:r>
        <w:rPr>
          <w:rFonts w:ascii="Times New Roman" w:hAnsi="Times New Roman" w:cs="Times New Roman" w:hint="eastAsia"/>
          <w:sz w:val="24"/>
          <w:szCs w:val="24"/>
        </w:rPr>
        <w:t>-</w:t>
      </w:r>
      <w:r>
        <w:rPr>
          <w:rFonts w:ascii="Times New Roman" w:hAnsi="Times New Roman" w:cs="Times New Roman"/>
          <w:sz w:val="24"/>
          <w:szCs w:val="24"/>
        </w:rPr>
        <w:t>eFluo 450, anti-mouse CD11c</w:t>
      </w:r>
      <w:r>
        <w:rPr>
          <w:rFonts w:ascii="Times New Roman" w:hAnsi="Times New Roman" w:cs="Times New Roman" w:hint="eastAsia"/>
          <w:sz w:val="24"/>
          <w:szCs w:val="24"/>
        </w:rPr>
        <w:t>-</w:t>
      </w:r>
      <w:r>
        <w:rPr>
          <w:rFonts w:ascii="Times New Roman" w:hAnsi="Times New Roman" w:cs="Times New Roman"/>
          <w:sz w:val="24"/>
          <w:szCs w:val="24"/>
        </w:rPr>
        <w:t xml:space="preserve">APC and anti-mouse F4/80 antigen PE-Cy7 were purchased from eBioscience (San Diego, CA, USA). Duoset enzyme-linked immunosorbent assay (ELISA) kits were purchased from R&amp;D Systems (Minneapolis, MN, USA). ATP determination kit, CellEvent™ Caspase-3/7 Green Detection Reagent, Vybrant® MTT cell proliferation assay kit, and Annexin V-FITC/propidium iodide (PI) apoptosis detection kit were obtained from </w:t>
      </w:r>
      <w:r>
        <w:rPr>
          <w:rFonts w:ascii="Times New Roman" w:eastAsia="宋体" w:hAnsi="Times New Roman" w:cs="Times New Roman"/>
          <w:sz w:val="24"/>
          <w:szCs w:val="24"/>
        </w:rPr>
        <w:t>ThermoFisher Scientific (Eugene, OR, USA).</w:t>
      </w:r>
    </w:p>
    <w:p w:rsidR="0063103D" w:rsidRPr="008D0F78" w:rsidRDefault="0063103D" w:rsidP="00FB2065">
      <w:pPr>
        <w:spacing w:after="0" w:line="480" w:lineRule="auto"/>
        <w:jc w:val="both"/>
        <w:rPr>
          <w:rFonts w:ascii="Times New Roman" w:hAnsi="Times New Roman" w:cs="Times New Roman"/>
          <w:b/>
          <w:sz w:val="24"/>
          <w:szCs w:val="24"/>
        </w:rPr>
      </w:pPr>
      <w:r w:rsidRPr="008D0F78">
        <w:rPr>
          <w:rFonts w:ascii="Times New Roman" w:hAnsi="Times New Roman" w:cs="Times New Roman"/>
          <w:b/>
          <w:sz w:val="24"/>
          <w:szCs w:val="24"/>
        </w:rPr>
        <w:t>Isolation, purification, and characterization of turmeric-derived nanoparticles (TDNPs)</w:t>
      </w:r>
    </w:p>
    <w:p w:rsidR="0063103D" w:rsidRDefault="0063103D" w:rsidP="00FB206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Turmeric or </w:t>
      </w:r>
      <w:r>
        <w:rPr>
          <w:rFonts w:ascii="Times New Roman" w:hAnsi="Times New Roman" w:cs="Times New Roman"/>
          <w:i/>
          <w:sz w:val="24"/>
          <w:szCs w:val="24"/>
        </w:rPr>
        <w:t>Curcuma Longa</w:t>
      </w:r>
      <w:r>
        <w:rPr>
          <w:rFonts w:ascii="Times New Roman" w:hAnsi="Times New Roman" w:cs="Times New Roman"/>
          <w:sz w:val="24"/>
          <w:szCs w:val="24"/>
        </w:rPr>
        <w:t xml:space="preserve"> (Order, Zingiberales; Family,</w:t>
      </w:r>
      <w:r>
        <w:rPr>
          <w:rFonts w:ascii="Times New Roman" w:hAnsi="Times New Roman" w:cs="Times New Roman"/>
          <w:sz w:val="24"/>
          <w:szCs w:val="24"/>
        </w:rPr>
        <w:tab/>
        <w:t>Zingiberaceae; Genus, Curcuma) was purchased from a local farmer's market, which was used to isolate TDNPs. According to the protocol developed in our lab, turmeric was washed thoroughly with tap water at room temperature (22 °C). After the final washing, the turmeric was ground in a Breville extractor to obtain juice. Then the juice was centrifuged first at 3000</w:t>
      </w:r>
      <w:r>
        <w:rPr>
          <w:rFonts w:ascii="Times New Roman" w:hAnsi="Times New Roman" w:cs="Times New Roman"/>
          <w:i/>
          <w:sz w:val="24"/>
          <w:szCs w:val="24"/>
        </w:rPr>
        <w:t>g</w:t>
      </w:r>
      <w:r>
        <w:rPr>
          <w:rFonts w:ascii="Times New Roman" w:hAnsi="Times New Roman" w:cs="Times New Roman"/>
          <w:sz w:val="24"/>
          <w:szCs w:val="24"/>
        </w:rPr>
        <w:t xml:space="preserve"> for 20 min and then at 10 000</w:t>
      </w:r>
      <w:r>
        <w:rPr>
          <w:rFonts w:ascii="Times New Roman" w:hAnsi="Times New Roman" w:cs="Times New Roman"/>
          <w:i/>
          <w:sz w:val="24"/>
          <w:szCs w:val="24"/>
        </w:rPr>
        <w:t>g</w:t>
      </w:r>
      <w:r>
        <w:rPr>
          <w:rFonts w:ascii="Times New Roman" w:hAnsi="Times New Roman" w:cs="Times New Roman"/>
          <w:sz w:val="24"/>
          <w:szCs w:val="24"/>
        </w:rPr>
        <w:t xml:space="preserve"> for 40 </w:t>
      </w:r>
      <w:r>
        <w:rPr>
          <w:rFonts w:ascii="Times New Roman" w:hAnsi="Times New Roman" w:cs="Times New Roman"/>
          <w:sz w:val="24"/>
          <w:szCs w:val="24"/>
        </w:rPr>
        <w:lastRenderedPageBreak/>
        <w:t>min to remove large fibers. The supernatant was ultra-centrifuged at 150,000</w:t>
      </w:r>
      <w:r>
        <w:rPr>
          <w:rFonts w:ascii="Times New Roman" w:hAnsi="Times New Roman" w:cs="Times New Roman"/>
          <w:i/>
          <w:sz w:val="24"/>
          <w:szCs w:val="24"/>
        </w:rPr>
        <w:t>g</w:t>
      </w:r>
      <w:r>
        <w:rPr>
          <w:rFonts w:ascii="Times New Roman" w:hAnsi="Times New Roman" w:cs="Times New Roman"/>
          <w:sz w:val="24"/>
          <w:szCs w:val="24"/>
        </w:rPr>
        <w:t xml:space="preserve"> for two h, and the final obtained pellet was suspended in phosphate-buffered saline (PBS) through ultrasonic dispersion. </w:t>
      </w:r>
    </w:p>
    <w:p w:rsidR="0063103D" w:rsidRDefault="0063103D" w:rsidP="00043FE1">
      <w:pPr>
        <w:spacing w:after="0"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For TDNPs purification, the suspension of TNDPs was transferred to a discon</w:t>
      </w:r>
      <w:bookmarkStart w:id="2" w:name="_GoBack"/>
      <w:bookmarkEnd w:id="2"/>
      <w:r>
        <w:rPr>
          <w:rFonts w:ascii="Times New Roman" w:hAnsi="Times New Roman" w:cs="Times New Roman"/>
          <w:sz w:val="24"/>
          <w:szCs w:val="24"/>
        </w:rPr>
        <w:t>tinuous sucrose gradient (8%, 30%, and 45% [g/v]) and ultra-centrifuged at 150,000</w:t>
      </w:r>
      <w:r>
        <w:rPr>
          <w:rFonts w:ascii="Times New Roman" w:hAnsi="Times New Roman" w:cs="Times New Roman"/>
          <w:i/>
          <w:sz w:val="24"/>
          <w:szCs w:val="24"/>
        </w:rPr>
        <w:t>g</w:t>
      </w:r>
      <w:r>
        <w:rPr>
          <w:rFonts w:ascii="Times New Roman" w:hAnsi="Times New Roman" w:cs="Times New Roman"/>
          <w:sz w:val="24"/>
          <w:szCs w:val="24"/>
        </w:rPr>
        <w:t xml:space="preserve"> for an additional two h. The bands between 8/30% and 30/45% layers, corresponding to TDNPs 1 and TDNPs 2, were harvested separately. The concentrations of obtained TDNPs thus were quantified based on protein concentration using a Bio-Rad protein quantification assay kit. The quantified TDNPs were stored at -80°C for further use.</w:t>
      </w:r>
    </w:p>
    <w:p w:rsidR="0063103D" w:rsidRDefault="0063103D" w:rsidP="00043FE1">
      <w:pPr>
        <w:spacing w:after="0"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TDNPs were characterized with respect to size and zeta potential by dynamic light scattering using a Zetasizer Nano ZS (Malvern, Southborough, MA). Atomic force microscopy (AFM) images were acquired using a SPA 400 AFM instrument (Seiko Instruments Inc., Chiba, Japan). For transmission electron microscopy (TEM) imaging, a drop of the sample was deposited onto the surface of a formvar-coated copper grid, after which 1% uranyl acetate was added for 15 s, and the sample was allowed to dry at room temperature for subsequent imaging.</w:t>
      </w:r>
    </w:p>
    <w:p w:rsidR="0063103D" w:rsidRDefault="0063103D" w:rsidP="00043FE1">
      <w:pPr>
        <w:spacing w:after="0"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For</w:t>
      </w:r>
      <w:r>
        <w:rPr>
          <w:rFonts w:ascii="Times New Roman" w:hAnsi="Times New Roman" w:cs="Times New Roman"/>
          <w:i/>
          <w:sz w:val="24"/>
          <w:szCs w:val="24"/>
        </w:rPr>
        <w:t xml:space="preserve"> in vitro</w:t>
      </w:r>
      <w:r>
        <w:rPr>
          <w:rFonts w:ascii="Times New Roman" w:hAnsi="Times New Roman" w:cs="Times New Roman"/>
          <w:sz w:val="24"/>
          <w:szCs w:val="24"/>
        </w:rPr>
        <w:t xml:space="preserve"> stability tests, 1.34 </w:t>
      </w:r>
      <w:r>
        <w:rPr>
          <w:rFonts w:ascii="Times New Roman" w:hAnsi="Times New Roman" w:cs="Times New Roman"/>
          <w:sz w:val="24"/>
          <w:szCs w:val="24"/>
        </w:rPr>
        <w:sym w:font="Symbol" w:char="F06D"/>
      </w:r>
      <w:r>
        <w:rPr>
          <w:rFonts w:ascii="Times New Roman" w:hAnsi="Times New Roman" w:cs="Times New Roman"/>
          <w:sz w:val="24"/>
          <w:szCs w:val="24"/>
        </w:rPr>
        <w:t xml:space="preserve">l of 18.5% (w/v) HCl (pH 2.0) and 24 </w:t>
      </w:r>
      <w:r>
        <w:rPr>
          <w:rFonts w:ascii="Times New Roman" w:hAnsi="Times New Roman" w:cs="Times New Roman"/>
          <w:sz w:val="24"/>
          <w:szCs w:val="24"/>
        </w:rPr>
        <w:sym w:font="Symbol" w:char="F06D"/>
      </w:r>
      <w:r>
        <w:rPr>
          <w:rFonts w:ascii="Times New Roman" w:hAnsi="Times New Roman" w:cs="Times New Roman"/>
          <w:sz w:val="24"/>
          <w:szCs w:val="24"/>
        </w:rPr>
        <w:t xml:space="preserve">l of pepsin solution (80 mg/ml in 0.1 N HCl, pH 2.0) were added to 1 ml (1 mg/ml) of TDNPs in PBS, and the mixture was incubated at 37 °C for 0.5 h (stomach-like conditions). Then, 80 </w:t>
      </w:r>
      <w:r>
        <w:rPr>
          <w:rFonts w:ascii="Times New Roman" w:hAnsi="Times New Roman" w:cs="Times New Roman"/>
          <w:sz w:val="24"/>
          <w:szCs w:val="24"/>
        </w:rPr>
        <w:sym w:font="Symbol" w:char="F06D"/>
      </w:r>
      <w:r>
        <w:rPr>
          <w:rFonts w:ascii="Times New Roman" w:hAnsi="Times New Roman" w:cs="Times New Roman"/>
          <w:sz w:val="24"/>
          <w:szCs w:val="24"/>
        </w:rPr>
        <w:t>l of a mixture containing 24 mg/ml of bile extract and 4 mg/ml of pancreatin in 0.1 N NaHCO</w:t>
      </w:r>
      <w:r>
        <w:rPr>
          <w:rFonts w:ascii="Times New Roman" w:hAnsi="Times New Roman" w:cs="Times New Roman"/>
          <w:sz w:val="24"/>
          <w:szCs w:val="24"/>
          <w:vertAlign w:val="subscript"/>
        </w:rPr>
        <w:t>3</w:t>
      </w:r>
      <w:r>
        <w:rPr>
          <w:rFonts w:ascii="Times New Roman" w:hAnsi="Times New Roman" w:cs="Times New Roman"/>
          <w:sz w:val="24"/>
          <w:szCs w:val="24"/>
        </w:rPr>
        <w:t xml:space="preserve"> was added. The pH was adjusted to 6.5 with 1 N NaHCO</w:t>
      </w:r>
      <w:r>
        <w:rPr>
          <w:rFonts w:ascii="Times New Roman" w:hAnsi="Times New Roman" w:cs="Times New Roman"/>
          <w:sz w:val="24"/>
          <w:szCs w:val="24"/>
          <w:vertAlign w:val="subscript"/>
        </w:rPr>
        <w:t>3</w:t>
      </w:r>
      <w:r>
        <w:rPr>
          <w:rFonts w:ascii="Times New Roman" w:hAnsi="Times New Roman" w:cs="Times New Roman"/>
          <w:sz w:val="24"/>
          <w:szCs w:val="24"/>
        </w:rPr>
        <w:t xml:space="preserve"> and incubated for an additional 0.5 h under the same conditions (Small intestine-like conditions). The stability of TDNPs was evaluated by measuring particle size and zeta potential using the method described above.</w:t>
      </w:r>
    </w:p>
    <w:p w:rsidR="0063103D" w:rsidRPr="008D0F78" w:rsidRDefault="0063103D" w:rsidP="00FB2065">
      <w:pPr>
        <w:spacing w:after="0" w:line="480" w:lineRule="auto"/>
        <w:jc w:val="both"/>
        <w:rPr>
          <w:rFonts w:ascii="Times New Roman" w:hAnsi="Times New Roman" w:cs="Times New Roman"/>
          <w:b/>
          <w:sz w:val="24"/>
          <w:szCs w:val="24"/>
        </w:rPr>
      </w:pPr>
      <w:r w:rsidRPr="008D0F78">
        <w:rPr>
          <w:rFonts w:ascii="Times New Roman" w:hAnsi="Times New Roman" w:cs="Times New Roman"/>
          <w:b/>
          <w:sz w:val="24"/>
          <w:szCs w:val="24"/>
        </w:rPr>
        <w:t>Lipids composition and proteomics profile analysis of TDNPs</w:t>
      </w:r>
    </w:p>
    <w:p w:rsidR="0063103D" w:rsidRDefault="0063103D" w:rsidP="00FB2065">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For TDNPs lipids composition analysis, lipid samples extracted from TDNPs 1 and TDNPs 2 (from discontinuous sucrose gradient) were submitted to the Lipidomics Research Center, Kansas State University (Manhattan, KS, USA) for analysis. Briefly, the lipid composition of TDNPs was determined using a triple quadrupole mass spectrometer (Applied Biosystems Q-TRAP; Applied Biosystems, Foster City, CA, USA), as described in an online protocol (http://www.k-state.edu/lipid/lipidomics/profiling.htm). Data for each lipid molecular species were presented as mol % of the total lipids analyzed.</w:t>
      </w:r>
    </w:p>
    <w:p w:rsidR="0063103D" w:rsidRDefault="0063103D" w:rsidP="00043FE1">
      <w:pPr>
        <w:spacing w:after="0"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For proteomics analysis, TDNPs 1 and TDNPs 2 purified from discontinuous sucrose gradient was shipped to Bioproximity on dry ice (Chantilly, VA, USA). Proteins in TDNPs 1 and TDNPs 2 were identified and quantified in a few hours from a few micrograms of protein by UPLC-MS/MS (ultra-performance liquid chromatography-tandem mass-spectrometry) using Orbitrap mass spectrometry.</w:t>
      </w:r>
    </w:p>
    <w:p w:rsidR="0063103D" w:rsidRPr="006B69DF" w:rsidRDefault="0063103D" w:rsidP="00FB2065">
      <w:pPr>
        <w:spacing w:after="0" w:line="480" w:lineRule="auto"/>
        <w:jc w:val="both"/>
        <w:rPr>
          <w:rFonts w:ascii="Times New Roman" w:hAnsi="Times New Roman" w:cs="Times New Roman"/>
          <w:b/>
          <w:sz w:val="24"/>
          <w:szCs w:val="24"/>
        </w:rPr>
      </w:pPr>
      <w:r w:rsidRPr="006B69DF">
        <w:rPr>
          <w:rFonts w:ascii="Times New Roman" w:hAnsi="Times New Roman" w:cs="Times New Roman"/>
          <w:b/>
          <w:sz w:val="24"/>
          <w:szCs w:val="24"/>
        </w:rPr>
        <w:t>High-performance liquid chromatography with ultraviolet (HPLC-UV) spectrophotometer detection</w:t>
      </w:r>
    </w:p>
    <w:p w:rsidR="0063103D" w:rsidRDefault="0063103D" w:rsidP="00FB206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HPLC system was comprised of a Shimadzu (VP series, Kyoto, Japan) pump (LC-20AT) with solvent cabinet, a degasser (DGU-20A3), a column oven (CTO-10S), an auto-injector (SIL-20A HT), UV/VIS detector (SPD-20AD) and computer software (LC-solution). The separation was carried out using a reversed-phase C-18 Agilent Eclipse Plus (Agilent, USA) column (250 × 4.6 mm ID, 5 μm). The flow rate was set at 1.5 mL/min, and the detection wavelength was 370 nm. Curcumin standard sample of 25 μl was injected onto the column.</w:t>
      </w:r>
    </w:p>
    <w:p w:rsidR="0063103D" w:rsidRPr="006B69DF" w:rsidRDefault="0063103D" w:rsidP="00FB2065">
      <w:pPr>
        <w:spacing w:after="0" w:line="480" w:lineRule="auto"/>
        <w:jc w:val="both"/>
        <w:rPr>
          <w:rFonts w:ascii="Times New Roman" w:hAnsi="Times New Roman" w:cs="Times New Roman"/>
          <w:b/>
          <w:sz w:val="24"/>
          <w:szCs w:val="24"/>
        </w:rPr>
      </w:pPr>
      <w:r w:rsidRPr="006B69DF">
        <w:rPr>
          <w:rFonts w:ascii="Times New Roman" w:hAnsi="Times New Roman" w:cs="Times New Roman"/>
          <w:b/>
          <w:sz w:val="24"/>
          <w:szCs w:val="24"/>
        </w:rPr>
        <w:t>TDNPs labeling</w:t>
      </w:r>
    </w:p>
    <w:p w:rsidR="0063103D" w:rsidRDefault="0063103D" w:rsidP="00FB206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TDNPs were labeled with fluorescent lipophilic dyes, DiL, DIO, or DiR, depending on the experiment. Generally, 10 </w:t>
      </w:r>
      <w:r>
        <w:rPr>
          <w:rFonts w:ascii="Times New Roman" w:hAnsi="Times New Roman" w:cs="Times New Roman"/>
          <w:sz w:val="24"/>
          <w:szCs w:val="24"/>
        </w:rPr>
        <w:sym w:font="Symbol" w:char="F06D"/>
      </w:r>
      <w:r>
        <w:rPr>
          <w:rFonts w:ascii="Times New Roman" w:hAnsi="Times New Roman" w:cs="Times New Roman"/>
          <w:sz w:val="24"/>
          <w:szCs w:val="24"/>
        </w:rPr>
        <w:t xml:space="preserve">M fluorescent dye solution was added to 1 mg TDNPs (1 ml in PBS), </w:t>
      </w:r>
      <w:r>
        <w:rPr>
          <w:rFonts w:ascii="Times New Roman" w:hAnsi="Times New Roman" w:cs="Times New Roman"/>
          <w:sz w:val="24"/>
          <w:szCs w:val="24"/>
        </w:rPr>
        <w:lastRenderedPageBreak/>
        <w:t xml:space="preserve">and the mixture was incubated for 30 min at room temperature. The labeled TDNPs were separated from the free dye by ultra-centrifuge. </w:t>
      </w:r>
    </w:p>
    <w:p w:rsidR="0063103D" w:rsidRPr="006B69DF" w:rsidRDefault="0063103D" w:rsidP="00FB2065">
      <w:pPr>
        <w:spacing w:after="0" w:line="480" w:lineRule="auto"/>
        <w:jc w:val="both"/>
        <w:rPr>
          <w:rFonts w:ascii="Times New Roman" w:hAnsi="Times New Roman" w:cs="Times New Roman"/>
          <w:b/>
          <w:sz w:val="24"/>
          <w:szCs w:val="24"/>
        </w:rPr>
      </w:pPr>
      <w:r w:rsidRPr="006B69DF">
        <w:rPr>
          <w:rFonts w:ascii="Times New Roman" w:hAnsi="Times New Roman" w:cs="Times New Roman"/>
          <w:b/>
          <w:sz w:val="24"/>
          <w:szCs w:val="24"/>
        </w:rPr>
        <w:t xml:space="preserve">In vitro cellular uptake of TDNPs and potential endocytosis pathway(s) investigation </w:t>
      </w:r>
    </w:p>
    <w:p w:rsidR="0063103D" w:rsidRDefault="0063103D" w:rsidP="00FB206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For cellular uptake of TDNPs, RAW 264.7 microphage and Colon-26 cells were seeded in 8-chamber glass tissue culture slides (BD Falcon, Bedford, MA, USA) at a density of 1 </w:t>
      </w:r>
      <w:r>
        <w:rPr>
          <w:rFonts w:ascii="Times New Roman" w:hAnsi="Times New Roman" w:cs="Times New Roman"/>
          <w:sz w:val="24"/>
          <w:szCs w:val="24"/>
        </w:rPr>
        <w:sym w:font="Symbol" w:char="F0B4"/>
      </w:r>
      <w:r>
        <w:rPr>
          <w:rFonts w:ascii="Times New Roman" w:hAnsi="Times New Roman" w:cs="Times New Roman"/>
          <w:sz w:val="24"/>
          <w:szCs w:val="24"/>
        </w:rPr>
        <w:t xml:space="preserve"> 10</w:t>
      </w:r>
      <w:r>
        <w:rPr>
          <w:rFonts w:ascii="Times New Roman" w:hAnsi="Times New Roman" w:cs="Times New Roman"/>
          <w:sz w:val="24"/>
          <w:szCs w:val="24"/>
          <w:vertAlign w:val="superscript"/>
        </w:rPr>
        <w:t>5</w:t>
      </w:r>
      <w:r>
        <w:rPr>
          <w:rFonts w:ascii="Times New Roman" w:hAnsi="Times New Roman" w:cs="Times New Roman"/>
          <w:sz w:val="24"/>
          <w:szCs w:val="24"/>
        </w:rPr>
        <w:t xml:space="preserve"> cells/well and incubated overnight in a growth medium. TDNPs 2 were labeled with DiL (Ex: 549 nm; Em: 565 nm) at a concentration of 10 </w:t>
      </w:r>
      <w:r>
        <w:rPr>
          <w:rFonts w:ascii="Times New Roman" w:hAnsi="Times New Roman" w:cs="Times New Roman"/>
          <w:sz w:val="24"/>
          <w:szCs w:val="24"/>
        </w:rPr>
        <w:sym w:font="Symbol" w:char="F06D"/>
      </w:r>
      <w:r>
        <w:rPr>
          <w:rFonts w:ascii="Times New Roman" w:hAnsi="Times New Roman" w:cs="Times New Roman"/>
          <w:sz w:val="24"/>
          <w:szCs w:val="24"/>
        </w:rPr>
        <w:t xml:space="preserve">M. Subsequently, labeled TDNPs 2 (100 </w:t>
      </w:r>
      <w:r>
        <w:rPr>
          <w:rFonts w:ascii="Times New Roman" w:hAnsi="Times New Roman" w:cs="Times New Roman"/>
          <w:sz w:val="24"/>
          <w:szCs w:val="24"/>
        </w:rPr>
        <w:sym w:font="Symbol" w:char="F06D"/>
      </w:r>
      <w:r>
        <w:rPr>
          <w:rFonts w:ascii="Times New Roman" w:hAnsi="Times New Roman" w:cs="Times New Roman"/>
          <w:sz w:val="24"/>
          <w:szCs w:val="24"/>
        </w:rPr>
        <w:t xml:space="preserve">g/ml) were incubated with cells for 4 h. After incubation, cells were fixed with 4% paraformaldehyde (PFA) for 15 min and then dehydrated with acetone at -20°C for 5 min. After blocking with 1 % bovine serum albumin (BSA) in PBS for 30 min, 100 </w:t>
      </w:r>
      <w:r>
        <w:rPr>
          <w:rFonts w:ascii="Times New Roman" w:hAnsi="Times New Roman" w:cs="Times New Roman"/>
          <w:sz w:val="24"/>
          <w:szCs w:val="24"/>
        </w:rPr>
        <w:sym w:font="Symbol" w:char="F06D"/>
      </w:r>
      <w:r>
        <w:rPr>
          <w:rFonts w:ascii="Times New Roman" w:hAnsi="Times New Roman" w:cs="Times New Roman"/>
          <w:sz w:val="24"/>
          <w:szCs w:val="24"/>
        </w:rPr>
        <w:t>l of phalloidin-FITC (1:40 dilution) was added, and the mixture was incubated for an additional 30 min. Finally, cells were coverslip-mounted with a mounting medium containing 4-,6-diamidino-2-phenylindole (DAPI, H-1500; Vector Laboratories, Burlingame, CA, USA). Cells were observed and imaged using a Zeiss LSM 700 confocal microscope with Zen 2014 software version 9.1</w:t>
      </w:r>
    </w:p>
    <w:p w:rsidR="0063103D" w:rsidRDefault="0063103D" w:rsidP="00043FE1">
      <w:pPr>
        <w:spacing w:after="0"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 xml:space="preserve">To investigate the potential endocytosis pathway (s), special inhibitors (amiloride (250 </w:t>
      </w:r>
      <w:r>
        <w:rPr>
          <w:rFonts w:ascii="Times New Roman" w:hAnsi="Times New Roman" w:cs="Times New Roman"/>
          <w:sz w:val="24"/>
          <w:szCs w:val="24"/>
        </w:rPr>
        <w:sym w:font="Symbol" w:char="F06D"/>
      </w:r>
      <w:r>
        <w:rPr>
          <w:rFonts w:ascii="Times New Roman" w:hAnsi="Times New Roman" w:cs="Times New Roman"/>
          <w:sz w:val="24"/>
          <w:szCs w:val="24"/>
        </w:rPr>
        <w:t xml:space="preserve">M), indomethacin (100 </w:t>
      </w:r>
      <w:r>
        <w:rPr>
          <w:rFonts w:ascii="Times New Roman" w:hAnsi="Times New Roman" w:cs="Times New Roman"/>
          <w:sz w:val="24"/>
          <w:szCs w:val="24"/>
        </w:rPr>
        <w:sym w:font="Symbol" w:char="F06D"/>
      </w:r>
      <w:r>
        <w:rPr>
          <w:rFonts w:ascii="Times New Roman" w:hAnsi="Times New Roman" w:cs="Times New Roman"/>
          <w:sz w:val="24"/>
          <w:szCs w:val="24"/>
        </w:rPr>
        <w:t xml:space="preserve">M), chlorpromazine (25 </w:t>
      </w:r>
      <w:r>
        <w:rPr>
          <w:rFonts w:ascii="Times New Roman" w:hAnsi="Times New Roman" w:cs="Times New Roman"/>
          <w:sz w:val="24"/>
          <w:szCs w:val="24"/>
        </w:rPr>
        <w:sym w:font="Symbol" w:char="F06D"/>
      </w:r>
      <w:r>
        <w:rPr>
          <w:rFonts w:ascii="Times New Roman" w:hAnsi="Times New Roman" w:cs="Times New Roman"/>
          <w:sz w:val="24"/>
          <w:szCs w:val="24"/>
        </w:rPr>
        <w:t xml:space="preserve">M) and cytochalasin D (10 </w:t>
      </w:r>
      <w:r>
        <w:rPr>
          <w:rFonts w:ascii="Times New Roman" w:hAnsi="Times New Roman" w:cs="Times New Roman"/>
          <w:sz w:val="24"/>
          <w:szCs w:val="24"/>
        </w:rPr>
        <w:sym w:font="Symbol" w:char="F06D"/>
      </w:r>
      <w:r>
        <w:rPr>
          <w:rFonts w:ascii="Times New Roman" w:hAnsi="Times New Roman" w:cs="Times New Roman"/>
          <w:sz w:val="24"/>
          <w:szCs w:val="24"/>
        </w:rPr>
        <w:t xml:space="preserve">M)) were first incubated with RAW 264.7 cells for 1 h at 37°C, then 100 </w:t>
      </w:r>
      <w:r>
        <w:rPr>
          <w:rFonts w:ascii="Times New Roman" w:hAnsi="Times New Roman" w:cs="Times New Roman"/>
          <w:sz w:val="24"/>
          <w:szCs w:val="24"/>
        </w:rPr>
        <w:sym w:font="Symbol" w:char="F06D"/>
      </w:r>
      <w:r>
        <w:rPr>
          <w:rFonts w:ascii="Times New Roman" w:hAnsi="Times New Roman" w:cs="Times New Roman"/>
          <w:sz w:val="24"/>
          <w:szCs w:val="24"/>
        </w:rPr>
        <w:t>g/ml of DiL labeled TDNPs 2 were added for additional 4 h incubation. After washing with 3 times PBS, cells were fixed with 4 % PFA for 15min. Finally, cells were coverslip-mounted with DAPI for fluorescence imaging.</w:t>
      </w:r>
    </w:p>
    <w:p w:rsidR="0063103D" w:rsidRDefault="0063103D" w:rsidP="00043FE1">
      <w:pPr>
        <w:spacing w:after="0"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 xml:space="preserve">To determine the effects of temperature on TDNPs internalization, RAW 264.7 cells were incubated with 100 </w:t>
      </w:r>
      <w:r>
        <w:rPr>
          <w:rFonts w:ascii="Times New Roman" w:hAnsi="Times New Roman" w:cs="Times New Roman"/>
          <w:sz w:val="24"/>
          <w:szCs w:val="24"/>
        </w:rPr>
        <w:sym w:font="Symbol" w:char="F06D"/>
      </w:r>
      <w:r>
        <w:rPr>
          <w:rFonts w:ascii="Times New Roman" w:hAnsi="Times New Roman" w:cs="Times New Roman"/>
          <w:sz w:val="24"/>
          <w:szCs w:val="24"/>
        </w:rPr>
        <w:t>g/ml of DiL labeled TDNPs 2 for 4 h at 37°C, 20°C and 4°C, After washing with 3 times PBS, cells were fixed with 4 % PFA for 15min. Finally, cells were coverslip-mounted with DAPI for fluorescence imaging.</w:t>
      </w:r>
    </w:p>
    <w:p w:rsidR="0063103D" w:rsidRPr="006B69DF" w:rsidRDefault="0063103D" w:rsidP="00FB2065">
      <w:pPr>
        <w:spacing w:after="0" w:line="480" w:lineRule="auto"/>
        <w:jc w:val="both"/>
        <w:rPr>
          <w:rFonts w:ascii="Times New Roman" w:hAnsi="Times New Roman" w:cs="Times New Roman"/>
          <w:b/>
          <w:sz w:val="24"/>
          <w:szCs w:val="24"/>
        </w:rPr>
      </w:pPr>
      <w:r w:rsidRPr="006B69DF">
        <w:rPr>
          <w:rFonts w:ascii="Times New Roman" w:hAnsi="Times New Roman" w:cs="Times New Roman"/>
          <w:b/>
          <w:sz w:val="24"/>
          <w:szCs w:val="24"/>
        </w:rPr>
        <w:lastRenderedPageBreak/>
        <w:t xml:space="preserve">Biocompatibility of TNDPs 2 both </w:t>
      </w:r>
      <w:r w:rsidRPr="00043FE1">
        <w:rPr>
          <w:rFonts w:ascii="Times New Roman" w:hAnsi="Times New Roman" w:cs="Times New Roman"/>
          <w:b/>
          <w:i/>
          <w:sz w:val="24"/>
          <w:szCs w:val="24"/>
        </w:rPr>
        <w:t>in vitro</w:t>
      </w:r>
      <w:r w:rsidRPr="006B69DF">
        <w:rPr>
          <w:rFonts w:ascii="Times New Roman" w:hAnsi="Times New Roman" w:cs="Times New Roman"/>
          <w:b/>
          <w:sz w:val="24"/>
          <w:szCs w:val="24"/>
        </w:rPr>
        <w:t xml:space="preserve"> and </w:t>
      </w:r>
      <w:r w:rsidRPr="00043FE1">
        <w:rPr>
          <w:rFonts w:ascii="Times New Roman" w:hAnsi="Times New Roman" w:cs="Times New Roman"/>
          <w:b/>
          <w:i/>
          <w:sz w:val="24"/>
          <w:szCs w:val="24"/>
        </w:rPr>
        <w:t>in vivo</w:t>
      </w:r>
    </w:p>
    <w:p w:rsidR="0063103D" w:rsidRDefault="0063103D" w:rsidP="00FB206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To test the biocompatibility of TDNPs 2 </w:t>
      </w:r>
      <w:r>
        <w:rPr>
          <w:rFonts w:ascii="Times New Roman" w:hAnsi="Times New Roman" w:cs="Times New Roman"/>
          <w:i/>
          <w:sz w:val="24"/>
          <w:szCs w:val="24"/>
        </w:rPr>
        <w:t>in vitro</w:t>
      </w:r>
      <w:r>
        <w:rPr>
          <w:rFonts w:ascii="Times New Roman" w:hAnsi="Times New Roman" w:cs="Times New Roman"/>
          <w:sz w:val="24"/>
          <w:szCs w:val="24"/>
        </w:rPr>
        <w:t>, Cell-attached assays were first performed to investigate the real-time cytotoxicity using electrical impedance sensing (ECIS) technology (Applied BioPhysics, Troy, NY, UAS), which is based on AC impedance measurements using weak and noninvasive AC signals. The attachment and spread of cells on the electrode surface change the impedance in such a way that morphological information about attached cells can be inferred. The measurement system consists of an 8-well culture dish (ECIS 8W1E plate) with the surface treated for cell culture. The bottom of each well contains a small, active electrode and a large counter electrode. A lock-in amplifier with an internal oscillator is used to switch among the different wells, and a personal computer controls the measurement and stores the data. For the experiment, Caco2-BBE cells at a density of 2×10</w:t>
      </w:r>
      <w:r>
        <w:rPr>
          <w:rFonts w:ascii="Times New Roman" w:hAnsi="Times New Roman" w:cs="Times New Roman"/>
          <w:sz w:val="24"/>
          <w:szCs w:val="24"/>
          <w:vertAlign w:val="superscript"/>
        </w:rPr>
        <w:t>5</w:t>
      </w:r>
      <w:r>
        <w:rPr>
          <w:rFonts w:ascii="Times New Roman" w:hAnsi="Times New Roman" w:cs="Times New Roman"/>
          <w:sz w:val="24"/>
          <w:szCs w:val="24"/>
        </w:rPr>
        <w:t xml:space="preserve">/well were seeded in the plate. Once cells reached confluence, TDNPs 2 with different concentrations (1, 10, 20, 50 and 100 </w:t>
      </w:r>
      <w:r>
        <w:rPr>
          <w:rFonts w:ascii="Times New Roman" w:hAnsi="Times New Roman" w:cs="Times New Roman"/>
          <w:sz w:val="24"/>
          <w:szCs w:val="24"/>
        </w:rPr>
        <w:sym w:font="Symbol" w:char="F06D"/>
      </w:r>
      <w:r>
        <w:rPr>
          <w:rFonts w:ascii="Times New Roman" w:hAnsi="Times New Roman" w:cs="Times New Roman"/>
          <w:sz w:val="24"/>
          <w:szCs w:val="24"/>
        </w:rPr>
        <w:t xml:space="preserve">g/ml) and positive control, 1% Triton 100 were added to the wells. Basal resistance measurements were performed using the ideal frequency for Caco2-BBE cells, 500Hz, and a voltage of 1V. </w:t>
      </w:r>
    </w:p>
    <w:p w:rsidR="0063103D" w:rsidRDefault="0063103D" w:rsidP="00043FE1">
      <w:pPr>
        <w:spacing w:after="0"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 xml:space="preserve">For the MTT </w:t>
      </w:r>
      <w:r>
        <w:rPr>
          <w:rFonts w:ascii="Times New Roman" w:hAnsi="Times New Roman" w:cs="Times New Roman" w:hint="eastAsia"/>
          <w:sz w:val="24"/>
          <w:szCs w:val="24"/>
        </w:rPr>
        <w:t>assay</w:t>
      </w:r>
      <w:r>
        <w:rPr>
          <w:rFonts w:ascii="Times New Roman" w:hAnsi="Times New Roman" w:cs="Times New Roman"/>
          <w:sz w:val="24"/>
          <w:szCs w:val="24"/>
        </w:rPr>
        <w:t xml:space="preserve">, RAW 264.7 </w:t>
      </w:r>
      <w:r>
        <w:rPr>
          <w:rFonts w:ascii="Times New Roman" w:hAnsi="Times New Roman" w:cs="Times New Roman" w:hint="eastAsia"/>
          <w:sz w:val="24"/>
          <w:szCs w:val="24"/>
        </w:rPr>
        <w:t>and</w:t>
      </w:r>
      <w:r>
        <w:rPr>
          <w:rFonts w:ascii="Times New Roman" w:hAnsi="Times New Roman" w:cs="Times New Roman"/>
          <w:sz w:val="24"/>
          <w:szCs w:val="24"/>
        </w:rPr>
        <w:t xml:space="preserve"> colon-26 cells were seeded in 96-well plates at a density of 1</w:t>
      </w:r>
      <w:r>
        <w:rPr>
          <w:rFonts w:ascii="Times New Roman" w:hAnsi="Times New Roman" w:cs="Times New Roman"/>
          <w:sz w:val="24"/>
          <w:szCs w:val="24"/>
        </w:rPr>
        <w:sym w:font="Symbol" w:char="F0B4"/>
      </w:r>
      <w:r>
        <w:rPr>
          <w:rFonts w:ascii="Times New Roman" w:hAnsi="Times New Roman" w:cs="Times New Roman"/>
          <w:sz w:val="24"/>
          <w:szCs w:val="24"/>
        </w:rPr>
        <w:t>10</w:t>
      </w:r>
      <w:r>
        <w:rPr>
          <w:rFonts w:ascii="Times New Roman" w:hAnsi="Times New Roman" w:cs="Times New Roman"/>
          <w:sz w:val="24"/>
          <w:szCs w:val="24"/>
          <w:vertAlign w:val="superscript"/>
        </w:rPr>
        <w:t>4</w:t>
      </w:r>
      <w:r>
        <w:rPr>
          <w:rFonts w:ascii="Times New Roman" w:hAnsi="Times New Roman" w:cs="Times New Roman"/>
          <w:sz w:val="24"/>
          <w:szCs w:val="24"/>
        </w:rPr>
        <w:t xml:space="preserve"> cells/well and incubated overnight. Cells were then incubated with different amounts of TDNP</w:t>
      </w:r>
      <w:r>
        <w:rPr>
          <w:rFonts w:ascii="Times New Roman" w:hAnsi="Times New Roman" w:cs="Times New Roman" w:hint="eastAsia"/>
          <w:sz w:val="24"/>
          <w:szCs w:val="24"/>
        </w:rPr>
        <w:t>s</w:t>
      </w:r>
      <w:r>
        <w:rPr>
          <w:rFonts w:ascii="Times New Roman" w:hAnsi="Times New Roman" w:cs="Times New Roman"/>
          <w:sz w:val="24"/>
          <w:szCs w:val="24"/>
        </w:rPr>
        <w:t xml:space="preserve"> 2 (1, 10, 20, 50 and 100 </w:t>
      </w:r>
      <w:r>
        <w:rPr>
          <w:rFonts w:ascii="Times New Roman" w:hAnsi="Times New Roman" w:cs="Times New Roman"/>
          <w:sz w:val="24"/>
          <w:szCs w:val="24"/>
        </w:rPr>
        <w:sym w:font="Symbol" w:char="F06D"/>
      </w:r>
      <w:r>
        <w:rPr>
          <w:rFonts w:ascii="Times New Roman" w:hAnsi="Times New Roman" w:cs="Times New Roman"/>
          <w:sz w:val="24"/>
          <w:szCs w:val="24"/>
        </w:rPr>
        <w:t>g/ml) for 24 h. After TDNP</w:t>
      </w:r>
      <w:r>
        <w:rPr>
          <w:rFonts w:ascii="Times New Roman" w:hAnsi="Times New Roman" w:cs="Times New Roman" w:hint="eastAsia"/>
          <w:sz w:val="24"/>
          <w:szCs w:val="24"/>
        </w:rPr>
        <w:t>s</w:t>
      </w:r>
      <w:r>
        <w:rPr>
          <w:rFonts w:ascii="Times New Roman" w:hAnsi="Times New Roman" w:cs="Times New Roman"/>
          <w:sz w:val="24"/>
          <w:szCs w:val="24"/>
        </w:rPr>
        <w:t xml:space="preserve"> 2-containing medium was removed and cells were thoroughly rinsed once with PBS. Cells were then incubated with 20 </w:t>
      </w:r>
      <w:r>
        <w:rPr>
          <w:rFonts w:ascii="Times New Roman" w:hAnsi="Times New Roman" w:cs="Times New Roman"/>
          <w:sz w:val="24"/>
          <w:szCs w:val="24"/>
        </w:rPr>
        <w:sym w:font="Symbol" w:char="F06D"/>
      </w:r>
      <w:r>
        <w:rPr>
          <w:rFonts w:ascii="Times New Roman" w:hAnsi="Times New Roman" w:cs="Times New Roman"/>
          <w:sz w:val="24"/>
          <w:szCs w:val="24"/>
        </w:rPr>
        <w:t>L of MTT (5 mg/ml) at 37°C for 4 h until a purple precipitate was visible. Thereafter, the media were discarded, and 50</w:t>
      </w:r>
      <w:r>
        <w:rPr>
          <w:rFonts w:ascii="Times New Roman" w:hAnsi="Times New Roman" w:cs="Times New Roman"/>
          <w:sz w:val="24"/>
          <w:szCs w:val="24"/>
        </w:rPr>
        <w:sym w:font="Symbol" w:char="F06D"/>
      </w:r>
      <w:r>
        <w:rPr>
          <w:rFonts w:ascii="Times New Roman" w:hAnsi="Times New Roman" w:cs="Times New Roman"/>
          <w:sz w:val="24"/>
          <w:szCs w:val="24"/>
        </w:rPr>
        <w:t xml:space="preserve">l dimethyl sulfoxide (DMSO) was added to each well prior to spectrophotometric measurements at 570 nm. Untreated cells were used as a negative control. </w:t>
      </w:r>
    </w:p>
    <w:p w:rsidR="0063103D" w:rsidRDefault="0063103D" w:rsidP="00043FE1">
      <w:pPr>
        <w:spacing w:after="0"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 xml:space="preserve">For the ATPLite assay, RAW 264.7 </w:t>
      </w:r>
      <w:r>
        <w:rPr>
          <w:rFonts w:ascii="Times New Roman" w:hAnsi="Times New Roman" w:cs="Times New Roman" w:hint="eastAsia"/>
          <w:sz w:val="24"/>
          <w:szCs w:val="24"/>
        </w:rPr>
        <w:t>and</w:t>
      </w:r>
      <w:r>
        <w:rPr>
          <w:rFonts w:ascii="Times New Roman" w:hAnsi="Times New Roman" w:cs="Times New Roman"/>
          <w:sz w:val="24"/>
          <w:szCs w:val="24"/>
        </w:rPr>
        <w:t xml:space="preserve"> colon-26 cells were seeded in 96-well plates at a density of 1</w:t>
      </w:r>
      <w:r>
        <w:rPr>
          <w:rFonts w:ascii="Times New Roman" w:hAnsi="Times New Roman" w:cs="Times New Roman"/>
          <w:sz w:val="24"/>
          <w:szCs w:val="24"/>
        </w:rPr>
        <w:sym w:font="Symbol" w:char="F0B4"/>
      </w:r>
      <w:r>
        <w:rPr>
          <w:rFonts w:ascii="Times New Roman" w:hAnsi="Times New Roman" w:cs="Times New Roman"/>
          <w:sz w:val="24"/>
          <w:szCs w:val="24"/>
        </w:rPr>
        <w:t>10</w:t>
      </w:r>
      <w:r>
        <w:rPr>
          <w:rFonts w:ascii="Times New Roman" w:hAnsi="Times New Roman" w:cs="Times New Roman"/>
          <w:sz w:val="24"/>
          <w:szCs w:val="24"/>
          <w:vertAlign w:val="superscript"/>
        </w:rPr>
        <w:t>4</w:t>
      </w:r>
      <w:r>
        <w:rPr>
          <w:rFonts w:ascii="Times New Roman" w:hAnsi="Times New Roman" w:cs="Times New Roman"/>
          <w:sz w:val="24"/>
          <w:szCs w:val="24"/>
        </w:rPr>
        <w:t xml:space="preserve"> cells/well and incubated overnight. Cells were then incubated with with </w:t>
      </w:r>
      <w:r>
        <w:rPr>
          <w:rFonts w:ascii="Times New Roman" w:hAnsi="Times New Roman" w:cs="Times New Roman"/>
          <w:sz w:val="24"/>
          <w:szCs w:val="24"/>
        </w:rPr>
        <w:lastRenderedPageBreak/>
        <w:t>different amounts of TDNP</w:t>
      </w:r>
      <w:r>
        <w:rPr>
          <w:rFonts w:ascii="Times New Roman" w:hAnsi="Times New Roman" w:cs="Times New Roman" w:hint="eastAsia"/>
          <w:sz w:val="24"/>
          <w:szCs w:val="24"/>
        </w:rPr>
        <w:t>s</w:t>
      </w:r>
      <w:r>
        <w:rPr>
          <w:rFonts w:ascii="Times New Roman" w:hAnsi="Times New Roman" w:cs="Times New Roman"/>
          <w:sz w:val="24"/>
          <w:szCs w:val="24"/>
        </w:rPr>
        <w:t xml:space="preserve"> 2 (1, 10, 20, 50, and 100 </w:t>
      </w:r>
      <w:r>
        <w:rPr>
          <w:rFonts w:ascii="Times New Roman" w:hAnsi="Times New Roman" w:cs="Times New Roman"/>
          <w:sz w:val="24"/>
          <w:szCs w:val="24"/>
        </w:rPr>
        <w:sym w:font="Symbol" w:char="F06D"/>
      </w:r>
      <w:r>
        <w:rPr>
          <w:rFonts w:ascii="Times New Roman" w:hAnsi="Times New Roman" w:cs="Times New Roman"/>
          <w:sz w:val="24"/>
          <w:szCs w:val="24"/>
        </w:rPr>
        <w:t xml:space="preserve">g/ml) for 24 h. The percentage of viable cells were then determined using the ATPLite assay following the protocol provided by the manufacturer. All experiments were conducted in triplicates. </w:t>
      </w:r>
    </w:p>
    <w:p w:rsidR="0063103D" w:rsidRDefault="0063103D" w:rsidP="00043FE1">
      <w:pPr>
        <w:spacing w:after="0"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 xml:space="preserve">For FACS assay to investigate the biocompatibility of TDNPs 2, RAW 264.7 </w:t>
      </w:r>
      <w:r>
        <w:rPr>
          <w:rFonts w:ascii="Times New Roman" w:hAnsi="Times New Roman" w:cs="Times New Roman" w:hint="eastAsia"/>
          <w:sz w:val="24"/>
          <w:szCs w:val="24"/>
        </w:rPr>
        <w:t>and</w:t>
      </w:r>
      <w:r>
        <w:rPr>
          <w:rFonts w:ascii="Times New Roman" w:hAnsi="Times New Roman" w:cs="Times New Roman"/>
          <w:sz w:val="24"/>
          <w:szCs w:val="24"/>
        </w:rPr>
        <w:t xml:space="preserve"> colon-26 cells were incubated with different amounts of TDNP</w:t>
      </w:r>
      <w:r>
        <w:rPr>
          <w:rFonts w:ascii="Times New Roman" w:hAnsi="Times New Roman" w:cs="Times New Roman" w:hint="eastAsia"/>
          <w:sz w:val="24"/>
          <w:szCs w:val="24"/>
        </w:rPr>
        <w:t>s</w:t>
      </w:r>
      <w:r>
        <w:rPr>
          <w:rFonts w:ascii="Times New Roman" w:hAnsi="Times New Roman" w:cs="Times New Roman"/>
          <w:sz w:val="24"/>
          <w:szCs w:val="24"/>
        </w:rPr>
        <w:t xml:space="preserve"> 2 (1, 10, 20, 50 and 100 </w:t>
      </w:r>
      <w:r>
        <w:rPr>
          <w:rFonts w:ascii="Times New Roman" w:hAnsi="Times New Roman" w:cs="Times New Roman"/>
          <w:sz w:val="24"/>
          <w:szCs w:val="24"/>
        </w:rPr>
        <w:sym w:font="Symbol" w:char="F06D"/>
      </w:r>
      <w:r>
        <w:rPr>
          <w:rFonts w:ascii="Times New Roman" w:hAnsi="Times New Roman" w:cs="Times New Roman"/>
          <w:sz w:val="24"/>
          <w:szCs w:val="24"/>
        </w:rPr>
        <w:t>g/ml) for 24 h. Then cells were harvest and stained with Annexin V-FITC and PI and analyzed with a FACS Canto flow cytometer (BD Biosciences). Healthy cells were double negative in annexin V and PI staining, and early apoptotic cells were positive for annexin V but negative for PI staining. Necrotic cells were positive only for the PI, while late apoptotic cells were double positive. Excitation wave was set at 488 nm, and the emitted green fluorescence of annexin V and red fluorescence of PI were collected using 525 and 575 nm bandpass filters, respectively. Triplicate samples were analyzed for each experiment.</w:t>
      </w:r>
    </w:p>
    <w:p w:rsidR="0063103D" w:rsidRDefault="0063103D" w:rsidP="00043FE1">
      <w:pPr>
        <w:spacing w:after="0"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 xml:space="preserve">For caspase-3/7 detection, RAW 264.7 </w:t>
      </w:r>
      <w:r>
        <w:rPr>
          <w:rFonts w:ascii="Times New Roman" w:hAnsi="Times New Roman" w:cs="Times New Roman" w:hint="eastAsia"/>
          <w:sz w:val="24"/>
          <w:szCs w:val="24"/>
        </w:rPr>
        <w:t>and</w:t>
      </w:r>
      <w:r>
        <w:rPr>
          <w:rFonts w:ascii="Times New Roman" w:hAnsi="Times New Roman" w:cs="Times New Roman"/>
          <w:sz w:val="24"/>
          <w:szCs w:val="24"/>
        </w:rPr>
        <w:t xml:space="preserve"> colon-26 cells were incubated with TDNPs 2 (100 </w:t>
      </w:r>
      <w:r>
        <w:rPr>
          <w:rFonts w:ascii="Times New Roman" w:hAnsi="Times New Roman" w:cs="Times New Roman"/>
          <w:sz w:val="24"/>
          <w:szCs w:val="24"/>
        </w:rPr>
        <w:sym w:font="Symbol" w:char="F06D"/>
      </w:r>
      <w:r>
        <w:rPr>
          <w:rFonts w:ascii="Times New Roman" w:hAnsi="Times New Roman" w:cs="Times New Roman"/>
          <w:sz w:val="24"/>
          <w:szCs w:val="24"/>
        </w:rPr>
        <w:t xml:space="preserve">g/ml) and positive control (doxorubicin, Dox) for 24 h. Then detection reagent (5 </w:t>
      </w:r>
      <w:r>
        <w:rPr>
          <w:rFonts w:ascii="Times New Roman" w:hAnsi="Times New Roman" w:cs="Times New Roman"/>
          <w:sz w:val="24"/>
          <w:szCs w:val="24"/>
        </w:rPr>
        <w:sym w:font="Symbol" w:char="F06D"/>
      </w:r>
      <w:r>
        <w:rPr>
          <w:rFonts w:ascii="Times New Roman" w:hAnsi="Times New Roman" w:cs="Times New Roman"/>
          <w:sz w:val="24"/>
          <w:szCs w:val="24"/>
        </w:rPr>
        <w:t>M) were added and incubated for 30 min at 37 °C. Cells were then followed by fixation with 3.7 % formaldehyde for 15 min at RT. Finally, mounted with ProLong Gold reagent and cured for 24 h at RT in the dark before imaging. Apoptotic cells with activated caspase-3/7 show bright green nuclei, while cells without activated caspase-3/7 exhibit minimal fluorescence signals. The excitation/emission maxima for the CellEvent™ Caspase-3/7 Green Detection Reagent are 502/530.</w:t>
      </w:r>
    </w:p>
    <w:p w:rsidR="0093607B" w:rsidRPr="006B69DF" w:rsidRDefault="0093607B" w:rsidP="00FB2065">
      <w:pPr>
        <w:autoSpaceDE w:val="0"/>
        <w:autoSpaceDN w:val="0"/>
        <w:adjustRightInd w:val="0"/>
        <w:spacing w:after="0" w:line="480" w:lineRule="auto"/>
        <w:jc w:val="both"/>
        <w:rPr>
          <w:rFonts w:ascii="Times New Roman" w:hAnsi="Times New Roman" w:cs="Times New Roman"/>
          <w:b/>
          <w:sz w:val="24"/>
          <w:szCs w:val="24"/>
        </w:rPr>
      </w:pPr>
      <w:r w:rsidRPr="006B69DF">
        <w:rPr>
          <w:rFonts w:ascii="Times New Roman" w:hAnsi="Times New Roman" w:cs="Times New Roman"/>
          <w:b/>
          <w:sz w:val="24"/>
          <w:szCs w:val="24"/>
        </w:rPr>
        <w:t xml:space="preserve">monitoring of inflammation during colitis </w:t>
      </w:r>
      <w:r w:rsidR="00043FE1" w:rsidRPr="00043FE1">
        <w:rPr>
          <w:rFonts w:ascii="Times New Roman" w:hAnsi="Times New Roman" w:cs="Times New Roman"/>
          <w:b/>
          <w:i/>
          <w:sz w:val="24"/>
          <w:szCs w:val="24"/>
        </w:rPr>
        <w:t>In vivo</w:t>
      </w:r>
    </w:p>
    <w:p w:rsidR="0093607B" w:rsidRDefault="0093607B" w:rsidP="00FB2065">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Chemiluminescence imaging was done using IVIS series preclinical in vivo imaging systems. Images of mice per group were captured and analyzed with Living Image® software (Perkin </w:t>
      </w:r>
      <w:r>
        <w:rPr>
          <w:rFonts w:ascii="Times New Roman" w:hAnsi="Times New Roman" w:cs="Times New Roman"/>
          <w:sz w:val="24"/>
          <w:szCs w:val="24"/>
        </w:rPr>
        <w:lastRenderedPageBreak/>
        <w:t>Elmer; Waltham, MA, USA). The inflammation of UC mice was assessed with the bioluminescent XenoLight RediJect Inflammation Probe, which is offered in a ready-to-use format and can be conveniently applied to study the myeloperoxidase (MPO) activity of activated phagocytes. Briefly, the abdominal region of the mice was softly shaved to reduce the absorption of light. Inflammation probe (150 μl/mouse, 40 mg/ml) was injected by IP 5 min before imaging.</w:t>
      </w:r>
    </w:p>
    <w:p w:rsidR="0093607B" w:rsidRPr="006B69DF" w:rsidRDefault="0093607B" w:rsidP="00FB2065">
      <w:pPr>
        <w:autoSpaceDE w:val="0"/>
        <w:autoSpaceDN w:val="0"/>
        <w:adjustRightInd w:val="0"/>
        <w:spacing w:after="0" w:line="480" w:lineRule="auto"/>
        <w:jc w:val="both"/>
        <w:rPr>
          <w:rFonts w:ascii="Times New Roman" w:hAnsi="Times New Roman" w:cs="Times New Roman"/>
          <w:b/>
          <w:sz w:val="24"/>
          <w:szCs w:val="24"/>
        </w:rPr>
      </w:pPr>
      <w:r w:rsidRPr="006B69DF">
        <w:rPr>
          <w:rFonts w:ascii="Times New Roman" w:hAnsi="Times New Roman" w:cs="Times New Roman"/>
          <w:b/>
          <w:sz w:val="24"/>
          <w:szCs w:val="24"/>
        </w:rPr>
        <w:t>Quantification of Lipocalin-2 (Lcn-2)</w:t>
      </w:r>
    </w:p>
    <w:p w:rsidR="0093607B" w:rsidRDefault="0093607B" w:rsidP="00FB2065">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To quantify Lcn-2, freshly collected in mice feces were reconstituted in PBS containing 0.1% Tween 20 (50 mg/ml) and vortexed for 20 min to yield a homogeneous fecal suspension. Samples were then micro-centrifuged for 10 min at 4°C at full speed, and supernatants were collected for analysis (1: 20 dilution). Levels of Lcn-2 were estimated using a Duoset mouse Lcn-2 ELISA kit (R&amp;D Systems).</w:t>
      </w:r>
    </w:p>
    <w:p w:rsidR="0093607B" w:rsidRPr="006B69DF" w:rsidRDefault="0093607B" w:rsidP="00FB2065">
      <w:pPr>
        <w:spacing w:after="0" w:line="480" w:lineRule="auto"/>
        <w:jc w:val="both"/>
        <w:rPr>
          <w:rFonts w:ascii="Times New Roman" w:hAnsi="Times New Roman" w:cs="Times New Roman"/>
          <w:b/>
          <w:sz w:val="24"/>
          <w:szCs w:val="24"/>
        </w:rPr>
      </w:pPr>
      <w:r w:rsidRPr="006B69DF">
        <w:rPr>
          <w:rFonts w:ascii="Times New Roman" w:hAnsi="Times New Roman" w:cs="Times New Roman"/>
          <w:b/>
          <w:sz w:val="24"/>
          <w:szCs w:val="24"/>
        </w:rPr>
        <w:t>Histological analyses of tissue sections by hematoxylin and eosin staining</w:t>
      </w:r>
    </w:p>
    <w:p w:rsidR="0093607B" w:rsidRDefault="0093607B" w:rsidP="00FB206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Mice colons and different organs were fixed in 10</w:t>
      </w:r>
      <w:r>
        <w:rPr>
          <w:rFonts w:ascii="Times New Roman" w:hAnsi="Times New Roman" w:cs="Times New Roman" w:hint="eastAsia"/>
          <w:sz w:val="24"/>
          <w:szCs w:val="24"/>
        </w:rPr>
        <w:t xml:space="preserve"> </w:t>
      </w:r>
      <w:r>
        <w:rPr>
          <w:rFonts w:ascii="Times New Roman" w:hAnsi="Times New Roman" w:cs="Times New Roman"/>
          <w:sz w:val="24"/>
          <w:szCs w:val="24"/>
        </w:rPr>
        <w:t>% formalin for 24 h or longer</w:t>
      </w:r>
      <w:r>
        <w:rPr>
          <w:rFonts w:ascii="Times New Roman" w:hAnsi="Times New Roman" w:cs="Times New Roman" w:hint="eastAsia"/>
          <w:sz w:val="24"/>
          <w:szCs w:val="24"/>
        </w:rPr>
        <w:t xml:space="preserve"> according to the tissue</w:t>
      </w:r>
      <w:r>
        <w:rPr>
          <w:rFonts w:ascii="Times New Roman" w:hAnsi="Times New Roman" w:cs="Times New Roman"/>
          <w:sz w:val="24"/>
          <w:szCs w:val="24"/>
        </w:rPr>
        <w:t xml:space="preserve"> at room temperature, then embedded in paraffin. Tissues were sectioned at 6 </w:t>
      </w:r>
      <w:r>
        <w:rPr>
          <w:rFonts w:ascii="Times New Roman" w:hAnsi="Times New Roman" w:cs="Times New Roman"/>
          <w:sz w:val="24"/>
          <w:szCs w:val="24"/>
        </w:rPr>
        <w:sym w:font="Symbol" w:char="F06D"/>
      </w:r>
      <w:r>
        <w:rPr>
          <w:rFonts w:ascii="Times New Roman" w:hAnsi="Times New Roman" w:cs="Times New Roman"/>
          <w:sz w:val="24"/>
          <w:szCs w:val="24"/>
        </w:rPr>
        <w:t>m thickness and stained with hematoxylin and eosin (H</w:t>
      </w:r>
      <w:r>
        <w:rPr>
          <w:rFonts w:ascii="Times New Roman" w:eastAsia="宋体" w:hAnsi="Times New Roman" w:cs="Times New Roman"/>
          <w:sz w:val="24"/>
          <w:szCs w:val="24"/>
        </w:rPr>
        <w:t>&amp;E</w:t>
      </w:r>
      <w:r>
        <w:rPr>
          <w:rFonts w:ascii="Times New Roman" w:hAnsi="Times New Roman" w:cs="Times New Roman"/>
          <w:sz w:val="24"/>
          <w:szCs w:val="24"/>
        </w:rPr>
        <w:t>) using standard protocols established in our lab. Images were acquired using an Olympus microscope equipped with a DP-26 digital camera. Histological scores were assigned by experimenters "blinded" to sample identity. Colonic epithelial damage was assigned scores as follows: 0 = normal; 1 = hyperproliferation, irregular crypts, and goblet cell loss; 2 = mild to moderate crypt loss (10–50%);</w:t>
      </w:r>
      <w:r>
        <w:rPr>
          <w:rFonts w:ascii="Times New Roman" w:hAnsi="Times New Roman" w:cs="Times New Roman" w:hint="eastAsia"/>
          <w:sz w:val="24"/>
          <w:szCs w:val="24"/>
        </w:rPr>
        <w:t xml:space="preserve"> 3 = severe crypt loss (50</w:t>
      </w:r>
      <w:r>
        <w:rPr>
          <w:rFonts w:ascii="Times New Roman" w:hAnsi="Times New Roman" w:cs="Times New Roman" w:hint="eastAsia"/>
          <w:sz w:val="24"/>
          <w:szCs w:val="24"/>
        </w:rPr>
        <w:t>–</w:t>
      </w:r>
      <w:r>
        <w:rPr>
          <w:rFonts w:ascii="Times New Roman" w:hAnsi="Times New Roman" w:cs="Times New Roman" w:hint="eastAsia"/>
          <w:sz w:val="24"/>
          <w:szCs w:val="24"/>
        </w:rPr>
        <w:t>90%); 4 = complete crypt loss, surface epithelium intact; 5 = small- to medium-sized ulcer (&lt;10 crypt widths); 6 = large ulcer (</w:t>
      </w:r>
      <w:r>
        <w:rPr>
          <w:rFonts w:ascii="Times New Roman" w:hAnsi="Times New Roman" w:cs="Times New Roman" w:hint="eastAsia"/>
          <w:sz w:val="24"/>
          <w:szCs w:val="24"/>
        </w:rPr>
        <w:t>≥</w:t>
      </w:r>
      <w:r>
        <w:rPr>
          <w:rFonts w:ascii="Times New Roman" w:hAnsi="Times New Roman" w:cs="Times New Roman" w:hint="eastAsia"/>
          <w:sz w:val="24"/>
          <w:szCs w:val="24"/>
        </w:rPr>
        <w:t xml:space="preserve">10 crypt widths). Infiltration with inflammatory cells was assigned scores separately for mucosa (0 </w:t>
      </w:r>
      <w:r>
        <w:rPr>
          <w:rFonts w:ascii="Times New Roman" w:hAnsi="Times New Roman" w:cs="Times New Roman"/>
          <w:sz w:val="24"/>
          <w:szCs w:val="24"/>
        </w:rPr>
        <w:t xml:space="preserve">= normal, 1 = mild, 2 = modest, 3 = severe), submucosa </w:t>
      </w:r>
      <w:r>
        <w:rPr>
          <w:rFonts w:ascii="Times New Roman" w:hAnsi="Times New Roman" w:cs="Times New Roman"/>
          <w:sz w:val="24"/>
          <w:szCs w:val="24"/>
        </w:rPr>
        <w:lastRenderedPageBreak/>
        <w:t>(0 = normal, 1 = mild to modest, 2 = severe), and muscle/serosa (0 = normal, 1 = moderate to severe). Scores for epithelial damage and inflammatory cell infiltration were added, resulting in a total scoring range of 0–12.</w:t>
      </w:r>
    </w:p>
    <w:p w:rsidR="0093607B" w:rsidRPr="006B69DF" w:rsidRDefault="0093607B" w:rsidP="00FB2065">
      <w:pPr>
        <w:spacing w:after="0" w:line="480" w:lineRule="auto"/>
        <w:jc w:val="both"/>
        <w:rPr>
          <w:rFonts w:ascii="Times New Roman" w:hAnsi="Times New Roman" w:cs="Times New Roman"/>
          <w:b/>
          <w:sz w:val="24"/>
          <w:szCs w:val="24"/>
        </w:rPr>
      </w:pPr>
      <w:r w:rsidRPr="006B69DF">
        <w:rPr>
          <w:rFonts w:ascii="Times New Roman" w:hAnsi="Times New Roman" w:cs="Times New Roman"/>
          <w:b/>
          <w:sz w:val="24"/>
          <w:szCs w:val="24"/>
        </w:rPr>
        <w:t>NF-</w:t>
      </w:r>
      <w:r w:rsidRPr="006B69DF">
        <w:rPr>
          <w:rFonts w:ascii="Times New Roman" w:hAnsi="Times New Roman" w:cs="Times New Roman"/>
          <w:b/>
          <w:sz w:val="24"/>
          <w:szCs w:val="24"/>
        </w:rPr>
        <w:sym w:font="Symbol" w:char="F06B"/>
      </w:r>
      <w:r w:rsidRPr="006B69DF">
        <w:rPr>
          <w:rFonts w:ascii="Times New Roman" w:hAnsi="Times New Roman" w:cs="Times New Roman"/>
          <w:b/>
          <w:sz w:val="24"/>
          <w:szCs w:val="24"/>
        </w:rPr>
        <w:t xml:space="preserve">B pathway investigation </w:t>
      </w:r>
    </w:p>
    <w:p w:rsidR="0093607B" w:rsidRDefault="0093607B" w:rsidP="00FB206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pGL4.32[luc2P/NF-κB-RE/Hygro] vector transfection experiment was used to determine NF-</w:t>
      </w:r>
      <w:r>
        <w:rPr>
          <w:rFonts w:ascii="Times New Roman" w:hAnsi="Times New Roman" w:cs="Times New Roman"/>
          <w:sz w:val="24"/>
          <w:szCs w:val="24"/>
        </w:rPr>
        <w:sym w:font="Symbol" w:char="F06B"/>
      </w:r>
      <w:r>
        <w:rPr>
          <w:rFonts w:ascii="Times New Roman" w:hAnsi="Times New Roman" w:cs="Times New Roman"/>
          <w:sz w:val="24"/>
          <w:szCs w:val="24"/>
        </w:rPr>
        <w:t xml:space="preserve">B expression in cells. The pGL4.32[luc2P/NF-κB-RE/Hygro] Vector contains five copies of NF-κB response element (NF-κB-RE) that drives transcription of the luciferase reporter gene luc2P (Photinus pyralis). luc2P is a synthetically derived luciferase sequence with humanized codon optimization that is designed for high expression and reduced anomalous transcription. Briefly, RAW 264.7 cells were plated in 6-well plates. Covered the plate and placed plates in a tissue culture incubator at 37°C overnight. Followed, transfected the cells using a high-efficiency transfection reagent for 24h. Then, cells were co-treated with LPS (100 ng/ml) and different concentrations of TDNPs 2 (20, 50, 100 and 200 </w:t>
      </w:r>
      <w:r>
        <w:rPr>
          <w:rFonts w:ascii="Times New Roman" w:hAnsi="Times New Roman" w:cs="Times New Roman"/>
          <w:sz w:val="24"/>
          <w:szCs w:val="24"/>
        </w:rPr>
        <w:sym w:font="Symbol" w:char="F06D"/>
      </w:r>
      <w:r>
        <w:rPr>
          <w:rFonts w:ascii="Times New Roman" w:hAnsi="Times New Roman" w:cs="Times New Roman"/>
          <w:sz w:val="24"/>
          <w:szCs w:val="24"/>
        </w:rPr>
        <w:t>g/ml). After 8h incubation, cells with different treatments were lysed, and luciferase activity was analyzed using an appropriate luciferase detection assay. The fold induction of can be calculated as follows: fold induction=average relative light units of induced cells/average relative light units of control cells.</w:t>
      </w:r>
    </w:p>
    <w:p w:rsidR="0093607B" w:rsidRDefault="0093607B" w:rsidP="00043FE1">
      <w:pPr>
        <w:spacing w:after="0"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Phospho-NF-</w:t>
      </w:r>
      <w:r>
        <w:rPr>
          <w:rFonts w:ascii="Times New Roman" w:hAnsi="Times New Roman" w:cs="Times New Roman"/>
          <w:sz w:val="24"/>
          <w:szCs w:val="24"/>
        </w:rPr>
        <w:sym w:font="Symbol" w:char="F06B"/>
      </w:r>
      <w:r>
        <w:rPr>
          <w:rFonts w:ascii="Times New Roman" w:hAnsi="Times New Roman" w:cs="Times New Roman"/>
          <w:sz w:val="24"/>
          <w:szCs w:val="24"/>
        </w:rPr>
        <w:t>B p65 protein was also detected by CST's PathScan® Phospho-NF-</w:t>
      </w:r>
      <w:r>
        <w:rPr>
          <w:rFonts w:ascii="Times New Roman" w:hAnsi="Times New Roman" w:cs="Times New Roman"/>
          <w:sz w:val="24"/>
          <w:szCs w:val="24"/>
        </w:rPr>
        <w:sym w:font="Symbol" w:char="F06B"/>
      </w:r>
      <w:r>
        <w:rPr>
          <w:rFonts w:ascii="Times New Roman" w:hAnsi="Times New Roman" w:cs="Times New Roman"/>
          <w:sz w:val="24"/>
          <w:szCs w:val="24"/>
        </w:rPr>
        <w:t xml:space="preserve">B p65 (Ser536) Sandwich ELISA Kit (#7173C). Briefly, RAW 264.7 cells were plated in 6-well plates overnight. Then, cells were co-treated with LPS (100 ng/ml) and different concentrations of TDNPs 2 (20, 50, 100 and 200 </w:t>
      </w:r>
      <w:r>
        <w:rPr>
          <w:rFonts w:ascii="Times New Roman" w:hAnsi="Times New Roman" w:cs="Times New Roman"/>
          <w:sz w:val="24"/>
          <w:szCs w:val="24"/>
        </w:rPr>
        <w:sym w:font="Symbol" w:char="F06D"/>
      </w:r>
      <w:r>
        <w:rPr>
          <w:rFonts w:ascii="Times New Roman" w:hAnsi="Times New Roman" w:cs="Times New Roman"/>
          <w:sz w:val="24"/>
          <w:szCs w:val="24"/>
        </w:rPr>
        <w:t>g/ml). F</w:t>
      </w:r>
      <w:r>
        <w:rPr>
          <w:rFonts w:ascii="Times New Roman" w:hAnsi="Times New Roman" w:cs="Times New Roman" w:hint="eastAsia"/>
          <w:sz w:val="24"/>
          <w:szCs w:val="24"/>
        </w:rPr>
        <w:t>inally</w:t>
      </w:r>
      <w:r>
        <w:rPr>
          <w:rFonts w:ascii="Times New Roman" w:hAnsi="Times New Roman" w:cs="Times New Roman"/>
          <w:sz w:val="24"/>
          <w:szCs w:val="24"/>
        </w:rPr>
        <w:t xml:space="preserve">, cells with different treatments were performed by PathScan® Sandwich ELISA Protocol. Absorbance at 450 nm was read and compared. </w:t>
      </w:r>
    </w:p>
    <w:p w:rsidR="0093607B" w:rsidRDefault="0093607B" w:rsidP="00043FE1">
      <w:pPr>
        <w:spacing w:after="0"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To detect of NF-</w:t>
      </w:r>
      <w:r>
        <w:rPr>
          <w:rFonts w:ascii="Times New Roman" w:hAnsi="Times New Roman" w:cs="Times New Roman"/>
          <w:sz w:val="24"/>
          <w:szCs w:val="24"/>
        </w:rPr>
        <w:sym w:font="Symbol" w:char="F06B"/>
      </w:r>
      <w:r>
        <w:rPr>
          <w:rFonts w:ascii="Times New Roman" w:hAnsi="Times New Roman" w:cs="Times New Roman"/>
          <w:sz w:val="24"/>
          <w:szCs w:val="24"/>
        </w:rPr>
        <w:t xml:space="preserve">B-p65 complex by immunofluorescence, RAW 264.7 cells were seeded in glass-bottom cell culture chamber and cultured overnight. Cells were incubated with TDNP 2 </w:t>
      </w:r>
      <w:r>
        <w:rPr>
          <w:rFonts w:ascii="Times New Roman" w:hAnsi="Times New Roman" w:cs="Times New Roman"/>
          <w:sz w:val="24"/>
          <w:szCs w:val="24"/>
        </w:rPr>
        <w:lastRenderedPageBreak/>
        <w:t>(200</w:t>
      </w:r>
      <w:r>
        <w:rPr>
          <w:rFonts w:ascii="Times New Roman" w:hAnsi="Times New Roman" w:cs="Times New Roman"/>
          <w:sz w:val="24"/>
          <w:szCs w:val="24"/>
        </w:rPr>
        <w:sym w:font="Symbol" w:char="F06D"/>
      </w:r>
      <w:r>
        <w:rPr>
          <w:rFonts w:ascii="Times New Roman" w:hAnsi="Times New Roman" w:cs="Times New Roman"/>
          <w:sz w:val="24"/>
          <w:szCs w:val="24"/>
        </w:rPr>
        <w:t xml:space="preserve">g/ml) or PBS and then induced by 100 ng/ml of LPS for 30 min. Followed, cells were fixed by paraformaldehyde (4%) and permeabilized by Triton X-100 (0.1%, v/v) for 10 min and 20 min, respectively. After blocking by BSA, cells were incubated with rabbit anti-NF-kB-p65 antibody (dilution 1:50; Cell Signaling # 8242) and anti-rabbit conjugated with Alexa 488 secondary antibody (dilution 1:50; Life Technologies). By staining the nucleus with DAPI, confocal microscopes were used to capture high-resolution photographs.  </w:t>
      </w:r>
    </w:p>
    <w:p w:rsidR="0093607B" w:rsidRDefault="0093607B" w:rsidP="00043FE1">
      <w:pPr>
        <w:spacing w:after="0"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Real-time imaging of NF-</w:t>
      </w:r>
      <w:r>
        <w:rPr>
          <w:rFonts w:ascii="Times New Roman" w:hAnsi="Times New Roman" w:cs="Times New Roman"/>
          <w:sz w:val="24"/>
          <w:szCs w:val="24"/>
        </w:rPr>
        <w:sym w:font="Symbol" w:char="F06B"/>
      </w:r>
      <w:r>
        <w:rPr>
          <w:rFonts w:ascii="Times New Roman" w:hAnsi="Times New Roman" w:cs="Times New Roman"/>
          <w:sz w:val="24"/>
          <w:szCs w:val="24"/>
        </w:rPr>
        <w:t xml:space="preserve">B activity </w:t>
      </w:r>
      <w:r>
        <w:rPr>
          <w:rFonts w:ascii="Times New Roman" w:hAnsi="Times New Roman" w:cs="Times New Roman"/>
          <w:i/>
          <w:sz w:val="24"/>
          <w:szCs w:val="24"/>
        </w:rPr>
        <w:t>in vivo</w:t>
      </w:r>
      <w:r>
        <w:rPr>
          <w:rFonts w:ascii="Times New Roman" w:hAnsi="Times New Roman" w:cs="Times New Roman"/>
          <w:sz w:val="24"/>
          <w:szCs w:val="24"/>
        </w:rPr>
        <w:t xml:space="preserve"> was performed by NF-κB-RE-luc transgenic mice. Transgenic mice expressing modified firefly luciferase driven by six NF-κB-response-elements were developed by Caliper Life Sciences and obtained from Taconic (BALB/c-Tg(Rela-luc)31Xen). Mice transplanted with luciferase reporter cells were whole-body imaged for evidence of increased luciferase activity on a weekly basis by bioluminescence imaging (BLI). In the colitis model, transgenic mice were administrated with 3 % (w/v) DSS water and changed every other day. Mice were orally administered continuously with TDNPs 2 (3mg/dose) for 7 days. At the end of the experiment, mice were sacrificed and vital organs and colon were imaged by </w:t>
      </w:r>
      <w:r>
        <w:rPr>
          <w:rFonts w:ascii="Times New Roman" w:hAnsi="Times New Roman" w:cs="Times New Roman"/>
          <w:i/>
          <w:sz w:val="24"/>
          <w:szCs w:val="24"/>
        </w:rPr>
        <w:t>in vivo</w:t>
      </w:r>
      <w:r>
        <w:rPr>
          <w:rFonts w:ascii="Times New Roman" w:hAnsi="Times New Roman" w:cs="Times New Roman"/>
          <w:sz w:val="24"/>
          <w:szCs w:val="24"/>
        </w:rPr>
        <w:t xml:space="preserve"> imaging system. During imaging, mice were anesthetized prior to injection of luciferin, and Luciferase transgene expression was measured. Optimal imaging occurred between 10 and 20 minutes, followed by intraperitoneal injection of luciferin. The expression of NF-</w:t>
      </w:r>
      <w:r>
        <w:rPr>
          <w:rFonts w:ascii="Times New Roman" w:hAnsi="Times New Roman" w:cs="Times New Roman"/>
          <w:sz w:val="24"/>
          <w:szCs w:val="24"/>
        </w:rPr>
        <w:sym w:font="Symbol" w:char="F06B"/>
      </w:r>
      <w:r>
        <w:rPr>
          <w:rFonts w:ascii="Times New Roman" w:hAnsi="Times New Roman" w:cs="Times New Roman"/>
          <w:sz w:val="24"/>
          <w:szCs w:val="24"/>
        </w:rPr>
        <w:t xml:space="preserve">B in the colon was also evaluated by immunohistochemistry (IHC). </w:t>
      </w:r>
    </w:p>
    <w:p w:rsidR="0063103D" w:rsidRDefault="0063103D" w:rsidP="00043FE1">
      <w:pPr>
        <w:spacing w:after="0"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 xml:space="preserve">To evaluate the biocompatibility of TDNPs 2 </w:t>
      </w:r>
      <w:r>
        <w:rPr>
          <w:rFonts w:ascii="Times New Roman" w:hAnsi="Times New Roman" w:cs="Times New Roman"/>
          <w:i/>
          <w:sz w:val="24"/>
          <w:szCs w:val="24"/>
        </w:rPr>
        <w:t>in vivo</w:t>
      </w:r>
      <w:r>
        <w:rPr>
          <w:rFonts w:ascii="Times New Roman" w:hAnsi="Times New Roman" w:cs="Times New Roman"/>
          <w:sz w:val="24"/>
          <w:szCs w:val="24"/>
        </w:rPr>
        <w:t xml:space="preserve">, FVB mice were oral administration of TDNPs 2 for 14 day (3mg/day). After the last administration, mice were sacrificed, Body and different organ weights were measured at the same time. H&amp;E staining was performed on paraffin-embedded heart, liver, spleen, lung, and kidney sections using the standard method. Pre-inflammatory cytokines levels in serum were measured by ELISA kits. ALT and AST in the sera </w:t>
      </w:r>
      <w:r>
        <w:rPr>
          <w:rFonts w:ascii="Times New Roman" w:hAnsi="Times New Roman" w:cs="Times New Roman"/>
          <w:sz w:val="24"/>
          <w:szCs w:val="24"/>
        </w:rPr>
        <w:lastRenderedPageBreak/>
        <w:t>of the mice were quantitatively analyzed using the commercially available kits from Sigma (ALT: MAK052; AST: MAK055).</w:t>
      </w:r>
    </w:p>
    <w:p w:rsidR="0063103D" w:rsidRPr="006B69DF" w:rsidRDefault="0063103D" w:rsidP="00FB2065">
      <w:pPr>
        <w:spacing w:after="0" w:line="480" w:lineRule="auto"/>
        <w:jc w:val="both"/>
        <w:rPr>
          <w:rFonts w:ascii="Times New Roman" w:hAnsi="Times New Roman" w:cs="Times New Roman"/>
          <w:b/>
          <w:sz w:val="24"/>
          <w:szCs w:val="24"/>
        </w:rPr>
      </w:pPr>
      <w:r w:rsidRPr="006B69DF">
        <w:rPr>
          <w:rFonts w:ascii="Times New Roman" w:hAnsi="Times New Roman" w:cs="Times New Roman"/>
          <w:b/>
          <w:sz w:val="24"/>
          <w:szCs w:val="24"/>
        </w:rPr>
        <w:t>A</w:t>
      </w:r>
      <w:r w:rsidRPr="006B69DF">
        <w:rPr>
          <w:rFonts w:ascii="Times New Roman" w:hAnsi="Times New Roman" w:cs="Times New Roman" w:hint="eastAsia"/>
          <w:b/>
          <w:sz w:val="24"/>
          <w:szCs w:val="24"/>
        </w:rPr>
        <w:t>nti</w:t>
      </w:r>
      <w:r w:rsidRPr="006B69DF">
        <w:rPr>
          <w:rFonts w:ascii="Times New Roman" w:hAnsi="Times New Roman" w:cs="Times New Roman"/>
          <w:b/>
          <w:sz w:val="24"/>
          <w:szCs w:val="24"/>
        </w:rPr>
        <w:t xml:space="preserve">-inflammatory and antioxidant effects of TDNPs in vitro  </w:t>
      </w:r>
    </w:p>
    <w:p w:rsidR="0063103D" w:rsidRDefault="0063103D" w:rsidP="00FB2065">
      <w:pPr>
        <w:spacing w:after="0" w:line="480" w:lineRule="auto"/>
        <w:jc w:val="both"/>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 xml:space="preserve">o test the anti-inflammatory and antioxidant effects of TDNPs </w:t>
      </w:r>
      <w:r>
        <w:rPr>
          <w:rFonts w:ascii="Times New Roman" w:hAnsi="Times New Roman" w:cs="Times New Roman"/>
          <w:i/>
          <w:sz w:val="24"/>
          <w:szCs w:val="24"/>
        </w:rPr>
        <w:t>in vitro</w:t>
      </w:r>
      <w:r>
        <w:rPr>
          <w:rFonts w:ascii="Times New Roman" w:hAnsi="Times New Roman" w:cs="Times New Roman"/>
          <w:sz w:val="24"/>
          <w:szCs w:val="24"/>
        </w:rPr>
        <w:t xml:space="preserve">, RAW 264.7 cells were incubated with TDNPs 1 or TDNPs 2 (20, 50, 100, or 200 </w:t>
      </w:r>
      <w:r>
        <w:rPr>
          <w:rFonts w:ascii="Times New Roman" w:hAnsi="Times New Roman" w:cs="Times New Roman"/>
          <w:sz w:val="24"/>
          <w:szCs w:val="24"/>
        </w:rPr>
        <w:sym w:font="Symbol" w:char="F06D"/>
      </w:r>
      <w:r>
        <w:rPr>
          <w:rFonts w:ascii="Times New Roman" w:hAnsi="Times New Roman" w:cs="Times New Roman"/>
          <w:sz w:val="24"/>
          <w:szCs w:val="24"/>
        </w:rPr>
        <w:t>g/ml) for 8 h, and then with LPS (10 ng/ml) for 1 h. Finally, Total RNA was extracted using an RNeasy Mini Kit (Qiagen, Valencia, CA, USA) according to the manufacturer's instructions. The yield and quality of extracted RNA were verified with a Synergy 2 plate reader (BioTek; Winooski, VT, USA). cDNA was generated from the total RNA isolated above using a Maxima First-Strand cDNA Synthesis kit (Thermo Scientific, Lafayette, CO, USA). Expression of target mRNAs was quantified by real-time reverse transcription-polymerase chain reaction (qRT-PCR) using Maxima SYBR green/ROX (6-carboxyl-X-rhodamine) qPCR Master Mix and primer</w:t>
      </w:r>
      <w:r>
        <w:t xml:space="preserve"> </w:t>
      </w:r>
      <w:r>
        <w:rPr>
          <w:rFonts w:ascii="Times New Roman" w:hAnsi="Times New Roman" w:cs="Times New Roman"/>
          <w:sz w:val="24"/>
          <w:szCs w:val="24"/>
        </w:rPr>
        <w:t xml:space="preserve">pairs were shown in </w:t>
      </w:r>
      <w:r>
        <w:rPr>
          <w:rFonts w:ascii="Times New Roman" w:hAnsi="Times New Roman" w:cs="Times New Roman"/>
          <w:b/>
          <w:sz w:val="24"/>
          <w:szCs w:val="24"/>
        </w:rPr>
        <w:t>Table S3</w:t>
      </w:r>
      <w:r>
        <w:rPr>
          <w:rFonts w:ascii="Times New Roman" w:hAnsi="Times New Roman" w:cs="Times New Roman"/>
          <w:sz w:val="24"/>
          <w:szCs w:val="24"/>
        </w:rPr>
        <w:t xml:space="preserve">. Results were normalized by using 36B4 housekeeping gene. </w:t>
      </w:r>
    </w:p>
    <w:p w:rsidR="0063103D" w:rsidRDefault="0063103D" w:rsidP="00FB2065">
      <w:pPr>
        <w:spacing w:after="0" w:line="480" w:lineRule="auto"/>
        <w:jc w:val="both"/>
        <w:rPr>
          <w:rFonts w:ascii="Times New Roman" w:hAnsi="Times New Roman" w:cs="Times New Roman"/>
          <w:sz w:val="24"/>
          <w:szCs w:val="24"/>
        </w:rPr>
      </w:pPr>
    </w:p>
    <w:p w:rsidR="0063103D" w:rsidRPr="0063103D" w:rsidRDefault="0063103D" w:rsidP="00FB2065">
      <w:pPr>
        <w:spacing w:after="0" w:line="480" w:lineRule="auto"/>
        <w:jc w:val="both"/>
        <w:rPr>
          <w:rFonts w:ascii="Times New Roman" w:hAnsi="Times New Roman" w:cs="Times New Roman"/>
          <w:sz w:val="24"/>
          <w:szCs w:val="24"/>
        </w:rPr>
      </w:pPr>
    </w:p>
    <w:p w:rsidR="0063103D" w:rsidRPr="0063103D" w:rsidRDefault="0063103D" w:rsidP="00FB2065">
      <w:pPr>
        <w:spacing w:after="0" w:line="480" w:lineRule="auto"/>
        <w:jc w:val="both"/>
        <w:rPr>
          <w:rFonts w:ascii="Times New Roman" w:eastAsia="宋体" w:hAnsi="Times New Roman" w:cs="Times New Roman"/>
          <w:sz w:val="24"/>
          <w:szCs w:val="24"/>
        </w:rPr>
      </w:pPr>
    </w:p>
    <w:p w:rsidR="00653EA1" w:rsidRPr="00653EA1" w:rsidRDefault="00653EA1" w:rsidP="00FB2065">
      <w:pPr>
        <w:spacing w:after="0"/>
        <w:jc w:val="both"/>
        <w:rPr>
          <w:rFonts w:ascii="Times New Roman" w:hAnsi="Times New Roman" w:cs="Times New Roman"/>
          <w:sz w:val="24"/>
          <w:szCs w:val="24"/>
        </w:rPr>
      </w:pPr>
    </w:p>
    <w:p w:rsidR="000562DF" w:rsidRDefault="000562DF" w:rsidP="00FB2065">
      <w:pPr>
        <w:spacing w:after="0"/>
        <w:jc w:val="both"/>
        <w:rPr>
          <w:rFonts w:ascii="Times New Roman" w:hAnsi="Times New Roman" w:cs="Times New Roman"/>
          <w:sz w:val="24"/>
          <w:szCs w:val="24"/>
        </w:rPr>
      </w:pPr>
    </w:p>
    <w:p w:rsidR="000562DF" w:rsidRDefault="000562DF" w:rsidP="00FB2065">
      <w:pPr>
        <w:spacing w:after="0"/>
        <w:jc w:val="both"/>
        <w:rPr>
          <w:rFonts w:ascii="Times New Roman" w:hAnsi="Times New Roman" w:cs="Times New Roman"/>
          <w:color w:val="C00000"/>
          <w:sz w:val="24"/>
          <w:szCs w:val="24"/>
        </w:rPr>
      </w:pPr>
    </w:p>
    <w:p w:rsidR="00D71852" w:rsidRDefault="00D71852" w:rsidP="00FB2065">
      <w:pPr>
        <w:spacing w:after="0"/>
        <w:jc w:val="both"/>
        <w:rPr>
          <w:rFonts w:ascii="Times New Roman" w:hAnsi="Times New Roman" w:cs="Times New Roman"/>
          <w:color w:val="C00000"/>
          <w:sz w:val="24"/>
          <w:szCs w:val="24"/>
        </w:rPr>
      </w:pPr>
    </w:p>
    <w:p w:rsidR="00043FE1" w:rsidRDefault="00043FE1" w:rsidP="00FB2065">
      <w:pPr>
        <w:spacing w:after="0"/>
        <w:jc w:val="both"/>
        <w:rPr>
          <w:rFonts w:ascii="Times New Roman" w:hAnsi="Times New Roman" w:cs="Times New Roman"/>
          <w:color w:val="C00000"/>
          <w:sz w:val="24"/>
          <w:szCs w:val="24"/>
        </w:rPr>
      </w:pPr>
    </w:p>
    <w:p w:rsidR="00043FE1" w:rsidRDefault="00043FE1" w:rsidP="00FB2065">
      <w:pPr>
        <w:spacing w:after="0"/>
        <w:jc w:val="both"/>
        <w:rPr>
          <w:rFonts w:ascii="Times New Roman" w:hAnsi="Times New Roman" w:cs="Times New Roman"/>
          <w:color w:val="C00000"/>
          <w:sz w:val="24"/>
          <w:szCs w:val="24"/>
        </w:rPr>
      </w:pPr>
    </w:p>
    <w:p w:rsidR="00043FE1" w:rsidRDefault="00043FE1" w:rsidP="00FB2065">
      <w:pPr>
        <w:spacing w:after="0"/>
        <w:jc w:val="both"/>
        <w:rPr>
          <w:rFonts w:ascii="Times New Roman" w:hAnsi="Times New Roman" w:cs="Times New Roman"/>
          <w:color w:val="C00000"/>
          <w:sz w:val="24"/>
          <w:szCs w:val="24"/>
        </w:rPr>
      </w:pPr>
    </w:p>
    <w:p w:rsidR="00043FE1" w:rsidRDefault="00043FE1" w:rsidP="00FB2065">
      <w:pPr>
        <w:spacing w:after="0"/>
        <w:jc w:val="both"/>
        <w:rPr>
          <w:rFonts w:ascii="Times New Roman" w:hAnsi="Times New Roman" w:cs="Times New Roman"/>
          <w:color w:val="C00000"/>
          <w:sz w:val="24"/>
          <w:szCs w:val="24"/>
        </w:rPr>
      </w:pPr>
    </w:p>
    <w:p w:rsidR="00043FE1" w:rsidRDefault="00043FE1" w:rsidP="00FB2065">
      <w:pPr>
        <w:spacing w:after="0"/>
        <w:jc w:val="both"/>
        <w:rPr>
          <w:rFonts w:ascii="Times New Roman" w:hAnsi="Times New Roman" w:cs="Times New Roman"/>
          <w:color w:val="C00000"/>
          <w:sz w:val="24"/>
          <w:szCs w:val="24"/>
        </w:rPr>
      </w:pPr>
    </w:p>
    <w:p w:rsidR="00043FE1" w:rsidRDefault="00043FE1" w:rsidP="00FB2065">
      <w:pPr>
        <w:spacing w:after="0"/>
        <w:jc w:val="both"/>
        <w:rPr>
          <w:rFonts w:ascii="Times New Roman" w:hAnsi="Times New Roman" w:cs="Times New Roman"/>
          <w:color w:val="C00000"/>
          <w:sz w:val="24"/>
          <w:szCs w:val="24"/>
        </w:rPr>
      </w:pPr>
    </w:p>
    <w:p w:rsidR="00043FE1" w:rsidRDefault="00043FE1" w:rsidP="00FB2065">
      <w:pPr>
        <w:spacing w:after="0"/>
        <w:jc w:val="both"/>
        <w:rPr>
          <w:rFonts w:ascii="Times New Roman" w:hAnsi="Times New Roman" w:cs="Times New Roman"/>
          <w:color w:val="C00000"/>
          <w:sz w:val="24"/>
          <w:szCs w:val="24"/>
        </w:rPr>
      </w:pPr>
    </w:p>
    <w:p w:rsidR="00043FE1" w:rsidRDefault="00043FE1" w:rsidP="00FB2065">
      <w:pPr>
        <w:spacing w:after="0"/>
        <w:jc w:val="both"/>
        <w:rPr>
          <w:rFonts w:ascii="Times New Roman" w:hAnsi="Times New Roman" w:cs="Times New Roman"/>
          <w:color w:val="C00000"/>
          <w:sz w:val="24"/>
          <w:szCs w:val="24"/>
        </w:rPr>
      </w:pPr>
    </w:p>
    <w:p w:rsidR="00043FE1" w:rsidRDefault="00043FE1" w:rsidP="00FB2065">
      <w:pPr>
        <w:spacing w:after="0"/>
        <w:jc w:val="both"/>
        <w:rPr>
          <w:rFonts w:ascii="Times New Roman" w:hAnsi="Times New Roman" w:cs="Times New Roman"/>
          <w:color w:val="C00000"/>
          <w:sz w:val="24"/>
          <w:szCs w:val="24"/>
        </w:rPr>
      </w:pPr>
    </w:p>
    <w:p w:rsidR="00043FE1" w:rsidRPr="00653EA1" w:rsidRDefault="00043FE1" w:rsidP="00043FE1">
      <w:pPr>
        <w:contextualSpacing/>
        <w:rPr>
          <w:rFonts w:ascii="Times New Roman" w:eastAsia="宋体" w:hAnsi="Times New Roman" w:cs="Times New Roman"/>
          <w:b/>
          <w:bCs/>
          <w:sz w:val="24"/>
          <w:szCs w:val="24"/>
        </w:rPr>
      </w:pPr>
      <w:r w:rsidRPr="00653EA1">
        <w:rPr>
          <w:rFonts w:ascii="Times New Roman" w:eastAsia="宋体" w:hAnsi="Times New Roman" w:cs="Times New Roman"/>
          <w:b/>
          <w:bCs/>
          <w:sz w:val="24"/>
          <w:szCs w:val="24"/>
        </w:rPr>
        <w:lastRenderedPageBreak/>
        <w:t xml:space="preserve">Supplementary </w:t>
      </w:r>
      <w:r>
        <w:rPr>
          <w:rFonts w:ascii="Times New Roman" w:eastAsia="宋体" w:hAnsi="Times New Roman" w:cs="Times New Roman"/>
          <w:b/>
          <w:bCs/>
          <w:sz w:val="24"/>
          <w:szCs w:val="24"/>
        </w:rPr>
        <w:t>Figures</w:t>
      </w:r>
    </w:p>
    <w:p w:rsidR="00043FE1" w:rsidRDefault="00043FE1" w:rsidP="00FB2065">
      <w:pPr>
        <w:spacing w:after="0"/>
        <w:jc w:val="both"/>
        <w:rPr>
          <w:rFonts w:ascii="Times New Roman" w:hAnsi="Times New Roman" w:cs="Times New Roman"/>
          <w:color w:val="C00000"/>
          <w:sz w:val="24"/>
          <w:szCs w:val="24"/>
        </w:rPr>
      </w:pPr>
    </w:p>
    <w:p w:rsidR="00043FE1" w:rsidRPr="000562DF" w:rsidRDefault="00043FE1" w:rsidP="00FB2065">
      <w:pPr>
        <w:spacing w:after="0"/>
        <w:jc w:val="both"/>
        <w:rPr>
          <w:rFonts w:ascii="Times New Roman" w:hAnsi="Times New Roman" w:cs="Times New Roman"/>
          <w:color w:val="C00000"/>
          <w:sz w:val="24"/>
          <w:szCs w:val="24"/>
        </w:rPr>
      </w:pPr>
    </w:p>
    <w:bookmarkEnd w:id="0"/>
    <w:bookmarkEnd w:id="1"/>
    <w:p w:rsidR="00E31108" w:rsidRDefault="00ED0183">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302704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027045"/>
                    </a:xfrm>
                    <a:prstGeom prst="rect">
                      <a:avLst/>
                    </a:prstGeom>
                  </pic:spPr>
                </pic:pic>
              </a:graphicData>
            </a:graphic>
          </wp:inline>
        </w:drawing>
      </w:r>
    </w:p>
    <w:p w:rsidR="00E31108" w:rsidRDefault="00ED0183">
      <w:pPr>
        <w:rPr>
          <w:rFonts w:ascii="Times New Roman" w:hAnsi="Times New Roman" w:cs="Times New Roman"/>
          <w:sz w:val="24"/>
          <w:szCs w:val="24"/>
        </w:rPr>
      </w:pPr>
      <w:r>
        <w:rPr>
          <w:rFonts w:ascii="Times New Roman" w:hAnsi="Times New Roman" w:cs="Times New Roman"/>
          <w:b/>
          <w:sz w:val="24"/>
          <w:szCs w:val="24"/>
        </w:rPr>
        <w:t>Figure S1.</w:t>
      </w:r>
      <w:r>
        <w:rPr>
          <w:rFonts w:ascii="Times New Roman" w:hAnsi="Times New Roman" w:cs="Times New Roman"/>
          <w:sz w:val="24"/>
          <w:szCs w:val="24"/>
        </w:rPr>
        <w:t xml:space="preserve"> </w:t>
      </w:r>
      <w:r w:rsidR="00043FE1" w:rsidRPr="00043FE1">
        <w:rPr>
          <w:rFonts w:ascii="Times New Roman" w:hAnsi="Times New Roman" w:cs="Times New Roman"/>
          <w:b/>
          <w:sz w:val="24"/>
          <w:szCs w:val="24"/>
        </w:rPr>
        <w:t>S</w:t>
      </w:r>
      <w:r w:rsidRPr="00043FE1">
        <w:rPr>
          <w:rFonts w:ascii="Times New Roman" w:hAnsi="Times New Roman" w:cs="Times New Roman"/>
          <w:b/>
          <w:sz w:val="24"/>
          <w:szCs w:val="24"/>
        </w:rPr>
        <w:t xml:space="preserve">ize and zeta potential </w:t>
      </w:r>
      <w:r w:rsidR="00043FE1" w:rsidRPr="00043FE1">
        <w:rPr>
          <w:rFonts w:ascii="Times New Roman" w:hAnsi="Times New Roman" w:cs="Times New Roman"/>
          <w:b/>
          <w:sz w:val="24"/>
          <w:szCs w:val="24"/>
        </w:rPr>
        <w:t xml:space="preserve">of </w:t>
      </w:r>
      <w:r w:rsidRPr="00043FE1">
        <w:rPr>
          <w:rFonts w:ascii="Times New Roman" w:hAnsi="Times New Roman" w:cs="Times New Roman"/>
          <w:b/>
          <w:sz w:val="24"/>
          <w:szCs w:val="24"/>
        </w:rPr>
        <w:t xml:space="preserve">turmeric-derived nanoparticles (TDNPs). </w:t>
      </w:r>
    </w:p>
    <w:p w:rsidR="00E31108" w:rsidRDefault="00ED0183">
      <w:pPr>
        <w:rPr>
          <w:rFonts w:ascii="Times New Roman" w:hAnsi="Times New Roman" w:cs="Times New Roman"/>
          <w:sz w:val="24"/>
          <w:szCs w:val="24"/>
        </w:rPr>
      </w:pPr>
      <w:r>
        <w:rPr>
          <w:rFonts w:ascii="Times New Roman" w:hAnsi="Times New Roman" w:cs="Times New Roman"/>
          <w:sz w:val="24"/>
          <w:szCs w:val="24"/>
        </w:rPr>
        <w:br w:type="page"/>
      </w:r>
    </w:p>
    <w:p w:rsidR="00E31108" w:rsidRDefault="00ED0183">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03352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033520"/>
                    </a:xfrm>
                    <a:prstGeom prst="rect">
                      <a:avLst/>
                    </a:prstGeom>
                  </pic:spPr>
                </pic:pic>
              </a:graphicData>
            </a:graphic>
          </wp:inline>
        </w:drawing>
      </w:r>
    </w:p>
    <w:p w:rsidR="00E31108" w:rsidRDefault="00ED0183">
      <w:pPr>
        <w:jc w:val="both"/>
        <w:rPr>
          <w:rFonts w:ascii="Times New Roman" w:hAnsi="Times New Roman" w:cs="Times New Roman"/>
          <w:sz w:val="24"/>
          <w:szCs w:val="24"/>
        </w:rPr>
      </w:pPr>
      <w:r>
        <w:rPr>
          <w:rFonts w:ascii="Times New Roman" w:hAnsi="Times New Roman" w:cs="Times New Roman" w:hint="eastAsia"/>
          <w:b/>
          <w:sz w:val="24"/>
          <w:szCs w:val="24"/>
        </w:rPr>
        <w:t>Figure</w:t>
      </w:r>
      <w:r>
        <w:rPr>
          <w:rFonts w:ascii="Times New Roman" w:hAnsi="Times New Roman" w:cs="Times New Roman"/>
          <w:b/>
          <w:sz w:val="24"/>
          <w:szCs w:val="24"/>
        </w:rPr>
        <w:t xml:space="preserve"> S2. </w:t>
      </w:r>
      <w:r w:rsidRPr="00043FE1">
        <w:rPr>
          <w:rFonts w:ascii="Times New Roman" w:hAnsi="Times New Roman" w:cs="Times New Roman"/>
          <w:b/>
          <w:sz w:val="24"/>
          <w:szCs w:val="24"/>
        </w:rPr>
        <w:t>Evaluation of the bioactive compound, curcumin, in turmeric juice and TNDPs by HPLC-UV.</w:t>
      </w:r>
      <w:r>
        <w:rPr>
          <w:rFonts w:ascii="Times New Roman" w:hAnsi="Times New Roman" w:cs="Times New Roman"/>
          <w:sz w:val="24"/>
          <w:szCs w:val="24"/>
        </w:rPr>
        <w:t xml:space="preserve"> </w:t>
      </w:r>
      <w:r w:rsidR="00B976A2">
        <w:rPr>
          <w:rFonts w:ascii="Times New Roman" w:hAnsi="Times New Roman" w:cs="Times New Roman"/>
          <w:sz w:val="24"/>
          <w:szCs w:val="24"/>
        </w:rPr>
        <w:t>(A)</w:t>
      </w:r>
      <w:r>
        <w:rPr>
          <w:rFonts w:ascii="Times New Roman" w:hAnsi="Times New Roman" w:cs="Times New Roman"/>
          <w:sz w:val="24"/>
          <w:szCs w:val="24"/>
        </w:rPr>
        <w:t xml:space="preserve"> Analytical curve of standard curcumin, TNDPs 1 and TDNPs 2. </w:t>
      </w:r>
      <w:r w:rsidR="00B976A2">
        <w:rPr>
          <w:rFonts w:ascii="Times New Roman" w:hAnsi="Times New Roman" w:cs="Times New Roman"/>
          <w:sz w:val="24"/>
          <w:szCs w:val="24"/>
        </w:rPr>
        <w:t>(B)</w:t>
      </w:r>
      <w:r>
        <w:rPr>
          <w:rFonts w:ascii="Times New Roman" w:hAnsi="Times New Roman" w:cs="Times New Roman"/>
          <w:sz w:val="24"/>
          <w:szCs w:val="24"/>
        </w:rPr>
        <w:t xml:space="preserve"> Curcumin content was normalized, n=3. </w:t>
      </w:r>
    </w:p>
    <w:p w:rsidR="00E31108" w:rsidRDefault="00E31108">
      <w:pPr>
        <w:rPr>
          <w:rFonts w:ascii="Times New Roman" w:hAnsi="Times New Roman" w:cs="Times New Roman"/>
          <w:sz w:val="24"/>
          <w:szCs w:val="24"/>
        </w:rPr>
      </w:pPr>
    </w:p>
    <w:p w:rsidR="00E31108" w:rsidRDefault="00ED0183">
      <w:pPr>
        <w:rPr>
          <w:rFonts w:ascii="Times New Roman" w:hAnsi="Times New Roman" w:cs="Times New Roman"/>
          <w:sz w:val="24"/>
          <w:szCs w:val="24"/>
        </w:rPr>
      </w:pPr>
      <w:r>
        <w:rPr>
          <w:rFonts w:ascii="Times New Roman" w:hAnsi="Times New Roman" w:cs="Times New Roman"/>
          <w:sz w:val="24"/>
          <w:szCs w:val="24"/>
        </w:rPr>
        <w:br w:type="page"/>
      </w:r>
    </w:p>
    <w:p w:rsidR="00E31108" w:rsidRDefault="00ED0183">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6267450"/>
            <wp:effectExtent l="0" t="0" r="0" b="0"/>
            <wp:docPr id="1" name="图片 1" descr="C:\Users\HP\Desktop\Figure 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HP\Desktop\Figure S2.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943600" cy="6267746"/>
                    </a:xfrm>
                    <a:prstGeom prst="rect">
                      <a:avLst/>
                    </a:prstGeom>
                    <a:noFill/>
                    <a:ln>
                      <a:noFill/>
                    </a:ln>
                  </pic:spPr>
                </pic:pic>
              </a:graphicData>
            </a:graphic>
          </wp:inline>
        </w:drawing>
      </w:r>
    </w:p>
    <w:p w:rsidR="00E31108" w:rsidRDefault="00ED0183">
      <w:pPr>
        <w:rPr>
          <w:rFonts w:ascii="Times New Roman" w:hAnsi="Times New Roman" w:cs="Times New Roman"/>
          <w:sz w:val="24"/>
          <w:szCs w:val="24"/>
        </w:rPr>
      </w:pPr>
      <w:r>
        <w:rPr>
          <w:rFonts w:ascii="Times New Roman" w:hAnsi="Times New Roman" w:cs="Times New Roman"/>
          <w:b/>
          <w:sz w:val="24"/>
          <w:szCs w:val="24"/>
        </w:rPr>
        <w:t xml:space="preserve">Figure S3. </w:t>
      </w:r>
      <w:r w:rsidRPr="00043FE1">
        <w:rPr>
          <w:rFonts w:ascii="Times New Roman" w:hAnsi="Times New Roman" w:cs="Times New Roman"/>
          <w:b/>
          <w:sz w:val="24"/>
          <w:szCs w:val="24"/>
        </w:rPr>
        <w:t xml:space="preserve">Stability </w:t>
      </w:r>
      <w:r w:rsidR="00043FE1" w:rsidRPr="00043FE1">
        <w:rPr>
          <w:rFonts w:ascii="Times New Roman" w:hAnsi="Times New Roman" w:cs="Times New Roman"/>
          <w:b/>
          <w:sz w:val="24"/>
          <w:szCs w:val="24"/>
        </w:rPr>
        <w:t xml:space="preserve">investigation </w:t>
      </w:r>
      <w:r w:rsidRPr="00043FE1">
        <w:rPr>
          <w:rFonts w:ascii="Times New Roman" w:hAnsi="Times New Roman" w:cs="Times New Roman"/>
          <w:b/>
          <w:sz w:val="24"/>
          <w:szCs w:val="24"/>
        </w:rPr>
        <w:t xml:space="preserve">of TDNPs. </w:t>
      </w:r>
    </w:p>
    <w:p w:rsidR="00E31108" w:rsidRDefault="00ED0183">
      <w:pPr>
        <w:rPr>
          <w:rFonts w:ascii="Times New Roman" w:hAnsi="Times New Roman" w:cs="Times New Roman"/>
          <w:sz w:val="24"/>
          <w:szCs w:val="24"/>
        </w:rPr>
      </w:pPr>
      <w:r>
        <w:rPr>
          <w:rFonts w:ascii="Times New Roman" w:hAnsi="Times New Roman" w:cs="Times New Roman"/>
          <w:sz w:val="24"/>
          <w:szCs w:val="24"/>
        </w:rPr>
        <w:br w:type="page"/>
      </w:r>
    </w:p>
    <w:p w:rsidR="00E31108" w:rsidRDefault="00ED0183">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383794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837940"/>
                    </a:xfrm>
                    <a:prstGeom prst="rect">
                      <a:avLst/>
                    </a:prstGeom>
                  </pic:spPr>
                </pic:pic>
              </a:graphicData>
            </a:graphic>
          </wp:inline>
        </w:drawing>
      </w:r>
    </w:p>
    <w:p w:rsidR="00E31108" w:rsidRDefault="00ED0183">
      <w:pPr>
        <w:jc w:val="both"/>
        <w:rPr>
          <w:rFonts w:ascii="Times New Roman" w:hAnsi="Times New Roman" w:cs="Times New Roman"/>
          <w:sz w:val="24"/>
          <w:szCs w:val="24"/>
        </w:rPr>
      </w:pPr>
      <w:r>
        <w:rPr>
          <w:rFonts w:ascii="Times New Roman" w:hAnsi="Times New Roman" w:cs="Times New Roman" w:hint="eastAsia"/>
          <w:b/>
          <w:sz w:val="24"/>
          <w:szCs w:val="24"/>
        </w:rPr>
        <w:t>Figure</w:t>
      </w:r>
      <w:r>
        <w:rPr>
          <w:rFonts w:ascii="Times New Roman" w:hAnsi="Times New Roman" w:cs="Times New Roman"/>
          <w:b/>
          <w:sz w:val="24"/>
          <w:szCs w:val="24"/>
        </w:rPr>
        <w:t xml:space="preserve"> S4. </w:t>
      </w:r>
      <w:r w:rsidRPr="00043FE1">
        <w:rPr>
          <w:rFonts w:ascii="Times New Roman" w:hAnsi="Times New Roman" w:cs="Times New Roman"/>
          <w:b/>
          <w:sz w:val="24"/>
          <w:szCs w:val="24"/>
        </w:rPr>
        <w:t>Investigation the potential endocytosis pathway of TDNPs 2.</w:t>
      </w:r>
      <w:r>
        <w:rPr>
          <w:rFonts w:ascii="Times New Roman" w:hAnsi="Times New Roman" w:cs="Times New Roman"/>
          <w:sz w:val="24"/>
          <w:szCs w:val="24"/>
        </w:rPr>
        <w:t xml:space="preserve"> Special inhibitors were incubated with RAW 264.7 cells, then DiL-TDNPs 2 were added. Finally, cells were coverslip-mounted with DAPI for confocal imaging, scale bar: 20 </w:t>
      </w:r>
      <w:r>
        <w:rPr>
          <w:rFonts w:ascii="Times New Roman" w:hAnsi="Times New Roman" w:cs="Times New Roman"/>
          <w:sz w:val="24"/>
          <w:szCs w:val="24"/>
        </w:rPr>
        <w:sym w:font="Symbol" w:char="F06D"/>
      </w:r>
      <w:r>
        <w:rPr>
          <w:rFonts w:ascii="Times New Roman" w:hAnsi="Times New Roman" w:cs="Times New Roman"/>
          <w:sz w:val="24"/>
          <w:szCs w:val="24"/>
        </w:rPr>
        <w:t>m.</w:t>
      </w:r>
    </w:p>
    <w:p w:rsidR="00E31108" w:rsidRDefault="00ED0183">
      <w:pPr>
        <w:rPr>
          <w:rFonts w:ascii="Times New Roman" w:hAnsi="Times New Roman" w:cs="Times New Roman"/>
          <w:sz w:val="24"/>
          <w:szCs w:val="24"/>
        </w:rPr>
      </w:pPr>
      <w:r>
        <w:rPr>
          <w:rFonts w:ascii="Times New Roman" w:hAnsi="Times New Roman" w:cs="Times New Roman"/>
          <w:sz w:val="24"/>
          <w:szCs w:val="24"/>
        </w:rPr>
        <w:br w:type="page"/>
      </w:r>
    </w:p>
    <w:p w:rsidR="00E31108" w:rsidRDefault="00ED0183">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452945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529455"/>
                    </a:xfrm>
                    <a:prstGeom prst="rect">
                      <a:avLst/>
                    </a:prstGeom>
                  </pic:spPr>
                </pic:pic>
              </a:graphicData>
            </a:graphic>
          </wp:inline>
        </w:drawing>
      </w:r>
    </w:p>
    <w:p w:rsidR="00E31108" w:rsidRDefault="00ED0183">
      <w:pPr>
        <w:jc w:val="both"/>
        <w:rPr>
          <w:rFonts w:ascii="Times New Roman" w:hAnsi="Times New Roman" w:cs="Times New Roman"/>
          <w:sz w:val="24"/>
          <w:szCs w:val="24"/>
        </w:rPr>
      </w:pPr>
      <w:r>
        <w:rPr>
          <w:rFonts w:ascii="Times New Roman" w:hAnsi="Times New Roman" w:cs="Times New Roman" w:hint="eastAsia"/>
          <w:b/>
          <w:sz w:val="24"/>
          <w:szCs w:val="24"/>
        </w:rPr>
        <w:t>Figure</w:t>
      </w:r>
      <w:r>
        <w:rPr>
          <w:rFonts w:ascii="Times New Roman" w:hAnsi="Times New Roman" w:cs="Times New Roman"/>
          <w:b/>
          <w:sz w:val="24"/>
          <w:szCs w:val="24"/>
        </w:rPr>
        <w:t xml:space="preserve"> S5.</w:t>
      </w:r>
      <w:r w:rsidRPr="00043FE1">
        <w:rPr>
          <w:rFonts w:ascii="Times New Roman" w:hAnsi="Times New Roman" w:cs="Times New Roman"/>
          <w:b/>
          <w:sz w:val="24"/>
          <w:szCs w:val="24"/>
        </w:rPr>
        <w:t xml:space="preserve"> Investigation the effect of temperature on TDNPs 2 internalization. </w:t>
      </w:r>
      <w:r>
        <w:rPr>
          <w:rFonts w:ascii="Times New Roman" w:hAnsi="Times New Roman" w:cs="Times New Roman"/>
          <w:sz w:val="24"/>
          <w:szCs w:val="24"/>
        </w:rPr>
        <w:t xml:space="preserve">DiL-TDNPs 2 were incubated with RAW 264.7 cells under different temperatures, then cells were stained and imaged be confocal microscopy, scale bar: 20 </w:t>
      </w:r>
      <w:r>
        <w:rPr>
          <w:rFonts w:ascii="Times New Roman" w:hAnsi="Times New Roman" w:cs="Times New Roman"/>
          <w:sz w:val="24"/>
          <w:szCs w:val="24"/>
        </w:rPr>
        <w:sym w:font="Symbol" w:char="F06D"/>
      </w:r>
      <w:r>
        <w:rPr>
          <w:rFonts w:ascii="Times New Roman" w:hAnsi="Times New Roman" w:cs="Times New Roman"/>
          <w:sz w:val="24"/>
          <w:szCs w:val="24"/>
        </w:rPr>
        <w:t>m.</w:t>
      </w:r>
    </w:p>
    <w:p w:rsidR="001C76DB" w:rsidRDefault="001C76DB">
      <w:pPr>
        <w:jc w:val="both"/>
        <w:rPr>
          <w:rFonts w:ascii="Times New Roman" w:hAnsi="Times New Roman" w:cs="Times New Roman"/>
          <w:sz w:val="24"/>
          <w:szCs w:val="24"/>
        </w:rPr>
      </w:pPr>
    </w:p>
    <w:p w:rsidR="001C76DB" w:rsidRDefault="001C76DB">
      <w:pPr>
        <w:jc w:val="both"/>
        <w:rPr>
          <w:rFonts w:ascii="Times New Roman" w:hAnsi="Times New Roman" w:cs="Times New Roman"/>
          <w:sz w:val="24"/>
          <w:szCs w:val="24"/>
        </w:rPr>
      </w:pPr>
    </w:p>
    <w:p w:rsidR="001C76DB" w:rsidRDefault="001C76DB">
      <w:pPr>
        <w:jc w:val="both"/>
        <w:rPr>
          <w:rFonts w:ascii="Times New Roman" w:hAnsi="Times New Roman" w:cs="Times New Roman"/>
          <w:sz w:val="24"/>
          <w:szCs w:val="24"/>
        </w:rPr>
      </w:pPr>
    </w:p>
    <w:p w:rsidR="001C76DB" w:rsidRDefault="001C76DB">
      <w:pPr>
        <w:jc w:val="both"/>
        <w:rPr>
          <w:rFonts w:ascii="Times New Roman" w:hAnsi="Times New Roman" w:cs="Times New Roman"/>
          <w:sz w:val="24"/>
          <w:szCs w:val="24"/>
        </w:rPr>
      </w:pPr>
    </w:p>
    <w:p w:rsidR="001C76DB" w:rsidRDefault="001C76DB">
      <w:pPr>
        <w:jc w:val="both"/>
        <w:rPr>
          <w:rFonts w:ascii="Times New Roman" w:hAnsi="Times New Roman" w:cs="Times New Roman"/>
          <w:sz w:val="24"/>
          <w:szCs w:val="24"/>
        </w:rPr>
      </w:pPr>
    </w:p>
    <w:p w:rsidR="001C76DB" w:rsidRDefault="001C76DB">
      <w:pPr>
        <w:jc w:val="both"/>
        <w:rPr>
          <w:rFonts w:ascii="Times New Roman" w:hAnsi="Times New Roman" w:cs="Times New Roman"/>
          <w:sz w:val="24"/>
          <w:szCs w:val="24"/>
        </w:rPr>
      </w:pPr>
    </w:p>
    <w:p w:rsidR="001C76DB" w:rsidRDefault="001C76DB">
      <w:pPr>
        <w:jc w:val="both"/>
        <w:rPr>
          <w:rFonts w:ascii="Times New Roman" w:hAnsi="Times New Roman" w:cs="Times New Roman"/>
          <w:sz w:val="24"/>
          <w:szCs w:val="24"/>
        </w:rPr>
      </w:pPr>
    </w:p>
    <w:p w:rsidR="001C76DB" w:rsidRDefault="001C76DB">
      <w:pPr>
        <w:jc w:val="both"/>
        <w:rPr>
          <w:rFonts w:ascii="Times New Roman" w:hAnsi="Times New Roman" w:cs="Times New Roman"/>
          <w:sz w:val="24"/>
          <w:szCs w:val="24"/>
        </w:rPr>
      </w:pPr>
    </w:p>
    <w:p w:rsidR="00E31108" w:rsidRDefault="00E31108">
      <w:pPr>
        <w:rPr>
          <w:rFonts w:ascii="Times New Roman" w:hAnsi="Times New Roman" w:cs="Times New Roman"/>
          <w:sz w:val="24"/>
          <w:szCs w:val="24"/>
        </w:rPr>
      </w:pPr>
    </w:p>
    <w:p w:rsidR="00E31108" w:rsidRDefault="00ED0183">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380174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801745"/>
                    </a:xfrm>
                    <a:prstGeom prst="rect">
                      <a:avLst/>
                    </a:prstGeom>
                  </pic:spPr>
                </pic:pic>
              </a:graphicData>
            </a:graphic>
          </wp:inline>
        </w:drawing>
      </w:r>
    </w:p>
    <w:p w:rsidR="00E31108" w:rsidRDefault="00ED0183">
      <w:pPr>
        <w:jc w:val="both"/>
        <w:rPr>
          <w:rFonts w:ascii="Times New Roman" w:hAnsi="Times New Roman" w:cs="Times New Roman"/>
          <w:sz w:val="24"/>
          <w:szCs w:val="24"/>
        </w:rPr>
      </w:pPr>
      <w:r>
        <w:rPr>
          <w:rFonts w:ascii="Times New Roman" w:hAnsi="Times New Roman" w:cs="Times New Roman" w:hint="eastAsia"/>
          <w:b/>
          <w:sz w:val="24"/>
          <w:szCs w:val="24"/>
        </w:rPr>
        <w:t>Figure</w:t>
      </w:r>
      <w:r>
        <w:rPr>
          <w:rFonts w:ascii="Times New Roman" w:hAnsi="Times New Roman" w:cs="Times New Roman"/>
          <w:b/>
          <w:sz w:val="24"/>
          <w:szCs w:val="24"/>
        </w:rPr>
        <w:t xml:space="preserve"> S</w:t>
      </w:r>
      <w:r w:rsidR="005776EB">
        <w:rPr>
          <w:rFonts w:ascii="Times New Roman" w:hAnsi="Times New Roman" w:cs="Times New Roman"/>
          <w:b/>
          <w:sz w:val="24"/>
          <w:szCs w:val="24"/>
        </w:rPr>
        <w:t>6</w:t>
      </w:r>
      <w:r>
        <w:rPr>
          <w:rFonts w:ascii="Times New Roman" w:hAnsi="Times New Roman" w:cs="Times New Roman"/>
          <w:b/>
          <w:sz w:val="24"/>
          <w:szCs w:val="24"/>
        </w:rPr>
        <w:t xml:space="preserve">. </w:t>
      </w:r>
      <w:r w:rsidRPr="00043FE1">
        <w:rPr>
          <w:rFonts w:ascii="Times New Roman" w:hAnsi="Times New Roman" w:cs="Times New Roman"/>
          <w:b/>
          <w:sz w:val="24"/>
          <w:szCs w:val="24"/>
        </w:rPr>
        <w:t xml:space="preserve">Assess the biocompatibility of TDNPs 2 </w:t>
      </w:r>
      <w:r w:rsidRPr="00043FE1">
        <w:rPr>
          <w:rFonts w:ascii="Times New Roman" w:hAnsi="Times New Roman" w:cs="Times New Roman"/>
          <w:b/>
          <w:i/>
          <w:sz w:val="24"/>
          <w:szCs w:val="24"/>
        </w:rPr>
        <w:t>in vitro</w:t>
      </w:r>
      <w:r w:rsidRPr="00043FE1">
        <w:rPr>
          <w:rFonts w:ascii="Times New Roman" w:hAnsi="Times New Roman" w:cs="Times New Roman"/>
          <w:b/>
          <w:sz w:val="24"/>
          <w:szCs w:val="24"/>
        </w:rPr>
        <w:t xml:space="preserve">. </w:t>
      </w:r>
      <w:r w:rsidR="007B78C8">
        <w:rPr>
          <w:rFonts w:ascii="Times New Roman" w:hAnsi="Times New Roman" w:cs="Times New Roman"/>
          <w:sz w:val="24"/>
          <w:szCs w:val="24"/>
        </w:rPr>
        <w:t>(A)</w:t>
      </w:r>
      <w:r>
        <w:rPr>
          <w:rFonts w:ascii="Times New Roman" w:hAnsi="Times New Roman" w:cs="Times New Roman"/>
          <w:sz w:val="24"/>
          <w:szCs w:val="24"/>
        </w:rPr>
        <w:t xml:space="preserve"> Real-time </w:t>
      </w:r>
      <w:r>
        <w:rPr>
          <w:rFonts w:ascii="Times New Roman" w:hAnsi="Times New Roman" w:cs="Times New Roman"/>
          <w:i/>
          <w:sz w:val="24"/>
          <w:szCs w:val="24"/>
        </w:rPr>
        <w:t>in vitro</w:t>
      </w:r>
      <w:r>
        <w:rPr>
          <w:rFonts w:ascii="Times New Roman" w:hAnsi="Times New Roman" w:cs="Times New Roman"/>
          <w:sz w:val="24"/>
          <w:szCs w:val="24"/>
        </w:rPr>
        <w:t xml:space="preserve"> cellular cytotoxicity of TNNPs 2 on Caco2 cells was monitored using electric cell-substrate impedance sensing (ECIS). </w:t>
      </w:r>
      <w:r w:rsidR="007B78C8">
        <w:rPr>
          <w:rFonts w:ascii="Times New Roman" w:hAnsi="Times New Roman" w:cs="Times New Roman"/>
          <w:sz w:val="24"/>
          <w:szCs w:val="24"/>
        </w:rPr>
        <w:t>(B)</w:t>
      </w:r>
      <w:r>
        <w:rPr>
          <w:rFonts w:ascii="Times New Roman" w:hAnsi="Times New Roman" w:cs="Times New Roman"/>
          <w:sz w:val="24"/>
          <w:szCs w:val="24"/>
        </w:rPr>
        <w:t xml:space="preserve"> MTT assay was used to assess the potential toxicity of TDNPs 2 in macrophage 264.7 cells and colon-26 cells, (n=5). </w:t>
      </w:r>
      <w:r w:rsidR="007B78C8">
        <w:rPr>
          <w:rFonts w:ascii="Times New Roman" w:hAnsi="Times New Roman" w:cs="Times New Roman"/>
          <w:sz w:val="24"/>
          <w:szCs w:val="24"/>
        </w:rPr>
        <w:t>(C)</w:t>
      </w:r>
      <w:r>
        <w:rPr>
          <w:rFonts w:ascii="Times New Roman" w:hAnsi="Times New Roman" w:cs="Times New Roman"/>
          <w:sz w:val="24"/>
          <w:szCs w:val="24"/>
        </w:rPr>
        <w:t xml:space="preserve"> Macrophage 264.7 and colon-26 cells</w:t>
      </w:r>
      <w:r>
        <w:rPr>
          <w:rFonts w:ascii="Times New Roman" w:hAnsi="Times New Roman"/>
          <w:sz w:val="24"/>
          <w:szCs w:val="24"/>
        </w:rPr>
        <w:t xml:space="preserve"> proliferations were evaluated by ATPlite assays, </w:t>
      </w:r>
      <w:r>
        <w:rPr>
          <w:rFonts w:ascii="Times New Roman" w:hAnsi="Times New Roman" w:cs="Times New Roman"/>
          <w:sz w:val="24"/>
          <w:szCs w:val="24"/>
        </w:rPr>
        <w:t>(n=5)</w:t>
      </w:r>
      <w:r>
        <w:rPr>
          <w:rFonts w:ascii="Times New Roman" w:hAnsi="Times New Roman"/>
          <w:sz w:val="24"/>
          <w:szCs w:val="24"/>
        </w:rPr>
        <w:t xml:space="preserve">. </w:t>
      </w:r>
      <w:r w:rsidR="007B78C8">
        <w:rPr>
          <w:rFonts w:ascii="Times New Roman" w:hAnsi="Times New Roman"/>
          <w:sz w:val="24"/>
          <w:szCs w:val="24"/>
        </w:rPr>
        <w:t>(D)</w:t>
      </w:r>
      <w:r>
        <w:rPr>
          <w:rFonts w:ascii="Times New Roman" w:hAnsi="Times New Roman"/>
          <w:sz w:val="24"/>
          <w:szCs w:val="24"/>
        </w:rPr>
        <w:t xml:space="preserve"> Apoptosis of </w:t>
      </w:r>
      <w:r>
        <w:rPr>
          <w:rFonts w:ascii="Times New Roman" w:hAnsi="Times New Roman" w:cs="Times New Roman"/>
          <w:sz w:val="24"/>
          <w:szCs w:val="24"/>
        </w:rPr>
        <w:t>macrophage 264.7 and colon-26 cells was determined by Annexin V/PI stain assay, n=5.</w:t>
      </w:r>
    </w:p>
    <w:p w:rsidR="00E31108" w:rsidRDefault="00ED0183">
      <w:pPr>
        <w:rPr>
          <w:rFonts w:ascii="Times New Roman" w:hAnsi="Times New Roman" w:cs="Times New Roman"/>
          <w:sz w:val="24"/>
          <w:szCs w:val="24"/>
        </w:rPr>
      </w:pPr>
      <w:r>
        <w:rPr>
          <w:rFonts w:ascii="Times New Roman" w:hAnsi="Times New Roman" w:cs="Times New Roman"/>
          <w:sz w:val="24"/>
          <w:szCs w:val="24"/>
        </w:rPr>
        <w:br w:type="page"/>
      </w:r>
    </w:p>
    <w:p w:rsidR="00E31108" w:rsidRDefault="00ED0183">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310769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107690"/>
                    </a:xfrm>
                    <a:prstGeom prst="rect">
                      <a:avLst/>
                    </a:prstGeom>
                  </pic:spPr>
                </pic:pic>
              </a:graphicData>
            </a:graphic>
          </wp:inline>
        </w:drawing>
      </w:r>
    </w:p>
    <w:p w:rsidR="00E31108" w:rsidRDefault="00ED0183">
      <w:pPr>
        <w:jc w:val="both"/>
        <w:rPr>
          <w:rFonts w:ascii="Times New Roman" w:hAnsi="Times New Roman" w:cs="Times New Roman"/>
          <w:sz w:val="24"/>
          <w:szCs w:val="24"/>
        </w:rPr>
      </w:pPr>
      <w:r>
        <w:rPr>
          <w:rFonts w:ascii="Times New Roman" w:hAnsi="Times New Roman" w:cs="Times New Roman" w:hint="eastAsia"/>
          <w:b/>
          <w:sz w:val="24"/>
          <w:szCs w:val="24"/>
        </w:rPr>
        <w:t>Figure</w:t>
      </w:r>
      <w:r>
        <w:rPr>
          <w:rFonts w:ascii="Times New Roman" w:hAnsi="Times New Roman" w:cs="Times New Roman"/>
          <w:b/>
          <w:sz w:val="24"/>
          <w:szCs w:val="24"/>
        </w:rPr>
        <w:t xml:space="preserve"> S</w:t>
      </w:r>
      <w:r w:rsidR="005776EB">
        <w:rPr>
          <w:rFonts w:ascii="Times New Roman" w:hAnsi="Times New Roman" w:cs="Times New Roman"/>
          <w:b/>
          <w:sz w:val="24"/>
          <w:szCs w:val="24"/>
        </w:rPr>
        <w:t>7</w:t>
      </w:r>
      <w:r>
        <w:rPr>
          <w:rFonts w:ascii="Times New Roman" w:hAnsi="Times New Roman" w:cs="Times New Roman"/>
          <w:b/>
          <w:sz w:val="24"/>
          <w:szCs w:val="24"/>
        </w:rPr>
        <w:t xml:space="preserve">.  </w:t>
      </w:r>
      <w:r w:rsidRPr="00043FE1">
        <w:rPr>
          <w:rFonts w:ascii="Times New Roman" w:hAnsi="Times New Roman"/>
          <w:b/>
          <w:sz w:val="24"/>
          <w:szCs w:val="24"/>
        </w:rPr>
        <w:t xml:space="preserve">Apoptosis of </w:t>
      </w:r>
      <w:r w:rsidRPr="00043FE1">
        <w:rPr>
          <w:rFonts w:ascii="Times New Roman" w:hAnsi="Times New Roman" w:cs="Times New Roman"/>
          <w:b/>
          <w:sz w:val="24"/>
          <w:szCs w:val="24"/>
        </w:rPr>
        <w:t>macrophage 264.7 and colon-26 cells was determined by the presence of activated caspase-3/7.</w:t>
      </w:r>
      <w:r>
        <w:rPr>
          <w:rFonts w:ascii="Times New Roman" w:hAnsi="Times New Roman" w:cs="Times New Roman"/>
          <w:sz w:val="24"/>
          <w:szCs w:val="24"/>
        </w:rPr>
        <w:t xml:space="preserve"> Apoptotic cells (green nuclei) were detected by staining for cleaved caspase-3/7, scale bar: 20 </w:t>
      </w:r>
      <w:r>
        <w:rPr>
          <w:rFonts w:ascii="Times New Roman" w:hAnsi="Times New Roman" w:cs="Times New Roman"/>
          <w:sz w:val="24"/>
          <w:szCs w:val="24"/>
        </w:rPr>
        <w:sym w:font="Symbol" w:char="F06D"/>
      </w:r>
      <w:r>
        <w:rPr>
          <w:rFonts w:ascii="Times New Roman" w:hAnsi="Times New Roman" w:cs="Times New Roman"/>
          <w:sz w:val="24"/>
          <w:szCs w:val="24"/>
        </w:rPr>
        <w:t>m.</w:t>
      </w:r>
    </w:p>
    <w:p w:rsidR="00E31108" w:rsidRDefault="00E31108">
      <w:pPr>
        <w:jc w:val="both"/>
        <w:rPr>
          <w:rFonts w:ascii="Times New Roman" w:hAnsi="Times New Roman" w:cs="Times New Roman"/>
          <w:b/>
          <w:sz w:val="24"/>
          <w:szCs w:val="24"/>
        </w:rPr>
      </w:pPr>
    </w:p>
    <w:p w:rsidR="00E31108" w:rsidRDefault="00E31108">
      <w:pPr>
        <w:jc w:val="both"/>
        <w:rPr>
          <w:rFonts w:ascii="Times New Roman" w:hAnsi="Times New Roman" w:cs="Times New Roman"/>
          <w:b/>
          <w:sz w:val="24"/>
          <w:szCs w:val="24"/>
        </w:rPr>
      </w:pPr>
    </w:p>
    <w:p w:rsidR="00E31108" w:rsidRDefault="00E31108">
      <w:pPr>
        <w:jc w:val="both"/>
        <w:rPr>
          <w:rFonts w:ascii="Times New Roman" w:hAnsi="Times New Roman" w:cs="Times New Roman"/>
          <w:b/>
          <w:sz w:val="24"/>
          <w:szCs w:val="24"/>
        </w:rPr>
      </w:pPr>
    </w:p>
    <w:p w:rsidR="00E31108" w:rsidRPr="005776EB" w:rsidRDefault="00E31108">
      <w:pPr>
        <w:jc w:val="both"/>
        <w:rPr>
          <w:rFonts w:ascii="Times New Roman" w:hAnsi="Times New Roman" w:cs="Times New Roman"/>
          <w:b/>
          <w:sz w:val="24"/>
          <w:szCs w:val="24"/>
        </w:rPr>
      </w:pPr>
    </w:p>
    <w:p w:rsidR="00E31108" w:rsidRDefault="00E31108">
      <w:pPr>
        <w:jc w:val="both"/>
        <w:rPr>
          <w:rFonts w:ascii="Times New Roman" w:hAnsi="Times New Roman" w:cs="Times New Roman"/>
          <w:b/>
          <w:sz w:val="24"/>
          <w:szCs w:val="24"/>
        </w:rPr>
      </w:pPr>
    </w:p>
    <w:p w:rsidR="00E31108" w:rsidRDefault="00E31108">
      <w:pPr>
        <w:jc w:val="both"/>
        <w:rPr>
          <w:rFonts w:ascii="Times New Roman" w:hAnsi="Times New Roman" w:cs="Times New Roman"/>
          <w:b/>
          <w:sz w:val="24"/>
          <w:szCs w:val="24"/>
        </w:rPr>
      </w:pPr>
    </w:p>
    <w:p w:rsidR="00E31108" w:rsidRDefault="00E31108">
      <w:pPr>
        <w:jc w:val="both"/>
        <w:rPr>
          <w:rFonts w:ascii="Times New Roman" w:hAnsi="Times New Roman" w:cs="Times New Roman"/>
          <w:b/>
          <w:sz w:val="24"/>
          <w:szCs w:val="24"/>
        </w:rPr>
      </w:pPr>
    </w:p>
    <w:p w:rsidR="00E31108" w:rsidRDefault="00E31108">
      <w:pPr>
        <w:jc w:val="both"/>
        <w:rPr>
          <w:rFonts w:ascii="Times New Roman" w:hAnsi="Times New Roman" w:cs="Times New Roman"/>
          <w:b/>
          <w:sz w:val="24"/>
          <w:szCs w:val="24"/>
        </w:rPr>
      </w:pPr>
    </w:p>
    <w:p w:rsidR="00E31108" w:rsidRDefault="00E31108">
      <w:pPr>
        <w:jc w:val="both"/>
        <w:rPr>
          <w:rFonts w:ascii="Times New Roman" w:hAnsi="Times New Roman" w:cs="Times New Roman"/>
          <w:b/>
          <w:sz w:val="24"/>
          <w:szCs w:val="24"/>
        </w:rPr>
      </w:pPr>
    </w:p>
    <w:p w:rsidR="00E31108" w:rsidRDefault="00E31108">
      <w:pPr>
        <w:jc w:val="both"/>
        <w:rPr>
          <w:rFonts w:ascii="Times New Roman" w:hAnsi="Times New Roman" w:cs="Times New Roman"/>
          <w:b/>
          <w:sz w:val="24"/>
          <w:szCs w:val="24"/>
        </w:rPr>
      </w:pPr>
    </w:p>
    <w:p w:rsidR="00E31108" w:rsidRDefault="00E31108">
      <w:pPr>
        <w:jc w:val="both"/>
        <w:rPr>
          <w:rFonts w:ascii="Times New Roman" w:hAnsi="Times New Roman" w:cs="Times New Roman"/>
          <w:b/>
          <w:sz w:val="24"/>
          <w:szCs w:val="24"/>
        </w:rPr>
      </w:pPr>
    </w:p>
    <w:p w:rsidR="00E31108" w:rsidRDefault="00E31108">
      <w:pPr>
        <w:jc w:val="both"/>
        <w:rPr>
          <w:rFonts w:ascii="Times New Roman" w:hAnsi="Times New Roman" w:cs="Times New Roman"/>
          <w:b/>
          <w:sz w:val="24"/>
          <w:szCs w:val="24"/>
        </w:rPr>
      </w:pPr>
    </w:p>
    <w:p w:rsidR="00E31108" w:rsidRDefault="00E31108">
      <w:pPr>
        <w:jc w:val="both"/>
        <w:rPr>
          <w:rFonts w:ascii="Times New Roman" w:hAnsi="Times New Roman" w:cs="Times New Roman"/>
          <w:b/>
          <w:sz w:val="24"/>
          <w:szCs w:val="24"/>
        </w:rPr>
      </w:pPr>
    </w:p>
    <w:p w:rsidR="00043FE1" w:rsidRPr="00653EA1" w:rsidRDefault="00043FE1" w:rsidP="00043FE1">
      <w:pPr>
        <w:contextualSpacing/>
        <w:rPr>
          <w:rFonts w:ascii="Times New Roman" w:eastAsia="宋体" w:hAnsi="Times New Roman" w:cs="Times New Roman"/>
          <w:b/>
          <w:bCs/>
          <w:sz w:val="24"/>
          <w:szCs w:val="24"/>
        </w:rPr>
      </w:pPr>
      <w:r w:rsidRPr="00653EA1">
        <w:rPr>
          <w:rFonts w:ascii="Times New Roman" w:eastAsia="宋体" w:hAnsi="Times New Roman" w:cs="Times New Roman"/>
          <w:b/>
          <w:bCs/>
          <w:sz w:val="24"/>
          <w:szCs w:val="24"/>
        </w:rPr>
        <w:lastRenderedPageBreak/>
        <w:t xml:space="preserve">Supplementary </w:t>
      </w:r>
      <w:r>
        <w:rPr>
          <w:rFonts w:ascii="Times New Roman" w:eastAsia="宋体" w:hAnsi="Times New Roman" w:cs="Times New Roman"/>
          <w:b/>
          <w:bCs/>
          <w:sz w:val="24"/>
          <w:szCs w:val="24"/>
        </w:rPr>
        <w:t>Tables</w:t>
      </w:r>
    </w:p>
    <w:p w:rsidR="00043FE1" w:rsidRDefault="00043FE1">
      <w:pPr>
        <w:jc w:val="both"/>
        <w:rPr>
          <w:rFonts w:ascii="Times New Roman" w:hAnsi="Times New Roman" w:cs="Times New Roman"/>
          <w:b/>
          <w:sz w:val="24"/>
          <w:szCs w:val="24"/>
        </w:rPr>
      </w:pPr>
    </w:p>
    <w:p w:rsidR="00E31108" w:rsidRDefault="00ED0183">
      <w:pPr>
        <w:jc w:val="both"/>
        <w:rPr>
          <w:rFonts w:ascii="Times New Roman" w:hAnsi="Times New Roman" w:cs="Times New Roman"/>
          <w:b/>
          <w:sz w:val="24"/>
          <w:szCs w:val="24"/>
        </w:rPr>
      </w:pPr>
      <w:r>
        <w:rPr>
          <w:rFonts w:ascii="Times New Roman" w:hAnsi="Times New Roman" w:cs="Times New Roman"/>
          <w:b/>
          <w:sz w:val="24"/>
          <w:szCs w:val="24"/>
        </w:rPr>
        <w:t>Table S1. Lipids found in Turmeric-derived nanoparticles.</w:t>
      </w:r>
    </w:p>
    <w:tbl>
      <w:tblPr>
        <w:tblW w:w="9576" w:type="dxa"/>
        <w:tblLayout w:type="fixed"/>
        <w:tblLook w:val="04A0" w:firstRow="1" w:lastRow="0" w:firstColumn="1" w:lastColumn="0" w:noHBand="0" w:noVBand="1"/>
      </w:tblPr>
      <w:tblGrid>
        <w:gridCol w:w="2115"/>
        <w:gridCol w:w="1007"/>
        <w:gridCol w:w="2256"/>
        <w:gridCol w:w="2099"/>
        <w:gridCol w:w="2099"/>
      </w:tblGrid>
      <w:tr w:rsidR="00E31108" w:rsidTr="00043FE1">
        <w:trPr>
          <w:trHeight w:val="264"/>
        </w:trPr>
        <w:tc>
          <w:tcPr>
            <w:tcW w:w="2115" w:type="dxa"/>
            <w:tcBorders>
              <w:top w:val="single" w:sz="12" w:space="0" w:color="00B050"/>
              <w:left w:val="nil"/>
              <w:bottom w:val="single" w:sz="8" w:space="0" w:color="00B050"/>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Name</w:t>
            </w:r>
          </w:p>
        </w:tc>
        <w:tc>
          <w:tcPr>
            <w:tcW w:w="1007" w:type="dxa"/>
            <w:tcBorders>
              <w:top w:val="single" w:sz="12" w:space="0" w:color="00B050"/>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Mass</w:t>
            </w:r>
          </w:p>
        </w:tc>
        <w:tc>
          <w:tcPr>
            <w:tcW w:w="2256" w:type="dxa"/>
            <w:tcBorders>
              <w:top w:val="single" w:sz="12" w:space="0" w:color="00B050"/>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Formula</w:t>
            </w:r>
          </w:p>
        </w:tc>
        <w:tc>
          <w:tcPr>
            <w:tcW w:w="2099" w:type="dxa"/>
            <w:tcBorders>
              <w:top w:val="single" w:sz="12" w:space="0" w:color="00B050"/>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hint="eastAsia"/>
                <w:b/>
                <w:bCs/>
                <w:sz w:val="20"/>
                <w:szCs w:val="20"/>
              </w:rPr>
              <w:t>Band</w:t>
            </w:r>
            <w:r>
              <w:rPr>
                <w:rFonts w:ascii="Arial" w:eastAsia="宋体" w:hAnsi="Arial" w:cs="Arial"/>
                <w:b/>
                <w:bCs/>
                <w:sz w:val="20"/>
                <w:szCs w:val="20"/>
              </w:rPr>
              <w:t xml:space="preserve"> 1 (n=5)</w:t>
            </w:r>
            <w:r>
              <w:rPr>
                <w:rFonts w:ascii="Arial" w:eastAsia="宋体" w:hAnsi="Arial" w:cs="Arial"/>
                <w:b/>
                <w:bCs/>
                <w:sz w:val="20"/>
                <w:szCs w:val="20"/>
                <w:vertAlign w:val="superscript"/>
              </w:rPr>
              <w:t>1</w:t>
            </w:r>
          </w:p>
        </w:tc>
        <w:tc>
          <w:tcPr>
            <w:tcW w:w="2099" w:type="dxa"/>
            <w:tcBorders>
              <w:top w:val="single" w:sz="12" w:space="0" w:color="00B050"/>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hint="eastAsia"/>
                <w:b/>
                <w:bCs/>
                <w:sz w:val="20"/>
                <w:szCs w:val="20"/>
              </w:rPr>
              <w:t>Band</w:t>
            </w:r>
            <w:r>
              <w:rPr>
                <w:rFonts w:ascii="Arial" w:eastAsia="宋体" w:hAnsi="Arial" w:cs="Arial"/>
                <w:b/>
                <w:bCs/>
                <w:sz w:val="20"/>
                <w:szCs w:val="20"/>
              </w:rPr>
              <w:t xml:space="preserve"> </w:t>
            </w:r>
            <w:r>
              <w:rPr>
                <w:rFonts w:ascii="Arial" w:eastAsia="宋体" w:hAnsi="Arial" w:cs="Arial" w:hint="eastAsia"/>
                <w:b/>
                <w:bCs/>
                <w:sz w:val="20"/>
                <w:szCs w:val="20"/>
              </w:rPr>
              <w:t>2</w:t>
            </w:r>
            <w:r>
              <w:rPr>
                <w:rFonts w:ascii="Arial" w:eastAsia="宋体" w:hAnsi="Arial" w:cs="Arial"/>
                <w:b/>
                <w:bCs/>
                <w:sz w:val="20"/>
                <w:szCs w:val="20"/>
              </w:rPr>
              <w:t xml:space="preserve"> (n=5)</w:t>
            </w:r>
            <w:r>
              <w:rPr>
                <w:rFonts w:ascii="Arial" w:eastAsia="宋体" w:hAnsi="Arial" w:cs="Arial"/>
                <w:b/>
                <w:bCs/>
                <w:sz w:val="20"/>
                <w:szCs w:val="20"/>
                <w:vertAlign w:val="superscript"/>
              </w:rPr>
              <w:t>1</w:t>
            </w:r>
          </w:p>
        </w:tc>
      </w:tr>
      <w:tr w:rsidR="00E31108" w:rsidTr="00043FE1">
        <w:trPr>
          <w:trHeight w:val="264"/>
        </w:trPr>
        <w:tc>
          <w:tcPr>
            <w:tcW w:w="2115" w:type="dxa"/>
            <w:tcBorders>
              <w:top w:val="single" w:sz="8" w:space="0" w:color="00B050"/>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DGDG(34:6)</w:t>
            </w:r>
          </w:p>
        </w:tc>
        <w:tc>
          <w:tcPr>
            <w:tcW w:w="1007" w:type="dxa"/>
            <w:tcBorders>
              <w:top w:val="single" w:sz="8" w:space="0" w:color="00B050"/>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926.6</w:t>
            </w:r>
          </w:p>
        </w:tc>
        <w:tc>
          <w:tcPr>
            <w:tcW w:w="2256" w:type="dxa"/>
            <w:tcBorders>
              <w:top w:val="single" w:sz="8" w:space="0" w:color="00B050"/>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C49H80O15</w:t>
            </w:r>
          </w:p>
        </w:tc>
        <w:tc>
          <w:tcPr>
            <w:tcW w:w="2099" w:type="dxa"/>
            <w:tcBorders>
              <w:top w:val="single" w:sz="8" w:space="0" w:color="00B050"/>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0.007</w:t>
            </w:r>
          </w:p>
        </w:tc>
        <w:tc>
          <w:tcPr>
            <w:tcW w:w="2099" w:type="dxa"/>
            <w:tcBorders>
              <w:top w:val="single" w:sz="8" w:space="0" w:color="00B050"/>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0.005</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DGDG(34:5)</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928.6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C49H82O15</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0.002</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0.001</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DGDG(34:4)</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930.6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C49H84O15</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0.008</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0.010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DGDG(34:3)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932.6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C49H86O15</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3.941</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4.012</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DGDG(34:2)</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934.6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C49H88O15</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13.285</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11.089</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DGDG(34:1)</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936.6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C49H90O15</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8.441</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6.710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DGDG(36:6)</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954.6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C51H84O15</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0.498</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0.746</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DGDG(36:5)</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956.6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C51H86O15</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1.938</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2.041</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DGDG(36:4)</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958.6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C51H88O15</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5.981</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5.318</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DGDG(36:3)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960.6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C51H90O15</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5.268</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4.151</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DGDG(36:2)</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962.6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C51H92O15</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6.467</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4.509</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DGDG(36:1)</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964.7</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C51H94O15</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2.373</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1.578</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DGDG(38:6)</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982.6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C53H88O15</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0.138</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0.125</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DGDG(38:5)</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984.6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C53H90O15</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0.082</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0.027</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DGDG(38:4)</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986.6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C53H92O15</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0.696</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0.378</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DGDG(38:3)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988.7</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C53H94O15</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2.112</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0.892</w:t>
            </w:r>
          </w:p>
        </w:tc>
      </w:tr>
      <w:tr w:rsidR="00E31108" w:rsidTr="00043FE1">
        <w:trPr>
          <w:trHeight w:val="264"/>
        </w:trPr>
        <w:tc>
          <w:tcPr>
            <w:tcW w:w="2115" w:type="dxa"/>
            <w:tcBorders>
              <w:top w:val="nil"/>
              <w:left w:val="nil"/>
              <w:bottom w:val="nil"/>
              <w:right w:val="nil"/>
            </w:tcBorders>
            <w:shd w:val="clear" w:color="000000" w:fill="FFFFFF"/>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Total DGDG</w:t>
            </w:r>
          </w:p>
        </w:tc>
        <w:tc>
          <w:tcPr>
            <w:tcW w:w="1007" w:type="dxa"/>
            <w:tcBorders>
              <w:top w:val="nil"/>
              <w:left w:val="nil"/>
              <w:bottom w:val="nil"/>
              <w:right w:val="nil"/>
            </w:tcBorders>
            <w:shd w:val="clear" w:color="000000" w:fill="FFFFFF"/>
            <w:noWrap/>
            <w:vAlign w:val="bottom"/>
          </w:tcPr>
          <w:p w:rsidR="00E31108" w:rsidRDefault="00E31108">
            <w:pPr>
              <w:jc w:val="both"/>
              <w:rPr>
                <w:rFonts w:ascii="Arial" w:eastAsia="宋体" w:hAnsi="Arial" w:cs="Arial"/>
                <w:b/>
                <w:bCs/>
                <w:color w:val="FF0000"/>
                <w:sz w:val="20"/>
                <w:szCs w:val="20"/>
              </w:rPr>
            </w:pPr>
          </w:p>
        </w:tc>
        <w:tc>
          <w:tcPr>
            <w:tcW w:w="2256" w:type="dxa"/>
            <w:tcBorders>
              <w:top w:val="nil"/>
              <w:left w:val="nil"/>
              <w:bottom w:val="nil"/>
              <w:right w:val="nil"/>
            </w:tcBorders>
            <w:shd w:val="clear" w:color="000000" w:fill="FFFFFF"/>
            <w:noWrap/>
            <w:vAlign w:val="bottom"/>
          </w:tcPr>
          <w:p w:rsidR="00E31108" w:rsidRDefault="00E31108">
            <w:pPr>
              <w:jc w:val="both"/>
              <w:rPr>
                <w:rFonts w:ascii="Arial" w:eastAsia="宋体" w:hAnsi="Arial" w:cs="Arial"/>
                <w:color w:val="FF0000"/>
                <w:sz w:val="20"/>
                <w:szCs w:val="20"/>
              </w:rPr>
            </w:pP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51.237</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41.592</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MGDG(34:6)</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764.5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C43H70O10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0.001</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MGDG(34:5)</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766.5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C43H72O10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0.001</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0.002</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MGDG(34:4)</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768.5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C43H74O10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0.008</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0.015</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MGDG(34:3)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770.5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C43H76O10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1.369</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1.076</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MGDG(34:2)</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772.6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C43H78O10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1.712</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0.997</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MGDG(34:1)</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774.6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C43H80O10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1.462</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0.866</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lastRenderedPageBreak/>
              <w:t>MGDG(36:6)</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792.5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C45H74O10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0.810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1.860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MGDG(36:5)</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794.5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C45H76O10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1.557</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2.699</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MGDG(36:4)</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796.6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C45H78O10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2.701</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2.671</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MGDG(36:3)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798.6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C45H80O10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1.475</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1.157</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MGDG(36:2)</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800.6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C45H82O10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0.833</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0.543</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MGDG(36:1)</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802.6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C45H84O10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0.421</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0.247</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MGDG(38:6)</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820.6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C47H78O10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MGDG(38:5)</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822.6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C47H80O10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MGDG(38:4)</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824.6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C47H82O10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0.078</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0.037</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MGDG(38:3)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826.6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C47H84O10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0.215</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0.153</w:t>
            </w:r>
          </w:p>
        </w:tc>
      </w:tr>
      <w:tr w:rsidR="00E31108" w:rsidTr="00043FE1">
        <w:trPr>
          <w:trHeight w:val="264"/>
        </w:trPr>
        <w:tc>
          <w:tcPr>
            <w:tcW w:w="2115" w:type="dxa"/>
            <w:tcBorders>
              <w:top w:val="nil"/>
              <w:left w:val="nil"/>
              <w:bottom w:val="nil"/>
              <w:right w:val="nil"/>
            </w:tcBorders>
            <w:shd w:val="clear" w:color="000000" w:fill="FFFFFF"/>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Total MGDG</w:t>
            </w:r>
          </w:p>
        </w:tc>
        <w:tc>
          <w:tcPr>
            <w:tcW w:w="1007" w:type="dxa"/>
            <w:tcBorders>
              <w:top w:val="nil"/>
              <w:left w:val="nil"/>
              <w:bottom w:val="nil"/>
              <w:right w:val="nil"/>
            </w:tcBorders>
            <w:shd w:val="clear" w:color="000000" w:fill="FFFFFF"/>
            <w:noWrap/>
            <w:vAlign w:val="bottom"/>
          </w:tcPr>
          <w:p w:rsidR="00E31108" w:rsidRDefault="00E31108">
            <w:pPr>
              <w:jc w:val="both"/>
              <w:rPr>
                <w:rFonts w:ascii="Arial" w:eastAsia="宋体" w:hAnsi="Arial" w:cs="Arial"/>
                <w:b/>
                <w:bCs/>
                <w:color w:val="FF0000"/>
                <w:sz w:val="20"/>
                <w:szCs w:val="20"/>
              </w:rPr>
            </w:pPr>
          </w:p>
        </w:tc>
        <w:tc>
          <w:tcPr>
            <w:tcW w:w="2256" w:type="dxa"/>
            <w:tcBorders>
              <w:top w:val="nil"/>
              <w:left w:val="nil"/>
              <w:bottom w:val="nil"/>
              <w:right w:val="nil"/>
            </w:tcBorders>
            <w:shd w:val="clear" w:color="000000" w:fill="FFFFFF"/>
            <w:noWrap/>
            <w:vAlign w:val="bottom"/>
          </w:tcPr>
          <w:p w:rsidR="00E31108" w:rsidRDefault="00E31108">
            <w:pPr>
              <w:jc w:val="both"/>
              <w:rPr>
                <w:rFonts w:ascii="Arial" w:eastAsia="宋体" w:hAnsi="Arial" w:cs="Arial"/>
                <w:color w:val="FF0000"/>
                <w:sz w:val="20"/>
                <w:szCs w:val="20"/>
              </w:rPr>
            </w:pP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12.644</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12.324</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PG(32:1)</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738.5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C38H73O10P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0.002</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0.007</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PG(32:0)</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740.5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C38H75O10P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0.229</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0.270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PG(34:4)</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760.5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C40H71O10P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PG(34:3)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762.5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C40H73O10P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0.043</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0.028</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PG(34:2)</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764.5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C40H75O10P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0.282</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0.249</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PG(34:1)</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766.5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C40H77O10P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0.090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0.109</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PG(34:0)</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768.5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C40H79O10P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0.039</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0.030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PG(36:6)</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784.5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C42H71O10P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PG(36:5)</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786.5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C42H73O10P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0.001</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PG(36:4)</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788.5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C42H75O10P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0.003</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0.004</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PG(36:3)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790.5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C42H77O10P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0.001</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0.001</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PG(36:2)</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792.5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C42H79O10P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0.007</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0.008</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PG(36:1)</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794.6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C42H81O10P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0.001</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0.002</w:t>
            </w:r>
          </w:p>
        </w:tc>
      </w:tr>
      <w:tr w:rsidR="00E31108" w:rsidTr="00043FE1">
        <w:trPr>
          <w:trHeight w:val="264"/>
        </w:trPr>
        <w:tc>
          <w:tcPr>
            <w:tcW w:w="2115" w:type="dxa"/>
            <w:tcBorders>
              <w:top w:val="nil"/>
              <w:left w:val="nil"/>
              <w:bottom w:val="nil"/>
              <w:right w:val="nil"/>
            </w:tcBorders>
            <w:shd w:val="clear" w:color="000000" w:fill="FFFFFF"/>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Total PG</w:t>
            </w:r>
          </w:p>
        </w:tc>
        <w:tc>
          <w:tcPr>
            <w:tcW w:w="1007" w:type="dxa"/>
            <w:tcBorders>
              <w:top w:val="nil"/>
              <w:left w:val="nil"/>
              <w:bottom w:val="nil"/>
              <w:right w:val="nil"/>
            </w:tcBorders>
            <w:shd w:val="clear" w:color="000000" w:fill="FFFFFF"/>
            <w:noWrap/>
            <w:vAlign w:val="bottom"/>
          </w:tcPr>
          <w:p w:rsidR="00E31108" w:rsidRDefault="00E31108">
            <w:pPr>
              <w:jc w:val="both"/>
              <w:rPr>
                <w:rFonts w:ascii="Arial" w:eastAsia="宋体" w:hAnsi="Arial" w:cs="Arial"/>
                <w:b/>
                <w:bCs/>
                <w:color w:val="FF0000"/>
                <w:sz w:val="20"/>
                <w:szCs w:val="20"/>
              </w:rPr>
            </w:pPr>
          </w:p>
        </w:tc>
        <w:tc>
          <w:tcPr>
            <w:tcW w:w="2256" w:type="dxa"/>
            <w:tcBorders>
              <w:top w:val="nil"/>
              <w:left w:val="nil"/>
              <w:bottom w:val="nil"/>
              <w:right w:val="nil"/>
            </w:tcBorders>
            <w:shd w:val="clear" w:color="000000" w:fill="FFFFFF"/>
            <w:noWrap/>
            <w:vAlign w:val="bottom"/>
          </w:tcPr>
          <w:p w:rsidR="00E31108" w:rsidRDefault="00E31108">
            <w:pPr>
              <w:jc w:val="both"/>
              <w:rPr>
                <w:rFonts w:ascii="Arial" w:eastAsia="宋体" w:hAnsi="Arial" w:cs="Arial"/>
                <w:color w:val="FF0000"/>
                <w:sz w:val="20"/>
                <w:szCs w:val="20"/>
              </w:rPr>
            </w:pP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0.696</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0.709</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LPG(16:1)</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500.3</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C22H43O9P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0.019</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LPG(16:0)</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502.3</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C22H45O9P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0.064</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0.093</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lastRenderedPageBreak/>
              <w:t>LPG(18:3)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524.3</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C24H43O9P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0.102</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0.164</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LPG(18:2)</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526.3</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C24H45O9P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0.068</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0.029</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LPG(18:1)</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528.3</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C24H47O9P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0.017</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0.022</w:t>
            </w:r>
          </w:p>
        </w:tc>
      </w:tr>
      <w:tr w:rsidR="00E31108" w:rsidTr="00043FE1">
        <w:trPr>
          <w:trHeight w:val="264"/>
        </w:trPr>
        <w:tc>
          <w:tcPr>
            <w:tcW w:w="2115" w:type="dxa"/>
            <w:tcBorders>
              <w:top w:val="nil"/>
              <w:left w:val="nil"/>
              <w:bottom w:val="nil"/>
              <w:right w:val="nil"/>
            </w:tcBorders>
            <w:shd w:val="clear" w:color="000000" w:fill="FFFFFF"/>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Total LysoPG</w:t>
            </w:r>
          </w:p>
        </w:tc>
        <w:tc>
          <w:tcPr>
            <w:tcW w:w="1007" w:type="dxa"/>
            <w:tcBorders>
              <w:top w:val="nil"/>
              <w:left w:val="nil"/>
              <w:bottom w:val="nil"/>
              <w:right w:val="nil"/>
            </w:tcBorders>
            <w:shd w:val="clear" w:color="000000" w:fill="FFFFFF"/>
            <w:noWrap/>
            <w:vAlign w:val="bottom"/>
          </w:tcPr>
          <w:p w:rsidR="00E31108" w:rsidRDefault="00E31108">
            <w:pPr>
              <w:jc w:val="both"/>
              <w:rPr>
                <w:rFonts w:ascii="Arial" w:eastAsia="宋体" w:hAnsi="Arial" w:cs="Arial"/>
                <w:b/>
                <w:bCs/>
                <w:color w:val="FF0000"/>
                <w:sz w:val="20"/>
                <w:szCs w:val="20"/>
              </w:rPr>
            </w:pPr>
          </w:p>
        </w:tc>
        <w:tc>
          <w:tcPr>
            <w:tcW w:w="2256" w:type="dxa"/>
            <w:tcBorders>
              <w:top w:val="nil"/>
              <w:left w:val="nil"/>
              <w:bottom w:val="nil"/>
              <w:right w:val="nil"/>
            </w:tcBorders>
            <w:shd w:val="clear" w:color="000000" w:fill="FFFFFF"/>
            <w:noWrap/>
            <w:vAlign w:val="bottom"/>
          </w:tcPr>
          <w:p w:rsidR="00E31108" w:rsidRDefault="00E31108">
            <w:pPr>
              <w:jc w:val="both"/>
              <w:rPr>
                <w:rFonts w:ascii="Arial" w:eastAsia="宋体" w:hAnsi="Arial" w:cs="Arial"/>
                <w:color w:val="FF0000"/>
                <w:sz w:val="20"/>
                <w:szCs w:val="20"/>
              </w:rPr>
            </w:pP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0.271</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0.308</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LPC(16:1)</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494.3</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C24H48O7PN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LPC(16:0)</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496.3</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C24H50O7PN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0.100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0.078</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LPC(18:3)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518.3</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C26H48O7PN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0.005</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0.004</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LPC(18:2)</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520.3</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C26H50O7PN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0.131</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0.060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LPC(18:1)</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522.3</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C26H52O7PN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0.038</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0.007</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LPC(18:0)</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524.4</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C26H54O7PN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0.034</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0.017</w:t>
            </w:r>
          </w:p>
        </w:tc>
      </w:tr>
      <w:tr w:rsidR="00E31108" w:rsidTr="00043FE1">
        <w:trPr>
          <w:trHeight w:val="264"/>
        </w:trPr>
        <w:tc>
          <w:tcPr>
            <w:tcW w:w="2115" w:type="dxa"/>
            <w:tcBorders>
              <w:top w:val="nil"/>
              <w:left w:val="nil"/>
              <w:bottom w:val="nil"/>
              <w:right w:val="nil"/>
            </w:tcBorders>
            <w:shd w:val="clear" w:color="000000" w:fill="FFFFFF"/>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Total LysoPC</w:t>
            </w:r>
          </w:p>
        </w:tc>
        <w:tc>
          <w:tcPr>
            <w:tcW w:w="1007" w:type="dxa"/>
            <w:tcBorders>
              <w:top w:val="nil"/>
              <w:left w:val="nil"/>
              <w:bottom w:val="nil"/>
              <w:right w:val="nil"/>
            </w:tcBorders>
            <w:shd w:val="clear" w:color="000000" w:fill="FFFFFF"/>
            <w:noWrap/>
            <w:vAlign w:val="bottom"/>
          </w:tcPr>
          <w:p w:rsidR="00E31108" w:rsidRDefault="00E31108">
            <w:pPr>
              <w:jc w:val="both"/>
              <w:rPr>
                <w:rFonts w:ascii="Arial" w:eastAsia="宋体" w:hAnsi="Arial" w:cs="Arial"/>
                <w:b/>
                <w:bCs/>
                <w:color w:val="FF0000"/>
                <w:sz w:val="20"/>
                <w:szCs w:val="20"/>
              </w:rPr>
            </w:pPr>
          </w:p>
        </w:tc>
        <w:tc>
          <w:tcPr>
            <w:tcW w:w="2256" w:type="dxa"/>
            <w:tcBorders>
              <w:top w:val="nil"/>
              <w:left w:val="nil"/>
              <w:bottom w:val="nil"/>
              <w:right w:val="nil"/>
            </w:tcBorders>
            <w:shd w:val="clear" w:color="000000" w:fill="FFFFFF"/>
            <w:noWrap/>
            <w:vAlign w:val="bottom"/>
          </w:tcPr>
          <w:p w:rsidR="00E31108" w:rsidRDefault="00E31108">
            <w:pPr>
              <w:jc w:val="both"/>
              <w:rPr>
                <w:rFonts w:ascii="Arial" w:eastAsia="宋体" w:hAnsi="Arial" w:cs="Arial"/>
                <w:color w:val="FF0000"/>
                <w:sz w:val="20"/>
                <w:szCs w:val="20"/>
              </w:rPr>
            </w:pP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0.307</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0.166</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LPE(16:1)</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452.3</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C21H42O7PN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0.003</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0.006</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LPE(16:0)</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454.3</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C21H44O7PN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0.007</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0.013</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LPE(18:3)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476.3</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C23H42O7PN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0.046</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0.129</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LPE(18:2)</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478.3</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C23H44O7PN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0.004</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0.010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LPE(18:1)</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480.3</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C23H46O7PN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0.001</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r>
      <w:tr w:rsidR="00E31108" w:rsidTr="00043FE1">
        <w:trPr>
          <w:trHeight w:val="264"/>
        </w:trPr>
        <w:tc>
          <w:tcPr>
            <w:tcW w:w="2115" w:type="dxa"/>
            <w:tcBorders>
              <w:top w:val="nil"/>
              <w:left w:val="nil"/>
              <w:bottom w:val="nil"/>
              <w:right w:val="nil"/>
            </w:tcBorders>
            <w:shd w:val="clear" w:color="000000" w:fill="FFFFFF"/>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Total LysoPE</w:t>
            </w:r>
          </w:p>
        </w:tc>
        <w:tc>
          <w:tcPr>
            <w:tcW w:w="1007" w:type="dxa"/>
            <w:tcBorders>
              <w:top w:val="nil"/>
              <w:left w:val="nil"/>
              <w:bottom w:val="nil"/>
              <w:right w:val="nil"/>
            </w:tcBorders>
            <w:shd w:val="clear" w:color="000000" w:fill="FFFFFF"/>
            <w:noWrap/>
            <w:vAlign w:val="bottom"/>
          </w:tcPr>
          <w:p w:rsidR="00E31108" w:rsidRDefault="00E31108">
            <w:pPr>
              <w:jc w:val="both"/>
              <w:rPr>
                <w:rFonts w:ascii="Arial" w:eastAsia="宋体" w:hAnsi="Arial" w:cs="Arial"/>
                <w:b/>
                <w:bCs/>
                <w:color w:val="FF0000"/>
                <w:sz w:val="20"/>
                <w:szCs w:val="20"/>
              </w:rPr>
            </w:pPr>
          </w:p>
        </w:tc>
        <w:tc>
          <w:tcPr>
            <w:tcW w:w="2256" w:type="dxa"/>
            <w:tcBorders>
              <w:top w:val="nil"/>
              <w:left w:val="nil"/>
              <w:bottom w:val="nil"/>
              <w:right w:val="nil"/>
            </w:tcBorders>
            <w:shd w:val="clear" w:color="000000" w:fill="FFFFFF"/>
            <w:noWrap/>
            <w:vAlign w:val="bottom"/>
          </w:tcPr>
          <w:p w:rsidR="00E31108" w:rsidRDefault="00E31108">
            <w:pPr>
              <w:jc w:val="both"/>
              <w:rPr>
                <w:rFonts w:ascii="Arial" w:eastAsia="宋体" w:hAnsi="Arial" w:cs="Arial"/>
                <w:color w:val="FF0000"/>
                <w:sz w:val="20"/>
                <w:szCs w:val="20"/>
              </w:rPr>
            </w:pP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0.061</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0.158</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PC(32:0)</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734.6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C40H80O8PN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0.065</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0.074</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PC(34:4)</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754.5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C42H76O8PN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0.006</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0.013</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PC(34:3)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756.5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C42H78O8PN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0.746</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1.011</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PC(34:2)</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758.6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C42H80O8PN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5.276</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7.075</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PC(34:1)</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760.6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C42H82O8PN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0.492</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0.646</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PC(36:6)</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778.5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C44H76O8PN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0.038</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0.063</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PC(36:5)</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780.5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C44H78O8PN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0.502</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0.776</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PC(36:4)</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782.6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C44H80O8PN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2.111</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3.460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PC(36:3)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784.6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C44H82O8PN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0.540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0.898</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PC(36:2)</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786.6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C44H84O8PN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0.596</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0.950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lastRenderedPageBreak/>
              <w:t>PC(36:1)</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788.6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C44H86O8PN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0.086</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0.140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PC(38:6)</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806.6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C46H80O8PN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0.001</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0.001</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PC(38:5)</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808.6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C46H82O8PN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0.008</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0.004</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PC(38:4)</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810.6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C46H84O8PN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0.021</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0.043</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PC(38:3)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812.6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C46H86O8PN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0.062</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0.111</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PC(38:2)</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814.6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C46H88O8PN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0.116</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0.177</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PC(40:5)</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836.6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C48H86O8PN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PC(40:4)</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838.6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C48H88O8PN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PC(40:3)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840.6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C48H90O8PN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0.002</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0.003</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PC(40:2)</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842.7</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C48H92O8PN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0.023</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0.021</w:t>
            </w:r>
          </w:p>
        </w:tc>
      </w:tr>
      <w:tr w:rsidR="00E31108" w:rsidTr="00043FE1">
        <w:trPr>
          <w:trHeight w:val="264"/>
        </w:trPr>
        <w:tc>
          <w:tcPr>
            <w:tcW w:w="2115" w:type="dxa"/>
            <w:tcBorders>
              <w:top w:val="nil"/>
              <w:left w:val="nil"/>
              <w:bottom w:val="nil"/>
              <w:right w:val="nil"/>
            </w:tcBorders>
            <w:shd w:val="clear" w:color="000000" w:fill="FFFFFF"/>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Total PC</w:t>
            </w:r>
          </w:p>
        </w:tc>
        <w:tc>
          <w:tcPr>
            <w:tcW w:w="1007" w:type="dxa"/>
            <w:tcBorders>
              <w:top w:val="nil"/>
              <w:left w:val="nil"/>
              <w:bottom w:val="nil"/>
              <w:right w:val="nil"/>
            </w:tcBorders>
            <w:shd w:val="clear" w:color="000000" w:fill="FFFFFF"/>
            <w:noWrap/>
            <w:vAlign w:val="bottom"/>
          </w:tcPr>
          <w:p w:rsidR="00E31108" w:rsidRDefault="00E31108">
            <w:pPr>
              <w:jc w:val="both"/>
              <w:rPr>
                <w:rFonts w:ascii="Arial" w:eastAsia="宋体" w:hAnsi="Arial" w:cs="Arial"/>
                <w:b/>
                <w:bCs/>
                <w:color w:val="FF0000"/>
                <w:sz w:val="20"/>
                <w:szCs w:val="20"/>
              </w:rPr>
            </w:pPr>
          </w:p>
        </w:tc>
        <w:tc>
          <w:tcPr>
            <w:tcW w:w="2256" w:type="dxa"/>
            <w:tcBorders>
              <w:top w:val="nil"/>
              <w:left w:val="nil"/>
              <w:bottom w:val="nil"/>
              <w:right w:val="nil"/>
            </w:tcBorders>
            <w:shd w:val="clear" w:color="000000" w:fill="FFFFFF"/>
            <w:noWrap/>
            <w:vAlign w:val="bottom"/>
          </w:tcPr>
          <w:p w:rsidR="00E31108" w:rsidRDefault="00E31108">
            <w:pPr>
              <w:jc w:val="both"/>
              <w:rPr>
                <w:rFonts w:ascii="Arial" w:eastAsia="宋体" w:hAnsi="Arial" w:cs="Arial"/>
                <w:color w:val="FF0000"/>
                <w:sz w:val="20"/>
                <w:szCs w:val="20"/>
              </w:rPr>
            </w:pP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10.692</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15.467</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PE(32:3)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686.5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C37H68O8PN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PE(32:2)</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688.5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C37H70O8PN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0.001</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PE(32:1)</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690.5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C37H72O8PN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PE(32:0)</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692.5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C37H74O8PN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0.001</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PE(34:4)</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712.5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C39H70O8PN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PE(34:3)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714.5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C39H72O8PN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0.018</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0.049</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PE(34:2)</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716.5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C39H74O8PN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0.160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0.411</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PE(34:1)</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718.5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C39H76O8PN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0.004</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0.011</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PE(36:6)</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736.5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C41H70O8PN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PE(36:5)</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738.5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C41H72O8PN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0.006</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0.016</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PE(36:4)</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740.5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C41H74O8PN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0.034</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0.100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PE(36:3)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742.5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C41H76O8PN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0.003</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0.012</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PE(36:2)</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744.5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C41H78O8PN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0.011</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0.022</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PE(36:1)</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746.6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C41H80O8PN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PE(38:6)</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764.5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C43H74O8PN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PE(38:5)</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766.5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C43H76O8PN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lastRenderedPageBreak/>
              <w:t>PE(38:4)</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768.5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C43H78O8PN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0.001</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PE(38:3)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770.6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C43H80O8PN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0.001</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0.005</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PE(40:3)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798.6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C45H84O8PN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0.001</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PE(40:2)</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800.6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C45H86O8PN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0.001</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0.004</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PE(42:4)</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824.6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C47H86O8PN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PE(42:3)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826.6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C47H88O8PN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0.001</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0.003</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PE(42:2)</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828.6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C47H90O8PN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0.014</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0.040</w:t>
            </w:r>
          </w:p>
        </w:tc>
      </w:tr>
      <w:tr w:rsidR="00E31108" w:rsidTr="00043FE1">
        <w:trPr>
          <w:trHeight w:val="264"/>
        </w:trPr>
        <w:tc>
          <w:tcPr>
            <w:tcW w:w="2115" w:type="dxa"/>
            <w:tcBorders>
              <w:top w:val="nil"/>
              <w:left w:val="nil"/>
              <w:bottom w:val="nil"/>
              <w:right w:val="nil"/>
            </w:tcBorders>
            <w:shd w:val="clear" w:color="000000" w:fill="FFFFFF"/>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Total PE</w:t>
            </w:r>
          </w:p>
        </w:tc>
        <w:tc>
          <w:tcPr>
            <w:tcW w:w="1007" w:type="dxa"/>
            <w:tcBorders>
              <w:top w:val="nil"/>
              <w:left w:val="nil"/>
              <w:bottom w:val="nil"/>
              <w:right w:val="nil"/>
            </w:tcBorders>
            <w:shd w:val="clear" w:color="000000" w:fill="FFFFFF"/>
            <w:noWrap/>
            <w:vAlign w:val="bottom"/>
          </w:tcPr>
          <w:p w:rsidR="00E31108" w:rsidRDefault="00E31108">
            <w:pPr>
              <w:jc w:val="both"/>
              <w:rPr>
                <w:rFonts w:ascii="Arial" w:eastAsia="宋体" w:hAnsi="Arial" w:cs="Arial"/>
                <w:b/>
                <w:bCs/>
                <w:color w:val="FF0000"/>
                <w:sz w:val="20"/>
                <w:szCs w:val="20"/>
              </w:rPr>
            </w:pPr>
          </w:p>
        </w:tc>
        <w:tc>
          <w:tcPr>
            <w:tcW w:w="2256" w:type="dxa"/>
            <w:tcBorders>
              <w:top w:val="nil"/>
              <w:left w:val="nil"/>
              <w:bottom w:val="nil"/>
              <w:right w:val="nil"/>
            </w:tcBorders>
            <w:shd w:val="clear" w:color="000000" w:fill="FFFFFF"/>
            <w:noWrap/>
            <w:vAlign w:val="bottom"/>
          </w:tcPr>
          <w:p w:rsidR="00E31108" w:rsidRDefault="00E31108">
            <w:pPr>
              <w:jc w:val="both"/>
              <w:rPr>
                <w:rFonts w:ascii="Arial" w:eastAsia="宋体" w:hAnsi="Arial" w:cs="Arial"/>
                <w:color w:val="FF0000"/>
                <w:sz w:val="20"/>
                <w:szCs w:val="20"/>
              </w:rPr>
            </w:pP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0.253</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0.677</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PI(32:3)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822.5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C41H73O13P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0.013</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0.011</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PI(32:2)</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824.5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C41H75O13P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0.041</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0.042</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PI(32:1)</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826.5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C41H77O13P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0.040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0.045</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PI(32:0)</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828.5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C41H79O13P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0.452</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0.374</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PI(34:4)</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848.5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C43H75O13P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0.004</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0.002</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PI(34:3)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850.5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C43H77O13P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1.720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1.457</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PI(34:2)</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852.5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C43H79O13P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7.128</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5.330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PI(34:1)</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854.5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C43H81O13P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0.781</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0.582</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PI(36:6)</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872.5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C45H75O13P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0.011</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0.007</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PI(36:5)</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874.5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C45H77O13P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0.090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0.065</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PI(36:4)</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876.5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C45H79O13P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0.372</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0.272</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PI(36:3)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878.5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C45H81O13P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0.117</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0.103</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PI(36:2)</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880.6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C45H83O13P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0.283</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0.212</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PI(36:1)</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882.6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C45H85O13P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0.049</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0.043</w:t>
            </w:r>
          </w:p>
        </w:tc>
      </w:tr>
      <w:tr w:rsidR="00E31108" w:rsidTr="00043FE1">
        <w:trPr>
          <w:trHeight w:val="264"/>
        </w:trPr>
        <w:tc>
          <w:tcPr>
            <w:tcW w:w="2115" w:type="dxa"/>
            <w:tcBorders>
              <w:top w:val="nil"/>
              <w:left w:val="nil"/>
              <w:bottom w:val="nil"/>
              <w:right w:val="nil"/>
            </w:tcBorders>
            <w:shd w:val="clear" w:color="000000" w:fill="FFFFFF"/>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Total PI</w:t>
            </w:r>
          </w:p>
        </w:tc>
        <w:tc>
          <w:tcPr>
            <w:tcW w:w="1007" w:type="dxa"/>
            <w:tcBorders>
              <w:top w:val="nil"/>
              <w:left w:val="nil"/>
              <w:bottom w:val="nil"/>
              <w:right w:val="nil"/>
            </w:tcBorders>
            <w:shd w:val="clear" w:color="000000" w:fill="FFFFFF"/>
            <w:noWrap/>
            <w:vAlign w:val="bottom"/>
          </w:tcPr>
          <w:p w:rsidR="00E31108" w:rsidRDefault="00E31108">
            <w:pPr>
              <w:jc w:val="both"/>
              <w:rPr>
                <w:rFonts w:ascii="Arial" w:eastAsia="宋体" w:hAnsi="Arial" w:cs="Arial"/>
                <w:b/>
                <w:bCs/>
                <w:color w:val="FF0000"/>
                <w:sz w:val="20"/>
                <w:szCs w:val="20"/>
              </w:rPr>
            </w:pPr>
          </w:p>
        </w:tc>
        <w:tc>
          <w:tcPr>
            <w:tcW w:w="2256" w:type="dxa"/>
            <w:tcBorders>
              <w:top w:val="nil"/>
              <w:left w:val="nil"/>
              <w:bottom w:val="nil"/>
              <w:right w:val="nil"/>
            </w:tcBorders>
            <w:shd w:val="clear" w:color="000000" w:fill="FFFFFF"/>
            <w:noWrap/>
            <w:vAlign w:val="bottom"/>
          </w:tcPr>
          <w:p w:rsidR="00E31108" w:rsidRDefault="00E31108">
            <w:pPr>
              <w:jc w:val="both"/>
              <w:rPr>
                <w:rFonts w:ascii="Arial" w:eastAsia="宋体" w:hAnsi="Arial" w:cs="Arial"/>
                <w:color w:val="FF0000"/>
                <w:sz w:val="20"/>
                <w:szCs w:val="20"/>
              </w:rPr>
            </w:pP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11.099</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8.547</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PS(34:4)</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756.5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C40H70O10PN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0.001</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PS(34:3)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758.5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C40H72O10PN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0.001</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0.003</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PS(34:2)</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760.5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C40H74O10PN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0.007</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0.039</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PS(34:1)</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762.5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C40H76O10PN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0.004</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0.003</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lastRenderedPageBreak/>
              <w:t>PS(36:6)</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780.5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C42H70O10PN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PS(36:5)</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782.5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C42H72O10PN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0.001</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PS(36:4)</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784.5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C42H74O10PN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0.001</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0.003</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PS(36:3)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786.5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C42H76O10PN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0.001</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0.001</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PS(36:2)</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788.5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C42H78O10PN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0.001</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0.006</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PS(36:1)</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790.6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C42H80O10PN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PS(38:6)</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808.5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C44H74O10PN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PS(38:5)</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810.5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C44H76O10PN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PS(38:4)</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812.5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C44H78O10PN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PS(38:3)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814.6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C44H80O10PN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0.001</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PS(38:2)</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816.6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C44H82O10PN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0.001</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PS(38:1)</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818.6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C44H84O10PN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0.001</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PS(40:4)</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840.6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C46H82O10PN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PS(40:3)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842.6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C46H84O10PN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0.001</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PS(40:2)</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844.6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C46H86O10PN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0.002</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0.022</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PS(40:1)</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846.6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C46H88O10PN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0.001</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PS(42:4)</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868.6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C48H86O10PN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PS(42:3)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870.6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C48H88O10PN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0.019</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0.043</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PS(42:2)</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872.6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C48H90O10PN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0.016</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0.201</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PS(42:1)</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874.6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C48H92O10PN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0.002</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0.008</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PS(44:3)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898.6</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C50H92O10PN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0.006</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PS(44:2)</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900.7</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C50H94O10PN</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0.011</w:t>
            </w:r>
          </w:p>
        </w:tc>
      </w:tr>
      <w:tr w:rsidR="00E31108" w:rsidTr="00043FE1">
        <w:trPr>
          <w:trHeight w:val="264"/>
        </w:trPr>
        <w:tc>
          <w:tcPr>
            <w:tcW w:w="2115" w:type="dxa"/>
            <w:tcBorders>
              <w:top w:val="nil"/>
              <w:left w:val="nil"/>
              <w:bottom w:val="nil"/>
              <w:right w:val="nil"/>
            </w:tcBorders>
            <w:shd w:val="clear" w:color="000000" w:fill="FFFFFF"/>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Total PS</w:t>
            </w:r>
          </w:p>
        </w:tc>
        <w:tc>
          <w:tcPr>
            <w:tcW w:w="1007" w:type="dxa"/>
            <w:tcBorders>
              <w:top w:val="nil"/>
              <w:left w:val="nil"/>
              <w:bottom w:val="nil"/>
              <w:right w:val="nil"/>
            </w:tcBorders>
            <w:shd w:val="clear" w:color="000000" w:fill="FFFFFF"/>
            <w:noWrap/>
            <w:vAlign w:val="bottom"/>
          </w:tcPr>
          <w:p w:rsidR="00E31108" w:rsidRDefault="00E31108">
            <w:pPr>
              <w:jc w:val="both"/>
              <w:rPr>
                <w:rFonts w:ascii="Arial" w:eastAsia="宋体" w:hAnsi="Arial" w:cs="Arial"/>
                <w:b/>
                <w:bCs/>
                <w:color w:val="FF0000"/>
                <w:sz w:val="20"/>
                <w:szCs w:val="20"/>
              </w:rPr>
            </w:pPr>
          </w:p>
        </w:tc>
        <w:tc>
          <w:tcPr>
            <w:tcW w:w="2256" w:type="dxa"/>
            <w:tcBorders>
              <w:top w:val="nil"/>
              <w:left w:val="nil"/>
              <w:bottom w:val="nil"/>
              <w:right w:val="nil"/>
            </w:tcBorders>
            <w:shd w:val="clear" w:color="000000" w:fill="FFFFFF"/>
            <w:noWrap/>
            <w:vAlign w:val="bottom"/>
          </w:tcPr>
          <w:p w:rsidR="00E31108" w:rsidRDefault="00E31108">
            <w:pPr>
              <w:jc w:val="both"/>
              <w:rPr>
                <w:rFonts w:ascii="Arial" w:eastAsia="宋体" w:hAnsi="Arial" w:cs="Arial"/>
                <w:color w:val="FF0000"/>
                <w:sz w:val="20"/>
                <w:szCs w:val="20"/>
              </w:rPr>
            </w:pP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0.062</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0.343</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PA(32:0)</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666.5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C35H69O8P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0.121</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0.180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PA(34:6)</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682.4</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C37H61O8P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PA(34:5)</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684.4</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C37H63O8P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0.001</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PA(34:4)</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686.4</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C37H65O8P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0.008</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0.005</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lastRenderedPageBreak/>
              <w:t>PA(34:3)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688.5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C37H67O8P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0.886</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1.260</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PA(34:2)</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690.5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C37H69O8P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6.802</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9.844</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PA(34:1)</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692.5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C37H71O8P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0.655</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0.913</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PA(36:6)</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710.4</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C39H65O8P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0.033</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0.061</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PA(36:5)</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712.5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C39H67O8P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0.474</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0.813</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PA(36:4)</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714.5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C39H69O8P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2.454</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4.593</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PA(36:3)</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716.5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C39H71O8P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0.663</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1.073</w:t>
            </w:r>
          </w:p>
        </w:tc>
      </w:tr>
      <w:tr w:rsidR="00E31108" w:rsidTr="00043FE1">
        <w:trPr>
          <w:trHeight w:val="264"/>
        </w:trPr>
        <w:tc>
          <w:tcPr>
            <w:tcW w:w="2115"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sz w:val="20"/>
                <w:szCs w:val="20"/>
              </w:rPr>
            </w:pPr>
            <w:r>
              <w:rPr>
                <w:rFonts w:ascii="Arial" w:eastAsia="宋体" w:hAnsi="Arial" w:cs="Arial"/>
                <w:b/>
                <w:bCs/>
                <w:sz w:val="20"/>
                <w:szCs w:val="20"/>
              </w:rPr>
              <w:t>PA(36:2)</w:t>
            </w:r>
          </w:p>
        </w:tc>
        <w:tc>
          <w:tcPr>
            <w:tcW w:w="1007"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718.5</w:t>
            </w:r>
          </w:p>
        </w:tc>
        <w:tc>
          <w:tcPr>
            <w:tcW w:w="2256"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C39H73O8P</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0.581</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sz w:val="20"/>
                <w:szCs w:val="20"/>
              </w:rPr>
            </w:pPr>
            <w:r>
              <w:rPr>
                <w:rFonts w:ascii="Arial" w:eastAsia="宋体" w:hAnsi="Arial" w:cs="Arial"/>
                <w:sz w:val="20"/>
                <w:szCs w:val="20"/>
              </w:rPr>
              <w:t>0.968</w:t>
            </w:r>
          </w:p>
        </w:tc>
      </w:tr>
      <w:tr w:rsidR="00E31108" w:rsidTr="00043FE1">
        <w:trPr>
          <w:trHeight w:val="264"/>
        </w:trPr>
        <w:tc>
          <w:tcPr>
            <w:tcW w:w="2115" w:type="dxa"/>
            <w:tcBorders>
              <w:top w:val="nil"/>
              <w:left w:val="nil"/>
              <w:bottom w:val="nil"/>
              <w:right w:val="nil"/>
            </w:tcBorders>
            <w:shd w:val="clear" w:color="000000" w:fill="FFFFFF"/>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Total PA</w:t>
            </w:r>
          </w:p>
        </w:tc>
        <w:tc>
          <w:tcPr>
            <w:tcW w:w="1007" w:type="dxa"/>
            <w:tcBorders>
              <w:top w:val="nil"/>
              <w:left w:val="nil"/>
              <w:bottom w:val="nil"/>
              <w:right w:val="nil"/>
            </w:tcBorders>
            <w:shd w:val="clear" w:color="000000" w:fill="FFFFFF"/>
            <w:noWrap/>
            <w:vAlign w:val="bottom"/>
          </w:tcPr>
          <w:p w:rsidR="00E31108" w:rsidRDefault="00E31108">
            <w:pPr>
              <w:jc w:val="both"/>
              <w:rPr>
                <w:rFonts w:ascii="Arial" w:eastAsia="宋体" w:hAnsi="Arial" w:cs="Arial"/>
                <w:b/>
                <w:bCs/>
                <w:color w:val="FF0000"/>
                <w:sz w:val="20"/>
                <w:szCs w:val="20"/>
              </w:rPr>
            </w:pPr>
          </w:p>
        </w:tc>
        <w:tc>
          <w:tcPr>
            <w:tcW w:w="2256" w:type="dxa"/>
            <w:tcBorders>
              <w:top w:val="nil"/>
              <w:left w:val="nil"/>
              <w:bottom w:val="nil"/>
              <w:right w:val="nil"/>
            </w:tcBorders>
            <w:shd w:val="clear" w:color="000000" w:fill="FFFFFF"/>
            <w:noWrap/>
            <w:vAlign w:val="bottom"/>
          </w:tcPr>
          <w:p w:rsidR="00E31108" w:rsidRDefault="00E31108">
            <w:pPr>
              <w:jc w:val="both"/>
              <w:rPr>
                <w:rFonts w:ascii="Arial" w:eastAsia="宋体" w:hAnsi="Arial" w:cs="Arial"/>
                <w:color w:val="FF0000"/>
                <w:sz w:val="20"/>
                <w:szCs w:val="20"/>
              </w:rPr>
            </w:pP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12.677</w:t>
            </w:r>
          </w:p>
        </w:tc>
        <w:tc>
          <w:tcPr>
            <w:tcW w:w="2099" w:type="dxa"/>
            <w:tcBorders>
              <w:top w:val="nil"/>
              <w:left w:val="nil"/>
              <w:bottom w:val="nil"/>
              <w:right w:val="nil"/>
            </w:tcBorders>
            <w:shd w:val="clear" w:color="auto" w:fill="auto"/>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19.709</w:t>
            </w:r>
          </w:p>
        </w:tc>
      </w:tr>
      <w:tr w:rsidR="00E31108" w:rsidTr="00043FE1">
        <w:trPr>
          <w:trHeight w:val="264"/>
        </w:trPr>
        <w:tc>
          <w:tcPr>
            <w:tcW w:w="2115" w:type="dxa"/>
            <w:tcBorders>
              <w:top w:val="nil"/>
              <w:left w:val="nil"/>
              <w:bottom w:val="single" w:sz="12" w:space="0" w:color="00B050"/>
              <w:right w:val="nil"/>
            </w:tcBorders>
            <w:shd w:val="clear" w:color="000000" w:fill="FFFFFF"/>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Total</w:t>
            </w:r>
          </w:p>
        </w:tc>
        <w:tc>
          <w:tcPr>
            <w:tcW w:w="1007" w:type="dxa"/>
            <w:tcBorders>
              <w:top w:val="nil"/>
              <w:left w:val="nil"/>
              <w:bottom w:val="single" w:sz="12" w:space="0" w:color="00B050"/>
              <w:right w:val="nil"/>
            </w:tcBorders>
            <w:shd w:val="clear" w:color="000000" w:fill="FFFFFF"/>
            <w:noWrap/>
            <w:vAlign w:val="bottom"/>
          </w:tcPr>
          <w:p w:rsidR="00E31108" w:rsidRDefault="00E31108">
            <w:pPr>
              <w:jc w:val="both"/>
              <w:rPr>
                <w:rFonts w:ascii="Arial" w:eastAsia="宋体" w:hAnsi="Arial" w:cs="Arial"/>
                <w:b/>
                <w:bCs/>
                <w:color w:val="FF0000"/>
                <w:sz w:val="20"/>
                <w:szCs w:val="20"/>
              </w:rPr>
            </w:pPr>
          </w:p>
        </w:tc>
        <w:tc>
          <w:tcPr>
            <w:tcW w:w="2256" w:type="dxa"/>
            <w:tcBorders>
              <w:top w:val="nil"/>
              <w:left w:val="nil"/>
              <w:bottom w:val="single" w:sz="12" w:space="0" w:color="00B050"/>
              <w:right w:val="nil"/>
            </w:tcBorders>
            <w:shd w:val="clear" w:color="000000" w:fill="FFFFFF"/>
            <w:noWrap/>
            <w:vAlign w:val="bottom"/>
          </w:tcPr>
          <w:p w:rsidR="00E31108" w:rsidRDefault="00E31108">
            <w:pPr>
              <w:jc w:val="both"/>
              <w:rPr>
                <w:rFonts w:ascii="Arial" w:eastAsia="宋体" w:hAnsi="Arial" w:cs="Arial"/>
                <w:color w:val="FF0000"/>
                <w:sz w:val="20"/>
                <w:szCs w:val="20"/>
              </w:rPr>
            </w:pPr>
          </w:p>
        </w:tc>
        <w:tc>
          <w:tcPr>
            <w:tcW w:w="2099" w:type="dxa"/>
            <w:tcBorders>
              <w:top w:val="nil"/>
              <w:left w:val="nil"/>
              <w:bottom w:val="single" w:sz="12" w:space="0" w:color="00B050"/>
              <w:right w:val="nil"/>
            </w:tcBorders>
            <w:shd w:val="clear" w:color="auto" w:fill="auto"/>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100.000</w:t>
            </w:r>
          </w:p>
        </w:tc>
        <w:tc>
          <w:tcPr>
            <w:tcW w:w="2099" w:type="dxa"/>
            <w:tcBorders>
              <w:top w:val="nil"/>
              <w:left w:val="nil"/>
              <w:bottom w:val="single" w:sz="12" w:space="0" w:color="00B050"/>
              <w:right w:val="nil"/>
            </w:tcBorders>
            <w:shd w:val="clear" w:color="auto" w:fill="auto"/>
            <w:noWrap/>
            <w:vAlign w:val="bottom"/>
          </w:tcPr>
          <w:p w:rsidR="00E31108" w:rsidRDefault="00ED0183">
            <w:pPr>
              <w:jc w:val="both"/>
              <w:rPr>
                <w:rFonts w:ascii="Arial" w:eastAsia="宋体" w:hAnsi="Arial" w:cs="Arial"/>
                <w:b/>
                <w:bCs/>
                <w:color w:val="FF0000"/>
                <w:sz w:val="20"/>
                <w:szCs w:val="20"/>
              </w:rPr>
            </w:pPr>
            <w:r>
              <w:rPr>
                <w:rFonts w:ascii="Arial" w:eastAsia="宋体" w:hAnsi="Arial" w:cs="Arial"/>
                <w:b/>
                <w:bCs/>
                <w:color w:val="FF0000"/>
                <w:sz w:val="20"/>
                <w:szCs w:val="20"/>
              </w:rPr>
              <w:t>100.000</w:t>
            </w:r>
          </w:p>
        </w:tc>
      </w:tr>
    </w:tbl>
    <w:p w:rsidR="00E31108" w:rsidRDefault="00ED0183">
      <w:pPr>
        <w:spacing w:before="240"/>
        <w:jc w:val="both"/>
        <w:rPr>
          <w:rFonts w:ascii="Times New Roman" w:hAnsi="Times New Roman" w:cs="Times New Roman"/>
        </w:rPr>
      </w:pPr>
      <w:r>
        <w:rPr>
          <w:rFonts w:ascii="Times New Roman" w:hAnsi="Times New Roman" w:cs="Times New Roman"/>
          <w:vertAlign w:val="superscript"/>
        </w:rPr>
        <w:t xml:space="preserve">1 </w:t>
      </w:r>
      <w:r>
        <w:rPr>
          <w:rFonts w:ascii="Times New Roman" w:hAnsi="Times New Roman" w:cs="Times New Roman"/>
        </w:rPr>
        <w:t xml:space="preserve">The lipid composition of </w:t>
      </w:r>
      <w:r>
        <w:rPr>
          <w:rFonts w:ascii="Times New Roman" w:hAnsi="Times New Roman" w:cs="Times New Roman" w:hint="eastAsia"/>
        </w:rPr>
        <w:t>T</w:t>
      </w:r>
      <w:r>
        <w:rPr>
          <w:rFonts w:ascii="Times New Roman" w:hAnsi="Times New Roman" w:cs="Times New Roman"/>
        </w:rPr>
        <w:t xml:space="preserve">DNPs was determined by using a triple quadrupole mass spectrometer. The data are as % of total signal for the molecular species determined after normalization of the signals in internal standards of the same lipid class. Lipid abbreviations: DGDG, digalactosyldiacylglycerol; MGDG, monogalactosyldiacylglycerol; PG, phosphatidylglycerol; LPG, lysophosphatidylglycerol; PC, phosphatidylcholine; LPC, lysophosphatidylcholine; PE, phosphatidylethanolamine; LPE, lysophosphatidylethanolamine; PI, phosphatidylinositol; PS, phosphatidylserine; PA, phosphatidic acid. </w:t>
      </w:r>
    </w:p>
    <w:p w:rsidR="00E31108" w:rsidRDefault="00E31108">
      <w:pPr>
        <w:rPr>
          <w:rFonts w:ascii="Times New Roman" w:hAnsi="Times New Roman" w:cs="Times New Roman"/>
        </w:rPr>
      </w:pPr>
    </w:p>
    <w:p w:rsidR="00E31108" w:rsidRDefault="00E31108">
      <w:pPr>
        <w:rPr>
          <w:rFonts w:ascii="Times New Roman" w:hAnsi="Times New Roman" w:cs="Times New Roman"/>
        </w:rPr>
      </w:pPr>
    </w:p>
    <w:p w:rsidR="00E31108" w:rsidRDefault="00E31108">
      <w:pPr>
        <w:rPr>
          <w:rFonts w:ascii="Times New Roman" w:hAnsi="Times New Roman" w:cs="Times New Roman"/>
        </w:rPr>
      </w:pPr>
    </w:p>
    <w:p w:rsidR="00E31108" w:rsidRDefault="00E31108">
      <w:pPr>
        <w:rPr>
          <w:rFonts w:ascii="Times New Roman" w:hAnsi="Times New Roman" w:cs="Times New Roman"/>
        </w:rPr>
      </w:pPr>
    </w:p>
    <w:p w:rsidR="00E31108" w:rsidRDefault="00E31108">
      <w:pPr>
        <w:rPr>
          <w:rFonts w:ascii="Times New Roman" w:hAnsi="Times New Roman" w:cs="Times New Roman"/>
        </w:rPr>
      </w:pPr>
    </w:p>
    <w:p w:rsidR="00E31108" w:rsidRDefault="00E31108">
      <w:pPr>
        <w:rPr>
          <w:rFonts w:ascii="Times New Roman" w:hAnsi="Times New Roman" w:cs="Times New Roman"/>
        </w:rPr>
      </w:pPr>
    </w:p>
    <w:p w:rsidR="00E31108" w:rsidRDefault="00E31108">
      <w:pPr>
        <w:rPr>
          <w:rFonts w:ascii="Times New Roman" w:hAnsi="Times New Roman" w:cs="Times New Roman"/>
        </w:rPr>
      </w:pPr>
    </w:p>
    <w:p w:rsidR="00E31108" w:rsidRDefault="00E31108">
      <w:pPr>
        <w:rPr>
          <w:rFonts w:ascii="Times New Roman" w:hAnsi="Times New Roman" w:cs="Times New Roman"/>
        </w:rPr>
      </w:pPr>
    </w:p>
    <w:p w:rsidR="00E31108" w:rsidRDefault="00E31108">
      <w:pPr>
        <w:rPr>
          <w:rFonts w:ascii="Times New Roman" w:hAnsi="Times New Roman" w:cs="Times New Roman"/>
        </w:rPr>
      </w:pPr>
    </w:p>
    <w:p w:rsidR="00E31108" w:rsidRDefault="00E31108">
      <w:pPr>
        <w:rPr>
          <w:rFonts w:ascii="Times New Roman" w:hAnsi="Times New Roman" w:cs="Times New Roman"/>
        </w:rPr>
      </w:pPr>
    </w:p>
    <w:p w:rsidR="00E31108" w:rsidRDefault="00E31108">
      <w:pPr>
        <w:rPr>
          <w:rFonts w:ascii="Times New Roman" w:hAnsi="Times New Roman" w:cs="Times New Roman"/>
        </w:rPr>
      </w:pPr>
    </w:p>
    <w:p w:rsidR="00E31108" w:rsidRDefault="00E31108">
      <w:pPr>
        <w:rPr>
          <w:rFonts w:ascii="Times New Roman" w:hAnsi="Times New Roman" w:cs="Times New Roman"/>
        </w:rPr>
      </w:pPr>
    </w:p>
    <w:p w:rsidR="00E31108" w:rsidRDefault="00ED0183">
      <w:pPr>
        <w:rPr>
          <w:rFonts w:ascii="Times New Roman" w:hAnsi="Times New Roman" w:cs="Times New Roman"/>
          <w:b/>
          <w:sz w:val="24"/>
          <w:szCs w:val="24"/>
        </w:rPr>
      </w:pPr>
      <w:r>
        <w:rPr>
          <w:rFonts w:ascii="Times New Roman" w:hAnsi="Times New Roman" w:cs="Times New Roman" w:hint="eastAsia"/>
          <w:b/>
          <w:sz w:val="24"/>
          <w:szCs w:val="24"/>
        </w:rPr>
        <w:lastRenderedPageBreak/>
        <w:t>T</w:t>
      </w:r>
      <w:r>
        <w:rPr>
          <w:rFonts w:ascii="Times New Roman" w:hAnsi="Times New Roman" w:cs="Times New Roman"/>
          <w:b/>
          <w:sz w:val="24"/>
          <w:szCs w:val="24"/>
        </w:rPr>
        <w:t xml:space="preserve">able S2: </w:t>
      </w:r>
      <w:r>
        <w:rPr>
          <w:rFonts w:ascii="Times New Roman" w:hAnsi="Times New Roman" w:cs="Times New Roman" w:hint="eastAsia"/>
          <w:b/>
          <w:sz w:val="24"/>
          <w:szCs w:val="24"/>
        </w:rPr>
        <w:t xml:space="preserve">Proteomics analysis of </w:t>
      </w:r>
      <w:r>
        <w:rPr>
          <w:rFonts w:ascii="Times New Roman" w:hAnsi="Times New Roman" w:cs="Times New Roman"/>
          <w:b/>
          <w:sz w:val="24"/>
          <w:szCs w:val="24"/>
        </w:rPr>
        <w:t>TDNPs 2</w:t>
      </w:r>
    </w:p>
    <w:tbl>
      <w:tblPr>
        <w:tblW w:w="9576" w:type="dxa"/>
        <w:tblLayout w:type="fixed"/>
        <w:tblLook w:val="04A0" w:firstRow="1" w:lastRow="0" w:firstColumn="1" w:lastColumn="0" w:noHBand="0" w:noVBand="1"/>
      </w:tblPr>
      <w:tblGrid>
        <w:gridCol w:w="3018"/>
        <w:gridCol w:w="6558"/>
      </w:tblGrid>
      <w:tr w:rsidR="00E31108">
        <w:trPr>
          <w:trHeight w:val="288"/>
        </w:trPr>
        <w:tc>
          <w:tcPr>
            <w:tcW w:w="3018" w:type="dxa"/>
            <w:tcBorders>
              <w:top w:val="single" w:sz="12" w:space="0" w:color="00B050"/>
              <w:left w:val="nil"/>
              <w:bottom w:val="single" w:sz="8" w:space="0" w:color="00B050"/>
              <w:right w:val="nil"/>
            </w:tcBorders>
            <w:shd w:val="clear" w:color="auto" w:fill="auto"/>
            <w:noWrap/>
            <w:vAlign w:val="center"/>
          </w:tcPr>
          <w:p w:rsidR="00E31108" w:rsidRDefault="00ED0183">
            <w:pPr>
              <w:spacing w:after="0" w:line="240" w:lineRule="auto"/>
              <w:rPr>
                <w:rFonts w:ascii="Times New Roman" w:eastAsia="宋体" w:hAnsi="Times New Roman" w:cs="Times New Roman"/>
                <w:b/>
                <w:color w:val="000000"/>
                <w:sz w:val="20"/>
                <w:szCs w:val="20"/>
              </w:rPr>
            </w:pPr>
            <w:r>
              <w:rPr>
                <w:rFonts w:ascii="Times New Roman" w:eastAsia="宋体" w:hAnsi="Times New Roman" w:cs="Times New Roman"/>
                <w:b/>
                <w:color w:val="000000"/>
                <w:sz w:val="20"/>
                <w:szCs w:val="20"/>
              </w:rPr>
              <w:t xml:space="preserve">Accession Number </w:t>
            </w:r>
          </w:p>
        </w:tc>
        <w:tc>
          <w:tcPr>
            <w:tcW w:w="6558" w:type="dxa"/>
            <w:tcBorders>
              <w:top w:val="single" w:sz="12" w:space="0" w:color="00B050"/>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b/>
                <w:color w:val="000000"/>
                <w:sz w:val="20"/>
                <w:szCs w:val="20"/>
              </w:rPr>
            </w:pPr>
            <w:r>
              <w:rPr>
                <w:rFonts w:ascii="Times New Roman" w:eastAsia="宋体" w:hAnsi="Times New Roman" w:cs="Times New Roman"/>
                <w:b/>
                <w:color w:val="000000"/>
                <w:sz w:val="20"/>
                <w:szCs w:val="20"/>
              </w:rPr>
              <w:t>Protein description</w:t>
            </w:r>
          </w:p>
        </w:tc>
      </w:tr>
      <w:tr w:rsidR="00E31108">
        <w:trPr>
          <w:trHeight w:val="288"/>
        </w:trPr>
        <w:tc>
          <w:tcPr>
            <w:tcW w:w="3018" w:type="dxa"/>
            <w:tcBorders>
              <w:top w:val="single" w:sz="8" w:space="0" w:color="00B050"/>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M0TZH4</w:t>
            </w:r>
          </w:p>
        </w:tc>
        <w:tc>
          <w:tcPr>
            <w:tcW w:w="6558" w:type="dxa"/>
            <w:tcBorders>
              <w:top w:val="single" w:sz="8" w:space="0" w:color="00B050"/>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Aldose 1-epimerase</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Q9TMQ7</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ATP synthase subunit beta</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Q71N21</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Calmodulin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M0SHJ9</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Elongation factor Tu</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M0TWS5</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Glyceraldehyde-3-phosphate dehydrogenase</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M0RX74</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Glycylpeptide N-tetradecanoyltransferase</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M0T172</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Kinesin-like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M0RXX8</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Lon protease homolog 2, peroxisomal</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I1UDC5</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Maturase K</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M0SWG6</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Potassium transporter</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P82474</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Zingipain-2</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M0SA77</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M0TGC0</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M0SJG2</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M0RI40</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M0SGD4</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M0U3E2</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M0RJ46</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M0U305</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M0SDI3</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M0SNA3</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M0T1Z5</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M0RQI8</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M0SFW9</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M0RIC7</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M0U6P0</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M0SI17</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M0RZR7</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M0U2R3</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M0TQE9</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M0S453</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M0TTH7</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M0RIV7</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M0RY13</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M0TY03</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M0SQ97</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M0TVP4</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M0T6H9</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M0SMY9</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M0TN73</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M0UCD7</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M0RHX8</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lastRenderedPageBreak/>
              <w:t>M0TZJ0</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M0SGB7</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宋体" w:hAnsi="Times New Roman" w:cs="Times New Roman"/>
                <w:color w:val="000000"/>
                <w:sz w:val="20"/>
                <w:szCs w:val="20"/>
              </w:rPr>
            </w:pPr>
            <w:r>
              <w:rPr>
                <w:rFonts w:ascii="Times New Roman" w:eastAsia="宋体" w:hAnsi="Times New Roman" w:cs="Times New Roman"/>
                <w:color w:val="000000"/>
                <w:sz w:val="20"/>
                <w:szCs w:val="20"/>
              </w:rPr>
              <w:t>Uncharacterized protein</w:t>
            </w:r>
          </w:p>
        </w:tc>
      </w:tr>
      <w:tr w:rsidR="00E31108">
        <w:trPr>
          <w:trHeight w:val="288"/>
        </w:trPr>
        <w:tc>
          <w:tcPr>
            <w:tcW w:w="301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M0S7A6</w:t>
            </w:r>
          </w:p>
        </w:tc>
        <w:tc>
          <w:tcPr>
            <w:tcW w:w="6558" w:type="dxa"/>
            <w:tcBorders>
              <w:top w:val="nil"/>
              <w:left w:val="nil"/>
              <w:bottom w:val="nil"/>
              <w:right w:val="nil"/>
            </w:tcBorders>
            <w:shd w:val="clear" w:color="auto" w:fill="auto"/>
            <w:noWrap/>
            <w:vAlign w:val="center"/>
          </w:tcPr>
          <w:p w:rsidR="00E31108" w:rsidRDefault="00ED018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Uncharacterized protein</w:t>
            </w:r>
          </w:p>
        </w:tc>
      </w:tr>
      <w:tr w:rsidR="00E31108">
        <w:trPr>
          <w:trHeight w:val="288"/>
        </w:trPr>
        <w:tc>
          <w:tcPr>
            <w:tcW w:w="3018" w:type="dxa"/>
            <w:tcBorders>
              <w:top w:val="nil"/>
              <w:left w:val="nil"/>
              <w:bottom w:val="single" w:sz="12" w:space="0" w:color="00B050"/>
              <w:right w:val="nil"/>
            </w:tcBorders>
            <w:shd w:val="clear" w:color="auto" w:fill="auto"/>
            <w:noWrap/>
            <w:vAlign w:val="center"/>
          </w:tcPr>
          <w:p w:rsidR="00E31108" w:rsidRDefault="00ED018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M0TX22</w:t>
            </w:r>
          </w:p>
        </w:tc>
        <w:tc>
          <w:tcPr>
            <w:tcW w:w="6558" w:type="dxa"/>
            <w:tcBorders>
              <w:top w:val="nil"/>
              <w:left w:val="nil"/>
              <w:bottom w:val="single" w:sz="12" w:space="0" w:color="00B050"/>
              <w:right w:val="nil"/>
            </w:tcBorders>
            <w:shd w:val="clear" w:color="auto" w:fill="auto"/>
            <w:noWrap/>
            <w:vAlign w:val="center"/>
          </w:tcPr>
          <w:p w:rsidR="00E31108" w:rsidRDefault="00ED018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Uncharacterized protein</w:t>
            </w:r>
          </w:p>
        </w:tc>
      </w:tr>
    </w:tbl>
    <w:p w:rsidR="00E31108" w:rsidRDefault="00E31108"/>
    <w:p w:rsidR="005C1024" w:rsidRDefault="005C1024" w:rsidP="005C1024"/>
    <w:p w:rsidR="005C1024" w:rsidRDefault="005C1024" w:rsidP="005C1024"/>
    <w:p w:rsidR="005C1024" w:rsidRDefault="005C1024" w:rsidP="005C1024"/>
    <w:p w:rsidR="005C1024" w:rsidRDefault="005C1024" w:rsidP="005C1024"/>
    <w:p w:rsidR="005C1024" w:rsidRDefault="005C1024" w:rsidP="005C1024"/>
    <w:p w:rsidR="005C1024" w:rsidRDefault="005C1024" w:rsidP="005C1024"/>
    <w:p w:rsidR="005C1024" w:rsidRDefault="005C1024" w:rsidP="005C1024"/>
    <w:p w:rsidR="005C1024" w:rsidRDefault="005C1024" w:rsidP="005C1024"/>
    <w:p w:rsidR="005C1024" w:rsidRDefault="005C1024" w:rsidP="005C1024"/>
    <w:p w:rsidR="005C1024" w:rsidRDefault="005C1024" w:rsidP="005C1024"/>
    <w:p w:rsidR="005C1024" w:rsidRDefault="005C1024" w:rsidP="005C1024"/>
    <w:p w:rsidR="005C1024" w:rsidRDefault="005C1024" w:rsidP="005C1024"/>
    <w:p w:rsidR="005C1024" w:rsidRDefault="005C1024" w:rsidP="005C1024"/>
    <w:p w:rsidR="005C1024" w:rsidRDefault="005C1024" w:rsidP="005C1024"/>
    <w:p w:rsidR="005C1024" w:rsidRDefault="005C1024" w:rsidP="005C1024"/>
    <w:p w:rsidR="005C1024" w:rsidRDefault="005C1024" w:rsidP="005C1024"/>
    <w:p w:rsidR="005C1024" w:rsidRDefault="005C1024" w:rsidP="005C1024"/>
    <w:p w:rsidR="005C1024" w:rsidRDefault="005C1024" w:rsidP="005C1024"/>
    <w:p w:rsidR="005C1024" w:rsidRDefault="005C1024" w:rsidP="005C1024"/>
    <w:p w:rsidR="005C1024" w:rsidRDefault="005C1024" w:rsidP="005C1024"/>
    <w:p w:rsidR="005C1024" w:rsidRDefault="005C1024" w:rsidP="005C1024"/>
    <w:p w:rsidR="005C1024" w:rsidRDefault="005C1024" w:rsidP="005C1024"/>
    <w:p w:rsidR="00E31108" w:rsidRPr="005C1024" w:rsidRDefault="00ED0183" w:rsidP="005C1024">
      <w:r>
        <w:rPr>
          <w:rFonts w:ascii="Times New Roman" w:hAnsi="Times New Roman" w:cs="Times New Roman"/>
          <w:b/>
          <w:sz w:val="24"/>
          <w:szCs w:val="24"/>
        </w:rPr>
        <w:lastRenderedPageBreak/>
        <w:t>Table S3. Primers used for Real-time PCR.</w:t>
      </w:r>
    </w:p>
    <w:tbl>
      <w:tblPr>
        <w:tblStyle w:val="aa"/>
        <w:tblW w:w="9242" w:type="dxa"/>
        <w:tblLayout w:type="fixed"/>
        <w:tblLook w:val="04A0" w:firstRow="1" w:lastRow="0" w:firstColumn="1" w:lastColumn="0" w:noHBand="0" w:noVBand="1"/>
      </w:tblPr>
      <w:tblGrid>
        <w:gridCol w:w="1527"/>
        <w:gridCol w:w="3729"/>
        <w:gridCol w:w="3986"/>
      </w:tblGrid>
      <w:tr w:rsidR="00E31108">
        <w:tc>
          <w:tcPr>
            <w:tcW w:w="1527" w:type="dxa"/>
          </w:tcPr>
          <w:p w:rsidR="00E31108" w:rsidRDefault="00ED0183">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Gene name</w:t>
            </w:r>
          </w:p>
        </w:tc>
        <w:tc>
          <w:tcPr>
            <w:tcW w:w="3729" w:type="dxa"/>
          </w:tcPr>
          <w:p w:rsidR="00E31108" w:rsidRDefault="00ED0183">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Forward primer (5’-3’)</w:t>
            </w:r>
          </w:p>
        </w:tc>
        <w:tc>
          <w:tcPr>
            <w:tcW w:w="3986" w:type="dxa"/>
          </w:tcPr>
          <w:p w:rsidR="00E31108" w:rsidRDefault="00ED0183">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Reverse primer(5’-3’)</w:t>
            </w:r>
          </w:p>
        </w:tc>
      </w:tr>
      <w:tr w:rsidR="00E31108">
        <w:tc>
          <w:tcPr>
            <w:tcW w:w="1527" w:type="dxa"/>
          </w:tcPr>
          <w:p w:rsidR="00E31108" w:rsidRDefault="00ED0183">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TNF-</w:t>
            </w:r>
            <w:r>
              <w:rPr>
                <w:rFonts w:ascii="Times New Roman" w:hAnsi="Times New Roman" w:cs="Times New Roman"/>
                <w:b/>
                <w:sz w:val="21"/>
                <w:szCs w:val="21"/>
              </w:rPr>
              <w:sym w:font="Symbol" w:char="F061"/>
            </w:r>
          </w:p>
        </w:tc>
        <w:tc>
          <w:tcPr>
            <w:tcW w:w="3729" w:type="dxa"/>
          </w:tcPr>
          <w:p w:rsidR="00E31108" w:rsidRDefault="00ED0183">
            <w:pPr>
              <w:spacing w:after="0" w:line="240" w:lineRule="auto"/>
              <w:rPr>
                <w:rFonts w:ascii="Times New Roman" w:hAnsi="Times New Roman" w:cs="Times New Roman"/>
                <w:sz w:val="21"/>
                <w:szCs w:val="21"/>
              </w:rPr>
            </w:pPr>
            <w:r>
              <w:rPr>
                <w:rFonts w:ascii="Times New Roman" w:hAnsi="Times New Roman" w:cs="Times New Roman"/>
                <w:sz w:val="21"/>
                <w:szCs w:val="21"/>
              </w:rPr>
              <w:t>AGGCTGCCCCGACTACGT</w:t>
            </w:r>
          </w:p>
        </w:tc>
        <w:tc>
          <w:tcPr>
            <w:tcW w:w="3986" w:type="dxa"/>
          </w:tcPr>
          <w:p w:rsidR="00E31108" w:rsidRDefault="00ED0183">
            <w:pPr>
              <w:spacing w:after="0" w:line="240" w:lineRule="auto"/>
              <w:rPr>
                <w:rFonts w:ascii="Times New Roman" w:hAnsi="Times New Roman" w:cs="Times New Roman"/>
                <w:sz w:val="21"/>
                <w:szCs w:val="21"/>
              </w:rPr>
            </w:pPr>
            <w:r>
              <w:rPr>
                <w:rFonts w:ascii="Times New Roman" w:hAnsi="Times New Roman" w:cs="Times New Roman"/>
                <w:sz w:val="21"/>
                <w:szCs w:val="21"/>
              </w:rPr>
              <w:t>GACTTTCTCCTGGTATGAGATAGCAAA</w:t>
            </w:r>
          </w:p>
        </w:tc>
      </w:tr>
      <w:tr w:rsidR="00E31108">
        <w:tc>
          <w:tcPr>
            <w:tcW w:w="1527" w:type="dxa"/>
          </w:tcPr>
          <w:p w:rsidR="00E31108" w:rsidRDefault="00ED0183">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IL-6</w:t>
            </w:r>
          </w:p>
        </w:tc>
        <w:tc>
          <w:tcPr>
            <w:tcW w:w="3729" w:type="dxa"/>
          </w:tcPr>
          <w:p w:rsidR="00E31108" w:rsidRDefault="00ED0183">
            <w:pPr>
              <w:spacing w:after="0" w:line="240" w:lineRule="auto"/>
              <w:rPr>
                <w:rFonts w:ascii="Times New Roman" w:hAnsi="Times New Roman" w:cs="Times New Roman"/>
                <w:sz w:val="21"/>
                <w:szCs w:val="21"/>
              </w:rPr>
            </w:pPr>
            <w:r>
              <w:rPr>
                <w:rFonts w:ascii="Times New Roman" w:hAnsi="Times New Roman" w:cs="Times New Roman"/>
                <w:sz w:val="21"/>
                <w:szCs w:val="21"/>
              </w:rPr>
              <w:t>ACAAGTCGGAGGCTTAATTACACAT</w:t>
            </w:r>
          </w:p>
        </w:tc>
        <w:tc>
          <w:tcPr>
            <w:tcW w:w="3986" w:type="dxa"/>
          </w:tcPr>
          <w:p w:rsidR="00E31108" w:rsidRDefault="00ED0183">
            <w:pPr>
              <w:spacing w:after="0" w:line="240" w:lineRule="auto"/>
              <w:rPr>
                <w:rFonts w:ascii="Times New Roman" w:hAnsi="Times New Roman" w:cs="Times New Roman"/>
                <w:sz w:val="21"/>
                <w:szCs w:val="21"/>
              </w:rPr>
            </w:pPr>
            <w:r>
              <w:rPr>
                <w:rFonts w:ascii="Times New Roman" w:hAnsi="Times New Roman" w:cs="Times New Roman"/>
                <w:sz w:val="21"/>
                <w:szCs w:val="21"/>
              </w:rPr>
              <w:t>TTGCCATTGCACAACTCTTTTC</w:t>
            </w:r>
          </w:p>
        </w:tc>
      </w:tr>
      <w:tr w:rsidR="00E31108">
        <w:tc>
          <w:tcPr>
            <w:tcW w:w="1527" w:type="dxa"/>
          </w:tcPr>
          <w:p w:rsidR="00E31108" w:rsidRDefault="00ED0183">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IL-1</w:t>
            </w:r>
            <w:r>
              <w:rPr>
                <w:rFonts w:ascii="Times New Roman" w:hAnsi="Times New Roman" w:cs="Times New Roman"/>
                <w:b/>
                <w:sz w:val="21"/>
                <w:szCs w:val="21"/>
              </w:rPr>
              <w:sym w:font="Symbol" w:char="F062"/>
            </w:r>
          </w:p>
        </w:tc>
        <w:tc>
          <w:tcPr>
            <w:tcW w:w="3729" w:type="dxa"/>
          </w:tcPr>
          <w:p w:rsidR="00E31108" w:rsidRDefault="00ED0183">
            <w:pPr>
              <w:spacing w:after="0" w:line="240" w:lineRule="auto"/>
              <w:rPr>
                <w:rFonts w:ascii="Times New Roman" w:hAnsi="Times New Roman" w:cs="Times New Roman"/>
                <w:sz w:val="21"/>
                <w:szCs w:val="21"/>
              </w:rPr>
            </w:pPr>
            <w:r>
              <w:rPr>
                <w:rFonts w:ascii="Times New Roman" w:hAnsi="Times New Roman" w:cs="Times New Roman"/>
                <w:sz w:val="21"/>
                <w:szCs w:val="21"/>
              </w:rPr>
              <w:t>TCGCTCAGGGTCACAAGAAA</w:t>
            </w:r>
          </w:p>
        </w:tc>
        <w:tc>
          <w:tcPr>
            <w:tcW w:w="3986" w:type="dxa"/>
          </w:tcPr>
          <w:p w:rsidR="00E31108" w:rsidRDefault="00ED0183">
            <w:pPr>
              <w:spacing w:after="0" w:line="240" w:lineRule="auto"/>
              <w:rPr>
                <w:rFonts w:ascii="Times New Roman" w:hAnsi="Times New Roman" w:cs="Times New Roman"/>
                <w:sz w:val="21"/>
                <w:szCs w:val="21"/>
              </w:rPr>
            </w:pPr>
            <w:r>
              <w:rPr>
                <w:rFonts w:ascii="Times New Roman" w:hAnsi="Times New Roman" w:cs="Times New Roman"/>
                <w:sz w:val="21"/>
                <w:szCs w:val="21"/>
              </w:rPr>
              <w:t>CATCAGAGGCAAGGAGGA AAA C</w:t>
            </w:r>
          </w:p>
        </w:tc>
      </w:tr>
      <w:tr w:rsidR="00E31108">
        <w:tc>
          <w:tcPr>
            <w:tcW w:w="1527" w:type="dxa"/>
          </w:tcPr>
          <w:p w:rsidR="00E31108" w:rsidRDefault="00ED0183">
            <w:pPr>
              <w:spacing w:after="0" w:line="240" w:lineRule="auto"/>
              <w:jc w:val="center"/>
              <w:rPr>
                <w:rFonts w:ascii="Times New Roman" w:hAnsi="Times New Roman" w:cs="Times New Roman"/>
                <w:b/>
                <w:sz w:val="21"/>
                <w:szCs w:val="21"/>
              </w:rPr>
            </w:pPr>
            <w:bookmarkStart w:id="3" w:name="OLE_LINK66"/>
            <w:bookmarkStart w:id="4" w:name="OLE_LINK67"/>
            <w:r>
              <w:rPr>
                <w:rFonts w:ascii="Times New Roman" w:hAnsi="Times New Roman" w:cs="Times New Roman"/>
                <w:b/>
                <w:sz w:val="21"/>
                <w:szCs w:val="21"/>
              </w:rPr>
              <w:t>HO-1</w:t>
            </w:r>
            <w:bookmarkEnd w:id="3"/>
            <w:bookmarkEnd w:id="4"/>
          </w:p>
        </w:tc>
        <w:tc>
          <w:tcPr>
            <w:tcW w:w="3729" w:type="dxa"/>
          </w:tcPr>
          <w:p w:rsidR="00E31108" w:rsidRDefault="00ED0183">
            <w:pPr>
              <w:spacing w:after="0" w:line="240" w:lineRule="auto"/>
              <w:rPr>
                <w:rFonts w:ascii="Times New Roman" w:hAnsi="Times New Roman" w:cs="Times New Roman"/>
                <w:sz w:val="21"/>
                <w:szCs w:val="21"/>
              </w:rPr>
            </w:pPr>
            <w:r>
              <w:rPr>
                <w:rFonts w:ascii="Times New Roman" w:hAnsi="Times New Roman" w:cs="Times New Roman"/>
                <w:sz w:val="21"/>
                <w:szCs w:val="21"/>
              </w:rPr>
              <w:t>ACGCATATACCCGCTACCTG </w:t>
            </w:r>
          </w:p>
        </w:tc>
        <w:tc>
          <w:tcPr>
            <w:tcW w:w="3986" w:type="dxa"/>
          </w:tcPr>
          <w:p w:rsidR="00E31108" w:rsidRDefault="00ED0183">
            <w:pPr>
              <w:spacing w:after="0" w:line="240" w:lineRule="auto"/>
              <w:rPr>
                <w:rFonts w:ascii="Times New Roman" w:hAnsi="Times New Roman" w:cs="Times New Roman"/>
                <w:sz w:val="21"/>
                <w:szCs w:val="21"/>
              </w:rPr>
            </w:pPr>
            <w:r>
              <w:rPr>
                <w:rFonts w:ascii="Times New Roman" w:hAnsi="Times New Roman" w:cs="Times New Roman"/>
                <w:sz w:val="21"/>
                <w:szCs w:val="21"/>
              </w:rPr>
              <w:t>CCAGAGTGTTCATTCGAGCA</w:t>
            </w:r>
          </w:p>
        </w:tc>
      </w:tr>
      <w:tr w:rsidR="00E31108">
        <w:tc>
          <w:tcPr>
            <w:tcW w:w="1527" w:type="dxa"/>
          </w:tcPr>
          <w:p w:rsidR="00E31108" w:rsidRDefault="00ED0183">
            <w:pPr>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36b4</w:t>
            </w:r>
          </w:p>
        </w:tc>
        <w:tc>
          <w:tcPr>
            <w:tcW w:w="3729" w:type="dxa"/>
          </w:tcPr>
          <w:p w:rsidR="00E31108" w:rsidRDefault="00ED0183">
            <w:pPr>
              <w:spacing w:after="0" w:line="240" w:lineRule="auto"/>
              <w:rPr>
                <w:rFonts w:ascii="Times New Roman" w:hAnsi="Times New Roman" w:cs="Times New Roman"/>
                <w:sz w:val="21"/>
                <w:szCs w:val="21"/>
              </w:rPr>
            </w:pPr>
            <w:r>
              <w:rPr>
                <w:rFonts w:ascii="Times New Roman" w:hAnsi="Times New Roman" w:cs="Times New Roman"/>
                <w:sz w:val="21"/>
                <w:szCs w:val="21"/>
              </w:rPr>
              <w:t>TCCAGGCTTTGGGCATCA</w:t>
            </w:r>
          </w:p>
        </w:tc>
        <w:tc>
          <w:tcPr>
            <w:tcW w:w="3986" w:type="dxa"/>
          </w:tcPr>
          <w:p w:rsidR="00E31108" w:rsidRDefault="00ED0183">
            <w:pPr>
              <w:spacing w:after="0" w:line="240" w:lineRule="auto"/>
              <w:rPr>
                <w:rFonts w:ascii="Times New Roman" w:hAnsi="Times New Roman" w:cs="Times New Roman"/>
                <w:sz w:val="21"/>
                <w:szCs w:val="21"/>
              </w:rPr>
            </w:pPr>
            <w:r>
              <w:rPr>
                <w:rFonts w:ascii="Times New Roman" w:hAnsi="Times New Roman" w:cs="Times New Roman"/>
                <w:sz w:val="21"/>
                <w:szCs w:val="21"/>
              </w:rPr>
              <w:t>CTTTATCAGCTGCACATCACTCAGA</w:t>
            </w:r>
          </w:p>
        </w:tc>
      </w:tr>
    </w:tbl>
    <w:p w:rsidR="00E31108" w:rsidRDefault="00E31108">
      <w:pPr>
        <w:rPr>
          <w:rFonts w:ascii="Times New Roman" w:hAnsi="Times New Roman" w:cs="Times New Roman"/>
        </w:rPr>
      </w:pPr>
    </w:p>
    <w:p w:rsidR="00E31108" w:rsidRDefault="00E31108">
      <w:pPr>
        <w:rPr>
          <w:rFonts w:ascii="Times New Roman" w:hAnsi="Times New Roman" w:cs="Times New Roman"/>
        </w:rPr>
      </w:pPr>
    </w:p>
    <w:p w:rsidR="00E31108" w:rsidRDefault="00E31108">
      <w:pPr>
        <w:rPr>
          <w:rFonts w:ascii="Times New Roman" w:hAnsi="Times New Roman" w:cs="Times New Roman"/>
        </w:rPr>
      </w:pPr>
    </w:p>
    <w:p w:rsidR="00E31108" w:rsidRDefault="00E31108">
      <w:pPr>
        <w:rPr>
          <w:rFonts w:ascii="Times New Roman" w:hAnsi="Times New Roman" w:cs="Times New Roman"/>
        </w:rPr>
      </w:pPr>
    </w:p>
    <w:p w:rsidR="00E31108" w:rsidRDefault="00E31108">
      <w:pPr>
        <w:rPr>
          <w:rFonts w:ascii="Times New Roman" w:hAnsi="Times New Roman" w:cs="Times New Roman"/>
          <w:sz w:val="24"/>
          <w:szCs w:val="24"/>
        </w:rPr>
      </w:pPr>
    </w:p>
    <w:sectPr w:rsidR="00E31108">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1CD5" w:rsidRDefault="00EB1CD5">
      <w:pPr>
        <w:spacing w:after="0" w:line="240" w:lineRule="auto"/>
      </w:pPr>
      <w:r>
        <w:separator/>
      </w:r>
    </w:p>
  </w:endnote>
  <w:endnote w:type="continuationSeparator" w:id="0">
    <w:p w:rsidR="00EB1CD5" w:rsidRDefault="00EB1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1927403"/>
    </w:sdtPr>
    <w:sdtEndPr>
      <w:rPr>
        <w:rFonts w:ascii="Times New Roman" w:hAnsi="Times New Roman" w:cs="Times New Roman"/>
      </w:rPr>
    </w:sdtEndPr>
    <w:sdtContent>
      <w:p w:rsidR="00E31108" w:rsidRDefault="00ED0183">
        <w:pPr>
          <w:pStyle w:val="a5"/>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12140A" w:rsidRPr="0012140A">
          <w:rPr>
            <w:rFonts w:ascii="Times New Roman" w:hAnsi="Times New Roman" w:cs="Times New Roman"/>
            <w:noProof/>
            <w:lang w:val="zh-CN"/>
          </w:rPr>
          <w:t>1</w:t>
        </w:r>
        <w:r>
          <w:rPr>
            <w:rFonts w:ascii="Times New Roman" w:hAnsi="Times New Roman" w:cs="Times New Roman"/>
            <w:lang w:val="zh-CN"/>
          </w:rPr>
          <w:fldChar w:fldCharType="end"/>
        </w:r>
      </w:p>
    </w:sdtContent>
  </w:sdt>
  <w:p w:rsidR="00E31108" w:rsidRDefault="00E3110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1CD5" w:rsidRDefault="00EB1CD5">
      <w:pPr>
        <w:spacing w:after="0" w:line="240" w:lineRule="auto"/>
      </w:pPr>
      <w:r>
        <w:separator/>
      </w:r>
    </w:p>
  </w:footnote>
  <w:footnote w:type="continuationSeparator" w:id="0">
    <w:p w:rsidR="00EB1CD5" w:rsidRDefault="00EB1C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6A40C77"/>
    <w:multiLevelType w:val="singleLevel"/>
    <w:tmpl w:val="86A40C77"/>
    <w:lvl w:ilvl="0">
      <w:start w:val="1"/>
      <w:numFmt w:val="decimal"/>
      <w:lvlText w:val="%1."/>
      <w:lvlJc w:val="left"/>
      <w:pPr>
        <w:ind w:left="425" w:hanging="425"/>
      </w:pPr>
      <w:rPr>
        <w:rFonts w:hint="default"/>
      </w:rPr>
    </w:lvl>
  </w:abstractNum>
  <w:abstractNum w:abstractNumId="1" w15:restartNumberingAfterBreak="0">
    <w:nsid w:val="72F31F84"/>
    <w:multiLevelType w:val="hybridMultilevel"/>
    <w:tmpl w:val="B49C7A7A"/>
    <w:lvl w:ilvl="0" w:tplc="0BA04536">
      <w:start w:val="1"/>
      <w:numFmt w:val="decimal"/>
      <w:lvlText w:val="%1."/>
      <w:lvlJc w:val="left"/>
      <w:pPr>
        <w:ind w:left="42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docVars>
    <w:docVar w:name="__Grammarly_42____i" w:val="H4sIAAAAAAAEAKtWckksSQxILCpxzi/NK1GyMqwFAAEhoTITAAAA"/>
    <w:docVar w:name="__Grammarly_42___1" w:val="H4sIAAAAAAAEAKtWcslP9kxRslIyNDYyNbG0NDY2szQ0Nrc0MTZX0lEKTi0uzszPAykwNK0FAIIe0iItAAAA"/>
  </w:docVars>
  <w:rsids>
    <w:rsidRoot w:val="00BD2A2D"/>
    <w:rsid w:val="00002294"/>
    <w:rsid w:val="00007F00"/>
    <w:rsid w:val="00043FE1"/>
    <w:rsid w:val="000562DF"/>
    <w:rsid w:val="0005707B"/>
    <w:rsid w:val="00057F3C"/>
    <w:rsid w:val="00080E15"/>
    <w:rsid w:val="000D2B57"/>
    <w:rsid w:val="000F48A5"/>
    <w:rsid w:val="00117067"/>
    <w:rsid w:val="0012140A"/>
    <w:rsid w:val="001C76DB"/>
    <w:rsid w:val="002A65D4"/>
    <w:rsid w:val="002E7FBA"/>
    <w:rsid w:val="00307E2E"/>
    <w:rsid w:val="00313F01"/>
    <w:rsid w:val="00351A01"/>
    <w:rsid w:val="0039339E"/>
    <w:rsid w:val="003A093D"/>
    <w:rsid w:val="003B7C15"/>
    <w:rsid w:val="003C70D3"/>
    <w:rsid w:val="003D1ED7"/>
    <w:rsid w:val="00402DC6"/>
    <w:rsid w:val="004072AC"/>
    <w:rsid w:val="00414826"/>
    <w:rsid w:val="00445DD3"/>
    <w:rsid w:val="0045494A"/>
    <w:rsid w:val="004576E2"/>
    <w:rsid w:val="00474026"/>
    <w:rsid w:val="004A574A"/>
    <w:rsid w:val="004C5789"/>
    <w:rsid w:val="00573767"/>
    <w:rsid w:val="005776EB"/>
    <w:rsid w:val="0059015C"/>
    <w:rsid w:val="005A5980"/>
    <w:rsid w:val="005C1024"/>
    <w:rsid w:val="005E1C2E"/>
    <w:rsid w:val="00612DCA"/>
    <w:rsid w:val="00614F1E"/>
    <w:rsid w:val="00620DC4"/>
    <w:rsid w:val="0063103D"/>
    <w:rsid w:val="00653EA1"/>
    <w:rsid w:val="00663B69"/>
    <w:rsid w:val="0067391E"/>
    <w:rsid w:val="006D2BD0"/>
    <w:rsid w:val="00726912"/>
    <w:rsid w:val="00732014"/>
    <w:rsid w:val="007B78C8"/>
    <w:rsid w:val="007D4DFD"/>
    <w:rsid w:val="008475B0"/>
    <w:rsid w:val="00885E8C"/>
    <w:rsid w:val="0088749C"/>
    <w:rsid w:val="008E0382"/>
    <w:rsid w:val="008E3EC2"/>
    <w:rsid w:val="009157A9"/>
    <w:rsid w:val="00921E32"/>
    <w:rsid w:val="00924D11"/>
    <w:rsid w:val="0093607B"/>
    <w:rsid w:val="009467FF"/>
    <w:rsid w:val="009A3272"/>
    <w:rsid w:val="009E5DFF"/>
    <w:rsid w:val="00A32CEF"/>
    <w:rsid w:val="00A53F61"/>
    <w:rsid w:val="00AB02F6"/>
    <w:rsid w:val="00AC294C"/>
    <w:rsid w:val="00AC6D17"/>
    <w:rsid w:val="00B063D0"/>
    <w:rsid w:val="00B067DE"/>
    <w:rsid w:val="00B06CE2"/>
    <w:rsid w:val="00B40C45"/>
    <w:rsid w:val="00B509C4"/>
    <w:rsid w:val="00B670D2"/>
    <w:rsid w:val="00B72207"/>
    <w:rsid w:val="00B976A2"/>
    <w:rsid w:val="00BB2406"/>
    <w:rsid w:val="00BD2A2D"/>
    <w:rsid w:val="00C53E6D"/>
    <w:rsid w:val="00C74A16"/>
    <w:rsid w:val="00CB0B9B"/>
    <w:rsid w:val="00CD5B5D"/>
    <w:rsid w:val="00D3002B"/>
    <w:rsid w:val="00D4096B"/>
    <w:rsid w:val="00D70C98"/>
    <w:rsid w:val="00D71852"/>
    <w:rsid w:val="00D73EF1"/>
    <w:rsid w:val="00DB1016"/>
    <w:rsid w:val="00DE41F4"/>
    <w:rsid w:val="00E31108"/>
    <w:rsid w:val="00E53116"/>
    <w:rsid w:val="00E6338D"/>
    <w:rsid w:val="00E7047A"/>
    <w:rsid w:val="00EB1CD5"/>
    <w:rsid w:val="00ED0183"/>
    <w:rsid w:val="00ED27AC"/>
    <w:rsid w:val="00EF3FE1"/>
    <w:rsid w:val="00F01030"/>
    <w:rsid w:val="00F364DA"/>
    <w:rsid w:val="00F431BE"/>
    <w:rsid w:val="00F930A1"/>
    <w:rsid w:val="00FA0B28"/>
    <w:rsid w:val="00FB2065"/>
    <w:rsid w:val="12D337E2"/>
    <w:rsid w:val="66086C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BDF17"/>
  <w15:docId w15:val="{EBB2C3C6-DDE0-444C-88A0-E52D90FE1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微软雅黑" w:eastAsia="微软雅黑"/>
      <w:sz w:val="18"/>
      <w:szCs w:val="18"/>
    </w:rPr>
  </w:style>
  <w:style w:type="paragraph" w:styleId="a5">
    <w:name w:val="footer"/>
    <w:basedOn w:val="a"/>
    <w:link w:val="a6"/>
    <w:uiPriority w:val="99"/>
    <w:unhideWhenUsed/>
    <w:pPr>
      <w:tabs>
        <w:tab w:val="center" w:pos="4680"/>
        <w:tab w:val="right" w:pos="9360"/>
      </w:tabs>
      <w:spacing w:after="0" w:line="240" w:lineRule="auto"/>
    </w:pPr>
  </w:style>
  <w:style w:type="paragraph" w:styleId="a7">
    <w:name w:val="header"/>
    <w:basedOn w:val="a"/>
    <w:link w:val="a8"/>
    <w:uiPriority w:val="99"/>
    <w:unhideWhenUsed/>
    <w:pPr>
      <w:tabs>
        <w:tab w:val="center" w:pos="4680"/>
        <w:tab w:val="right" w:pos="9360"/>
      </w:tabs>
      <w:spacing w:after="0" w:line="240" w:lineRule="auto"/>
    </w:pPr>
  </w:style>
  <w:style w:type="character" w:styleId="a9">
    <w:name w:val="Hyperlink"/>
    <w:basedOn w:val="a0"/>
    <w:uiPriority w:val="99"/>
    <w:unhideWhenUsed/>
    <w:rPr>
      <w:color w:val="0000FF" w:themeColor="hyperlink"/>
      <w:u w:val="single"/>
    </w:rPr>
  </w:style>
  <w:style w:type="table" w:styleId="aa">
    <w:name w:val="Table Grid"/>
    <w:basedOn w:val="a1"/>
    <w:uiPriority w:val="59"/>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style>
  <w:style w:type="character" w:customStyle="1" w:styleId="a6">
    <w:name w:val="页脚 字符"/>
    <w:basedOn w:val="a0"/>
    <w:link w:val="a5"/>
    <w:uiPriority w:val="99"/>
    <w:qFormat/>
  </w:style>
  <w:style w:type="character" w:customStyle="1" w:styleId="a4">
    <w:name w:val="批注框文本 字符"/>
    <w:basedOn w:val="a0"/>
    <w:link w:val="a3"/>
    <w:uiPriority w:val="99"/>
    <w:semiHidden/>
    <w:qFormat/>
    <w:rPr>
      <w:rFonts w:ascii="微软雅黑" w:eastAsia="微软雅黑"/>
      <w:sz w:val="18"/>
      <w:szCs w:val="18"/>
    </w:rPr>
  </w:style>
  <w:style w:type="paragraph" w:customStyle="1" w:styleId="Paragraph">
    <w:name w:val="Paragraph"/>
    <w:basedOn w:val="a"/>
    <w:qFormat/>
    <w:pPr>
      <w:spacing w:before="120" w:after="0" w:line="480" w:lineRule="auto"/>
      <w:ind w:firstLine="720"/>
    </w:pPr>
    <w:rPr>
      <w:rFonts w:ascii="Times New Roman" w:eastAsia="Times New Roman" w:hAnsi="Times New Roman" w:cs="Times New Roman"/>
      <w:b/>
      <w:sz w:val="24"/>
      <w:szCs w:val="24"/>
      <w:lang w:eastAsia="en-US"/>
    </w:rPr>
  </w:style>
  <w:style w:type="paragraph" w:styleId="ab">
    <w:name w:val="List Paragraph"/>
    <w:basedOn w:val="a"/>
    <w:uiPriority w:val="34"/>
    <w:qFormat/>
    <w:pPr>
      <w:widowControl w:val="0"/>
      <w:spacing w:after="0" w:line="240" w:lineRule="auto"/>
      <w:ind w:firstLineChars="200" w:firstLine="420"/>
      <w:jc w:val="both"/>
    </w:pPr>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882</TotalTime>
  <Pages>28</Pages>
  <Words>4532</Words>
  <Characters>25838</Characters>
  <Application>Microsoft Office Word</Application>
  <DocSecurity>0</DocSecurity>
  <Lines>215</Lines>
  <Paragraphs>60</Paragraphs>
  <ScaleCrop>false</ScaleCrop>
  <Company>Microsoft</Company>
  <LinksUpToDate>false</LinksUpToDate>
  <CharactersWithSpaces>30310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Mingzhen</dc:creator>
  <cp:lastModifiedBy>Mingzhen Zhang</cp:lastModifiedBy>
  <cp:revision>67</cp:revision>
  <dcterms:created xsi:type="dcterms:W3CDTF">2017-11-15T13:09:00Z</dcterms:created>
  <dcterms:modified xsi:type="dcterms:W3CDTF">2022-03-21T01:46:00Z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