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A512E" w14:textId="6F7C8A8E" w:rsidR="00182CAA" w:rsidRPr="00E42B84" w:rsidRDefault="00B252BC">
      <w:pPr>
        <w:spacing w:line="480" w:lineRule="auto"/>
        <w:rPr>
          <w:rFonts w:ascii="Times New Roman" w:eastAsia="楷体_GB2312" w:hAnsi="Times New Roman" w:cs="Times New Roman"/>
          <w:b/>
          <w:sz w:val="30"/>
          <w:szCs w:val="30"/>
        </w:rPr>
      </w:pPr>
      <w:r w:rsidRPr="00E42B84">
        <w:rPr>
          <w:rFonts w:ascii="Times New Roman" w:eastAsia="楷体_GB2312" w:hAnsi="Times New Roman" w:cs="Times New Roman"/>
          <w:b/>
          <w:sz w:val="30"/>
          <w:szCs w:val="30"/>
        </w:rPr>
        <w:t>Additional file 1</w:t>
      </w:r>
    </w:p>
    <w:p w14:paraId="13093931" w14:textId="77777777" w:rsidR="00182CAA" w:rsidRPr="00E42B84" w:rsidRDefault="00182CAA">
      <w:pPr>
        <w:tabs>
          <w:tab w:val="left" w:pos="2780"/>
        </w:tabs>
        <w:adjustRightInd w:val="0"/>
        <w:snapToGrid w:val="0"/>
        <w:spacing w:line="480" w:lineRule="auto"/>
        <w:rPr>
          <w:rFonts w:ascii="Times New Roman" w:eastAsia="宋体" w:hAnsi="Times New Roman" w:cs="Times New Roman"/>
          <w:b/>
          <w:bCs/>
          <w:color w:val="000000" w:themeColor="text1"/>
          <w:sz w:val="24"/>
        </w:rPr>
      </w:pPr>
    </w:p>
    <w:p w14:paraId="63E3BA6E" w14:textId="77777777" w:rsidR="00182CAA" w:rsidRPr="00E42B84" w:rsidRDefault="00492392">
      <w:pPr>
        <w:spacing w:line="480" w:lineRule="auto"/>
        <w:ind w:left="1"/>
        <w:jc w:val="center"/>
        <w:textAlignment w:val="baseline"/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</w:pPr>
      <w:bookmarkStart w:id="0" w:name="_Hlk93482279"/>
      <w:r w:rsidRPr="00E42B84"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  <w:t>Biomimetic doxorubicin/ginsenoside co-loading nano</w:t>
      </w:r>
      <w:r w:rsidRPr="00E42B84">
        <w:rPr>
          <w:rFonts w:ascii="Times New Roman" w:eastAsia="楷体_GB2312" w:hAnsi="Times New Roman" w:cs="Times New Roman" w:hint="eastAsia"/>
          <w:snapToGrid w:val="0"/>
          <w:kern w:val="0"/>
          <w:sz w:val="30"/>
          <w:szCs w:val="30"/>
        </w:rPr>
        <w:t>system</w:t>
      </w:r>
      <w:r w:rsidRPr="00E42B84"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  <w:t xml:space="preserve"> for chemoimmunotherapy of acute myeloid leukemia</w:t>
      </w:r>
    </w:p>
    <w:p w14:paraId="3273FF8E" w14:textId="77777777" w:rsidR="00182CAA" w:rsidRPr="00E42B84" w:rsidRDefault="00182CAA">
      <w:pPr>
        <w:spacing w:line="480" w:lineRule="auto"/>
        <w:ind w:left="1"/>
        <w:jc w:val="center"/>
        <w:textAlignment w:val="baseline"/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</w:pPr>
    </w:p>
    <w:bookmarkEnd w:id="0"/>
    <w:p w14:paraId="271FAC26" w14:textId="77777777" w:rsidR="00182CAA" w:rsidRPr="00E42B84" w:rsidRDefault="00492392">
      <w:pPr>
        <w:tabs>
          <w:tab w:val="left" w:pos="2780"/>
        </w:tabs>
        <w:adjustRightInd w:val="0"/>
        <w:snapToGrid w:val="0"/>
        <w:spacing w:after="160" w:line="360" w:lineRule="auto"/>
        <w:jc w:val="center"/>
        <w:rPr>
          <w:rFonts w:ascii="Times New Roman" w:hAnsi="Times New Roman" w:cs="Times New Roman"/>
          <w:sz w:val="24"/>
        </w:rPr>
      </w:pP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Mo Chen</w:t>
      </w:r>
      <w:r w:rsidRPr="00E42B84">
        <w:rPr>
          <w:rFonts w:ascii="Times New Roman" w:hAnsi="Times New Roman" w:cs="Times New Roman"/>
          <w:sz w:val="24"/>
          <w:vertAlign w:val="superscript"/>
        </w:rPr>
        <w:t>a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, Yingyu Qiao</w:t>
      </w:r>
      <w:r w:rsidRPr="00E42B84">
        <w:rPr>
          <w:rFonts w:ascii="Times New Roman" w:hAnsi="Times New Roman" w:cs="Times New Roman"/>
          <w:sz w:val="24"/>
          <w:vertAlign w:val="superscript"/>
        </w:rPr>
        <w:t>a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, Jie Cao</w:t>
      </w:r>
      <w:r w:rsidRPr="00E42B84">
        <w:rPr>
          <w:rFonts w:ascii="Times New Roman" w:hAnsi="Times New Roman" w:cs="Times New Roman"/>
          <w:sz w:val="24"/>
          <w:vertAlign w:val="superscript"/>
        </w:rPr>
        <w:t>a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, La Ta</w:t>
      </w:r>
      <w:r w:rsidRPr="00E42B84">
        <w:rPr>
          <w:rFonts w:ascii="Times New Roman" w:hAnsi="Times New Roman" w:cs="Times New Roman"/>
          <w:sz w:val="24"/>
          <w:vertAlign w:val="superscript"/>
        </w:rPr>
        <w:t>a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, Tianyuan Ci</w:t>
      </w:r>
      <w:r w:rsidRPr="00E42B84">
        <w:rPr>
          <w:rFonts w:ascii="Times New Roman" w:hAnsi="Times New Roman" w:cs="Times New Roman"/>
          <w:sz w:val="24"/>
          <w:vertAlign w:val="superscript"/>
        </w:rPr>
        <w:t>b,</w:t>
      </w:r>
      <w:r w:rsidRPr="00E42B84">
        <w:rPr>
          <w:rFonts w:ascii="Times New Roman" w:hAnsi="Times New Roman" w:cs="Times New Roman" w:hint="eastAsia"/>
          <w:sz w:val="24"/>
        </w:rPr>
        <w:t>*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, Xue Ke</w:t>
      </w:r>
      <w:r w:rsidRPr="00E42B84">
        <w:rPr>
          <w:rFonts w:ascii="Times New Roman" w:hAnsi="Times New Roman" w:cs="Times New Roman"/>
          <w:sz w:val="24"/>
          <w:vertAlign w:val="superscript"/>
        </w:rPr>
        <w:t>a,</w:t>
      </w:r>
      <w:r w:rsidRPr="00E42B84">
        <w:rPr>
          <w:rFonts w:ascii="Times New Roman" w:hAnsi="Times New Roman" w:cs="Times New Roman" w:hint="eastAsia"/>
          <w:sz w:val="24"/>
        </w:rPr>
        <w:t>*</w:t>
      </w:r>
    </w:p>
    <w:p w14:paraId="051C052D" w14:textId="77777777" w:rsidR="00182CAA" w:rsidRPr="00E42B84" w:rsidRDefault="0049239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42B84">
        <w:rPr>
          <w:rFonts w:ascii="Times New Roman" w:hAnsi="Times New Roman" w:cs="Times New Roman"/>
          <w:sz w:val="24"/>
          <w:vertAlign w:val="superscript"/>
        </w:rPr>
        <w:t>a</w:t>
      </w:r>
      <w:r w:rsidRPr="00E42B84">
        <w:rPr>
          <w:rFonts w:ascii="Times New Roman" w:hAnsi="Times New Roman" w:cs="Times New Roman"/>
          <w:sz w:val="24"/>
        </w:rPr>
        <w:t>Department of Pharmaceutics, China Pharmaceutical University, Nanjing, Jiangsu province, 210009, China</w:t>
      </w:r>
    </w:p>
    <w:p w14:paraId="1EFF3AE2" w14:textId="77777777" w:rsidR="00182CAA" w:rsidRPr="00E42B84" w:rsidRDefault="00492392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E42B84">
        <w:rPr>
          <w:rFonts w:ascii="Times New Roman" w:hAnsi="Times New Roman" w:cs="Times New Roman"/>
          <w:sz w:val="24"/>
          <w:vertAlign w:val="superscript"/>
        </w:rPr>
        <w:t>b</w:t>
      </w:r>
      <w:r w:rsidRPr="00E42B84">
        <w:rPr>
          <w:rFonts w:ascii="Times New Roman" w:hAnsi="Times New Roman" w:cs="Times New Roman"/>
          <w:sz w:val="24"/>
        </w:rPr>
        <w:t>Department of Pharmaceutical Sciences, Shanghai University of Traditional Chinese Medicine, Shanghai, 201203, China</w:t>
      </w:r>
    </w:p>
    <w:p w14:paraId="4082B808" w14:textId="77777777" w:rsidR="00182CAA" w:rsidRPr="00E42B84" w:rsidRDefault="00182CAA">
      <w:pPr>
        <w:spacing w:line="480" w:lineRule="auto"/>
        <w:ind w:left="1"/>
        <w:jc w:val="center"/>
        <w:textAlignment w:val="baseline"/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</w:pPr>
    </w:p>
    <w:p w14:paraId="71DAF321" w14:textId="77777777" w:rsidR="00182CAA" w:rsidRPr="00E42B84" w:rsidRDefault="00492392">
      <w:pPr>
        <w:spacing w:line="360" w:lineRule="auto"/>
        <w:textAlignment w:val="baseline"/>
        <w:rPr>
          <w:rFonts w:ascii="Times New Roman" w:eastAsia="楷体_GB2312" w:hAnsi="Times New Roman" w:cs="Times New Roman"/>
          <w:kern w:val="0"/>
          <w:sz w:val="30"/>
          <w:szCs w:val="30"/>
        </w:rPr>
      </w:pPr>
      <w:r w:rsidRPr="00E42B84">
        <w:rPr>
          <w:rFonts w:ascii="Times New Roman" w:eastAsia="楷体_GB2312" w:hAnsi="Times New Roman" w:cs="Times New Roman"/>
          <w:kern w:val="0"/>
          <w:sz w:val="30"/>
          <w:szCs w:val="30"/>
        </w:rPr>
        <w:t>Corresponding author:</w:t>
      </w:r>
    </w:p>
    <w:p w14:paraId="77AE2C3A" w14:textId="77777777" w:rsidR="00182CAA" w:rsidRPr="00E42B84" w:rsidRDefault="00492392">
      <w:pPr>
        <w:spacing w:line="360" w:lineRule="auto"/>
        <w:rPr>
          <w:rFonts w:ascii="Times New Roman" w:hAnsi="Times New Roman" w:cs="Times New Roman"/>
          <w:sz w:val="24"/>
        </w:rPr>
      </w:pPr>
      <w:r w:rsidRPr="00E42B84">
        <w:rPr>
          <w:rFonts w:ascii="Times New Roman" w:hAnsi="Times New Roman" w:cs="Times New Roman"/>
          <w:sz w:val="24"/>
        </w:rPr>
        <w:t xml:space="preserve">Corresponding authors: 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Xue Ke</w:t>
      </w:r>
      <w:r w:rsidRPr="00E42B84">
        <w:rPr>
          <w:rFonts w:ascii="Times New Roman" w:hAnsi="Times New Roman" w:cs="Times New Roman"/>
          <w:sz w:val="24"/>
        </w:rPr>
        <w:t xml:space="preserve">* </w:t>
      </w:r>
    </w:p>
    <w:p w14:paraId="6FE394FE" w14:textId="77777777" w:rsidR="00182CAA" w:rsidRPr="00E42B84" w:rsidRDefault="00492392">
      <w:pPr>
        <w:spacing w:line="360" w:lineRule="auto"/>
        <w:rPr>
          <w:rFonts w:ascii="Times New Roman" w:eastAsia="楷体_GB2312" w:hAnsi="Times New Roman" w:cs="Times New Roman"/>
          <w:sz w:val="24"/>
        </w:rPr>
      </w:pPr>
      <w:r w:rsidRPr="00E42B84">
        <w:rPr>
          <w:rFonts w:ascii="Times New Roman" w:eastAsia="楷体_GB2312" w:hAnsi="Times New Roman" w:cs="Times New Roman"/>
          <w:sz w:val="24"/>
        </w:rPr>
        <w:t>Mailing address: China Pharmaceutical University, Xuanwumen Campus, No.24, Tongjiaxiang, Gulou District, Nanjing, 210009, China</w:t>
      </w:r>
    </w:p>
    <w:p w14:paraId="08D7D215" w14:textId="77777777" w:rsidR="00182CAA" w:rsidRPr="00E42B84" w:rsidRDefault="00492392">
      <w:pPr>
        <w:spacing w:line="360" w:lineRule="auto"/>
        <w:rPr>
          <w:rFonts w:ascii="Times New Roman" w:hAnsi="Times New Roman" w:cs="Times New Roman"/>
          <w:sz w:val="24"/>
        </w:rPr>
      </w:pPr>
      <w:r w:rsidRPr="00E42B84">
        <w:rPr>
          <w:rFonts w:ascii="Times New Roman" w:eastAsia="楷体_GB2312" w:hAnsi="Times New Roman" w:cs="Times New Roman"/>
          <w:sz w:val="24"/>
        </w:rPr>
        <w:t xml:space="preserve">E-mail: </w:t>
      </w:r>
      <w:hyperlink r:id="rId7" w:history="1">
        <w:r w:rsidRPr="00E42B84">
          <w:rPr>
            <w:rFonts w:ascii="Times New Roman" w:hAnsi="Times New Roman" w:cs="Times New Roman"/>
            <w:color w:val="0000FF"/>
            <w:sz w:val="24"/>
            <w:u w:val="single"/>
          </w:rPr>
          <w:t>kexue1973@vip.sina.com</w:t>
        </w:r>
      </w:hyperlink>
    </w:p>
    <w:p w14:paraId="5AA32234" w14:textId="77777777" w:rsidR="00182CAA" w:rsidRPr="00E42B84" w:rsidRDefault="00492392">
      <w:pPr>
        <w:spacing w:line="360" w:lineRule="auto"/>
        <w:rPr>
          <w:rFonts w:ascii="Times New Roman" w:hAnsi="Times New Roman" w:cs="Times New Roman"/>
          <w:sz w:val="24"/>
        </w:rPr>
      </w:pPr>
      <w:r w:rsidRPr="00E42B84">
        <w:rPr>
          <w:rFonts w:ascii="Times New Roman" w:hAnsi="Times New Roman" w:cs="Times New Roman"/>
          <w:sz w:val="24"/>
        </w:rPr>
        <w:t xml:space="preserve">Corresponding authors: 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Tianyuan</w:t>
      </w:r>
      <w:r w:rsidRPr="00E42B84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E42B84">
        <w:rPr>
          <w:rFonts w:ascii="Times New Roman" w:eastAsia="宋体" w:hAnsi="Times New Roman" w:cs="Times New Roman" w:hint="eastAsia"/>
          <w:color w:val="000000" w:themeColor="text1"/>
          <w:sz w:val="24"/>
        </w:rPr>
        <w:t>Ci</w:t>
      </w:r>
      <w:r w:rsidRPr="00E42B84">
        <w:rPr>
          <w:rFonts w:ascii="Times New Roman" w:hAnsi="Times New Roman" w:cs="Times New Roman"/>
          <w:sz w:val="24"/>
        </w:rPr>
        <w:t>*</w:t>
      </w:r>
    </w:p>
    <w:p w14:paraId="3F641608" w14:textId="77777777" w:rsidR="00182CAA" w:rsidRPr="00E42B84" w:rsidRDefault="00492392">
      <w:pPr>
        <w:spacing w:line="360" w:lineRule="auto"/>
        <w:rPr>
          <w:rFonts w:ascii="Times New Roman" w:eastAsia="楷体_GB2312" w:hAnsi="Times New Roman" w:cs="Times New Roman"/>
          <w:sz w:val="24"/>
        </w:rPr>
      </w:pPr>
      <w:r w:rsidRPr="00E42B84">
        <w:rPr>
          <w:rFonts w:ascii="Times New Roman" w:eastAsia="楷体_GB2312" w:hAnsi="Times New Roman" w:cs="Times New Roman"/>
          <w:sz w:val="24"/>
        </w:rPr>
        <w:t xml:space="preserve">Mailing address: </w:t>
      </w:r>
      <w:r w:rsidRPr="00E42B84">
        <w:rPr>
          <w:rFonts w:ascii="Times New Roman" w:hAnsi="Times New Roman" w:cs="Times New Roman"/>
          <w:sz w:val="24"/>
        </w:rPr>
        <w:t>Shanghai University of Traditional Chinese Medicine, Shanghai, 201203, China</w:t>
      </w:r>
    </w:p>
    <w:p w14:paraId="7DAE1562" w14:textId="77777777" w:rsidR="00182CAA" w:rsidRPr="00E42B84" w:rsidRDefault="00492392">
      <w:pPr>
        <w:spacing w:line="360" w:lineRule="auto"/>
        <w:rPr>
          <w:rFonts w:ascii="Times New Roman" w:eastAsia="楷体_GB2312" w:hAnsi="Times New Roman" w:cs="Times New Roman"/>
          <w:sz w:val="24"/>
        </w:rPr>
      </w:pPr>
      <w:r w:rsidRPr="00E42B84">
        <w:rPr>
          <w:rFonts w:ascii="Times New Roman" w:eastAsia="楷体_GB2312" w:hAnsi="Times New Roman" w:cs="Times New Roman"/>
          <w:sz w:val="24"/>
        </w:rPr>
        <w:t xml:space="preserve">Tel: </w:t>
      </w:r>
      <w:r w:rsidRPr="00E42B84">
        <w:rPr>
          <w:rFonts w:ascii="Times New Roman" w:hAnsi="Times New Roman"/>
          <w:sz w:val="24"/>
        </w:rPr>
        <w:t>+86-21-51322197</w:t>
      </w:r>
    </w:p>
    <w:p w14:paraId="1A7740B2" w14:textId="77777777" w:rsidR="00182CAA" w:rsidRPr="00E42B84" w:rsidRDefault="00492392">
      <w:pPr>
        <w:spacing w:line="360" w:lineRule="auto"/>
        <w:rPr>
          <w:rFonts w:ascii="Times New Roman" w:hAnsi="Times New Roman" w:cs="Times New Roman"/>
          <w:color w:val="0000FF"/>
          <w:sz w:val="24"/>
          <w:u w:val="single"/>
        </w:rPr>
      </w:pPr>
      <w:r w:rsidRPr="00E42B84">
        <w:rPr>
          <w:rFonts w:ascii="Times New Roman" w:eastAsia="楷体_GB2312" w:hAnsi="Times New Roman" w:cs="Times New Roman"/>
          <w:sz w:val="24"/>
        </w:rPr>
        <w:t>E-mail:</w:t>
      </w:r>
      <w:r w:rsidRPr="00E42B84">
        <w:rPr>
          <w:rFonts w:ascii="Times New Roman" w:hAnsi="Times New Roman" w:cs="Times New Roman"/>
          <w:sz w:val="24"/>
        </w:rPr>
        <w:t xml:space="preserve"> </w:t>
      </w:r>
      <w:hyperlink r:id="rId8" w:history="1">
        <w:r w:rsidRPr="00E42B84">
          <w:rPr>
            <w:rFonts w:ascii="Times New Roman" w:hAnsi="Times New Roman" w:cs="Times New Roman"/>
            <w:color w:val="0000FF"/>
            <w:sz w:val="24"/>
            <w:u w:val="single"/>
          </w:rPr>
          <w:t>citianyuan_cpu@163.com</w:t>
        </w:r>
      </w:hyperlink>
    </w:p>
    <w:p w14:paraId="6BF9BC4F" w14:textId="77777777" w:rsidR="00182CAA" w:rsidRPr="00E42B84" w:rsidRDefault="00182CAA">
      <w:pPr>
        <w:spacing w:line="480" w:lineRule="auto"/>
        <w:ind w:left="1"/>
        <w:jc w:val="center"/>
        <w:textAlignment w:val="baseline"/>
        <w:rPr>
          <w:rFonts w:ascii="Times New Roman" w:eastAsia="楷体_GB2312" w:hAnsi="Times New Roman" w:cs="Times New Roman"/>
          <w:snapToGrid w:val="0"/>
          <w:kern w:val="0"/>
          <w:sz w:val="30"/>
          <w:szCs w:val="30"/>
        </w:rPr>
      </w:pPr>
    </w:p>
    <w:p w14:paraId="66BA261F" w14:textId="77777777" w:rsidR="00182CAA" w:rsidRPr="00E42B84" w:rsidRDefault="00182CAA">
      <w:pPr>
        <w:tabs>
          <w:tab w:val="left" w:pos="2780"/>
        </w:tabs>
        <w:adjustRightInd w:val="0"/>
        <w:snapToGrid w:val="0"/>
        <w:spacing w:after="160" w:line="480" w:lineRule="auto"/>
        <w:jc w:val="center"/>
        <w:rPr>
          <w:rFonts w:ascii="Times New Roman" w:hAnsi="Times New Roman" w:cs="Times New Roman"/>
          <w:sz w:val="24"/>
        </w:rPr>
      </w:pPr>
    </w:p>
    <w:p w14:paraId="0E55642F" w14:textId="77777777" w:rsidR="00182CAA" w:rsidRPr="00E42B84" w:rsidRDefault="00182CAA">
      <w:pPr>
        <w:tabs>
          <w:tab w:val="left" w:pos="2780"/>
        </w:tabs>
        <w:adjustRightInd w:val="0"/>
        <w:snapToGrid w:val="0"/>
        <w:spacing w:after="160" w:line="480" w:lineRule="auto"/>
        <w:jc w:val="center"/>
        <w:rPr>
          <w:rFonts w:ascii="Times New Roman" w:hAnsi="Times New Roman" w:cs="Times New Roman"/>
          <w:sz w:val="24"/>
        </w:rPr>
      </w:pPr>
    </w:p>
    <w:p w14:paraId="7CF10848" w14:textId="77777777" w:rsidR="00182CAA" w:rsidRPr="00E42B84" w:rsidRDefault="00182CAA">
      <w:pPr>
        <w:tabs>
          <w:tab w:val="left" w:pos="2780"/>
        </w:tabs>
        <w:adjustRightInd w:val="0"/>
        <w:snapToGrid w:val="0"/>
        <w:spacing w:after="160" w:line="480" w:lineRule="auto"/>
        <w:jc w:val="center"/>
        <w:rPr>
          <w:rFonts w:ascii="Times New Roman" w:hAnsi="Times New Roman" w:cs="Times New Roman"/>
          <w:sz w:val="24"/>
        </w:rPr>
      </w:pPr>
    </w:p>
    <w:p w14:paraId="45D7AE9D" w14:textId="77777777" w:rsidR="00182CAA" w:rsidRPr="00E42B84" w:rsidRDefault="00492392">
      <w:pPr>
        <w:widowControl/>
        <w:spacing w:line="480" w:lineRule="auto"/>
        <w:jc w:val="left"/>
        <w:rPr>
          <w:b/>
          <w:sz w:val="28"/>
          <w:szCs w:val="28"/>
        </w:rPr>
      </w:pPr>
      <w:r w:rsidRPr="00E42B84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lastRenderedPageBreak/>
        <w:t>This word file includes:</w:t>
      </w:r>
    </w:p>
    <w:p w14:paraId="7E528BA2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1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. Size distribution and PDI changes of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</w:p>
    <w:p w14:paraId="3FC3B472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2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.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Statistical analysis of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c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ellular uptake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of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and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</w:p>
    <w:p w14:paraId="51EE5726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3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  <w:r w:rsidRPr="00E42B84">
        <w:rPr>
          <w:rFonts w:ascii="Times New Roman" w:eastAsia="宋体" w:hAnsi="Times New Roman" w:cs="Times New Roman"/>
          <w:bCs/>
          <w:i/>
          <w:iCs/>
          <w:color w:val="000000"/>
          <w:sz w:val="24"/>
        </w:rPr>
        <w:t xml:space="preserve"> In vitro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drug release of free DOX and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</w:p>
    <w:p w14:paraId="3F922F8F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4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 </w:t>
      </w:r>
      <w:r w:rsidRPr="00E42B84">
        <w:rPr>
          <w:rFonts w:ascii="Times New Roman" w:eastAsia="宋体" w:hAnsi="Times New Roman" w:cs="Times New Roman" w:hint="eastAsia"/>
          <w:bCs/>
          <w:i/>
          <w:iCs/>
          <w:color w:val="000000"/>
          <w:sz w:val="24"/>
        </w:rPr>
        <w:t xml:space="preserve">In vitro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Rg3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 release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from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 DR@PLip.</w:t>
      </w:r>
    </w:p>
    <w:p w14:paraId="66376A39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5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 Cytotoxicity of R@Lip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>in C1498 cell line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.</w:t>
      </w:r>
    </w:p>
    <w:p w14:paraId="76F2EE69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6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. Plasma concentration-time curves of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DR@Lip and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</w:p>
    <w:p w14:paraId="60B12CF3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7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 Statistical analysis of T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bscript"/>
        </w:rPr>
        <w:t xml:space="preserve">1/2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and </w:t>
      </w:r>
      <w:r w:rsidRPr="00E42B84">
        <w:rPr>
          <w:rFonts w:ascii="Times New Roman" w:hAnsi="Times New Roman" w:cs="Times New Roman"/>
          <w:sz w:val="24"/>
        </w:rPr>
        <w:t>AUC</w:t>
      </w:r>
      <w:r w:rsidRPr="00E42B84">
        <w:rPr>
          <w:rFonts w:ascii="Times New Roman" w:hAnsi="Times New Roman" w:cs="Times New Roman"/>
          <w:sz w:val="24"/>
          <w:vertAlign w:val="subscript"/>
        </w:rPr>
        <w:t>0-t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of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DOX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in rats after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eastAsia="宋体" w:hAnsi="Times New Roman" w:cs="Times New Roman" w:hint="eastAsia"/>
          <w:i/>
          <w:iCs/>
          <w:kern w:val="0"/>
          <w:sz w:val="24"/>
          <w:shd w:val="clear" w:color="auto" w:fill="FFFFFF"/>
        </w:rPr>
        <w:t>i.v.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with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DR@Lip and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</w:p>
    <w:p w14:paraId="08165B65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Fig. 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8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 The proportions of T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bscript"/>
        </w:rPr>
        <w:t>EM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cells (CD3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perscript"/>
        </w:rPr>
        <w:t>+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, CD8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perscript"/>
        </w:rPr>
        <w:t>+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, CD44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perscript"/>
        </w:rPr>
        <w:t>+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, CD62L</w:t>
      </w:r>
      <w:r w:rsidRPr="00E42B84">
        <w:rPr>
          <w:rFonts w:ascii="Times New Roman" w:eastAsia="宋体" w:hAnsi="Times New Roman" w:cs="Times New Roman"/>
          <w:bCs/>
          <w:color w:val="000000"/>
          <w:sz w:val="24"/>
          <w:vertAlign w:val="superscript"/>
        </w:rPr>
        <w:t>-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) in spleen.</w:t>
      </w:r>
    </w:p>
    <w:p w14:paraId="5CBCE17F" w14:textId="093F99AC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Fig</w:t>
      </w:r>
      <w:r w:rsidR="008B5892"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. 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S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9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>.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 xml:space="preserve"> H&amp;E staining of the major organs collected from the saline group and DR@PLip+aPDL1 group.</w:t>
      </w:r>
    </w:p>
    <w:p w14:paraId="55239AA1" w14:textId="77777777" w:rsidR="00182CAA" w:rsidRPr="00E42B84" w:rsidRDefault="00492392">
      <w:pPr>
        <w:spacing w:line="480" w:lineRule="auto"/>
        <w:rPr>
          <w:rFonts w:ascii="Times New Roman" w:hAnsi="Times New Roman" w:cs="Times New Roman"/>
          <w:kern w:val="0"/>
          <w:sz w:val="24"/>
          <w:shd w:val="clear" w:color="auto" w:fill="FFFFFF"/>
        </w:rPr>
      </w:pP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T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able S1. Pharmacokinetic parameters of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DOX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in rats after </w:t>
      </w:r>
      <w:r w:rsidRPr="00E42B84">
        <w:rPr>
          <w:rFonts w:ascii="Times New Roman" w:hAnsi="Times New Roman" w:cs="Times New Roman" w:hint="eastAsia"/>
          <w:i/>
          <w:iCs/>
          <w:kern w:val="0"/>
          <w:sz w:val="24"/>
          <w:shd w:val="clear" w:color="auto" w:fill="FFFFFF"/>
        </w:rPr>
        <w:t>i.v.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with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DR@Lip and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DR@PLip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>.</w:t>
      </w:r>
    </w:p>
    <w:p w14:paraId="51EFF5FE" w14:textId="77777777" w:rsidR="00182CAA" w:rsidRPr="00E42B84" w:rsidRDefault="00182CAA">
      <w:pPr>
        <w:spacing w:line="480" w:lineRule="auto"/>
        <w:rPr>
          <w:rFonts w:ascii="Times New Roman" w:hAnsi="Times New Roman" w:cs="Times New Roman"/>
          <w:kern w:val="0"/>
          <w:sz w:val="24"/>
          <w:shd w:val="clear" w:color="auto" w:fill="FFFFFF"/>
        </w:rPr>
      </w:pPr>
    </w:p>
    <w:p w14:paraId="7DBCF380" w14:textId="77777777" w:rsidR="00182CAA" w:rsidRPr="00E42B84" w:rsidRDefault="00492392">
      <w:pPr>
        <w:rPr>
          <w:rFonts w:ascii="Times New Roman" w:hAnsi="Times New Roman" w:cs="Times New Roman"/>
          <w:kern w:val="0"/>
          <w:sz w:val="24"/>
          <w:shd w:val="clear" w:color="auto" w:fill="FFFFFF"/>
        </w:rPr>
      </w:pP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br w:type="page"/>
      </w:r>
    </w:p>
    <w:p w14:paraId="54D67AB9" w14:textId="77777777" w:rsidR="00182CAA" w:rsidRPr="00E42B84" w:rsidRDefault="00182CAA">
      <w:pPr>
        <w:spacing w:line="480" w:lineRule="auto"/>
        <w:rPr>
          <w:rFonts w:ascii="Times New Roman" w:hAnsi="Times New Roman" w:cs="Times New Roman"/>
          <w:kern w:val="0"/>
          <w:sz w:val="24"/>
          <w:shd w:val="clear" w:color="auto" w:fill="FFFFFF"/>
        </w:rPr>
      </w:pPr>
    </w:p>
    <w:p w14:paraId="432EE38C" w14:textId="77777777" w:rsidR="00182CAA" w:rsidRPr="00E42B84" w:rsidRDefault="00492392">
      <w:pPr>
        <w:spacing w:line="480" w:lineRule="auto"/>
        <w:jc w:val="center"/>
        <w:rPr>
          <w:rFonts w:ascii="Times New Roman" w:eastAsia="宋体" w:hAnsi="Times New Roman" w:cs="Times New Roman"/>
          <w:bCs/>
          <w:color w:val="000000"/>
          <w:sz w:val="24"/>
        </w:rPr>
      </w:pPr>
      <w:r w:rsidRPr="00E42B84">
        <w:rPr>
          <w:noProof/>
          <w:lang w:eastAsia="en-US"/>
        </w:rPr>
        <w:drawing>
          <wp:inline distT="0" distB="0" distL="114300" distR="114300" wp14:anchorId="03572C75" wp14:editId="42513CED">
            <wp:extent cx="3647440" cy="2470150"/>
            <wp:effectExtent l="0" t="0" r="0" b="635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50423" cy="247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C519D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Fig. S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>1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.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Size distribution and PDI changes of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DR@PLip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in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48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h at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DMEM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medium + 10% FBS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>(</w:t>
      </w:r>
      <w:r w:rsidRPr="00E42B84">
        <w:rPr>
          <w:rFonts w:ascii="Times New Roman" w:eastAsia="宋体" w:hAnsi="Times New Roman" w:cs="Times New Roman"/>
          <w:i/>
          <w:iCs/>
          <w:color w:val="000000"/>
          <w:kern w:val="0"/>
          <w:sz w:val="23"/>
          <w:szCs w:val="23"/>
          <w:lang w:bidi="ar"/>
        </w:rPr>
        <w:t>n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= 3).</w:t>
      </w:r>
    </w:p>
    <w:p w14:paraId="3733F97C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5FF6D0DA" w14:textId="73D6AB74" w:rsidR="00182CAA" w:rsidRPr="00E42B84" w:rsidRDefault="00952A84">
      <w:pPr>
        <w:spacing w:line="480" w:lineRule="auto"/>
        <w:jc w:val="center"/>
      </w:pPr>
      <w:r w:rsidRPr="00E42B84">
        <w:rPr>
          <w:noProof/>
          <w:lang w:eastAsia="en-US"/>
        </w:rPr>
        <w:drawing>
          <wp:inline distT="0" distB="0" distL="0" distR="0" wp14:anchorId="13C9898F" wp14:editId="08168B34">
            <wp:extent cx="3427751" cy="214035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887" cy="2144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72DFD" w14:textId="77777777" w:rsidR="00182CAA" w:rsidRPr="00E42B84" w:rsidRDefault="00492392">
      <w:pPr>
        <w:spacing w:line="480" w:lineRule="auto"/>
      </w:pPr>
      <w:r w:rsidRPr="00E42B84">
        <w:rPr>
          <w:rFonts w:ascii="Times New Roman" w:hAnsi="Times New Roman"/>
          <w:sz w:val="24"/>
        </w:rPr>
        <w:t>Fig. S</w:t>
      </w:r>
      <w:r w:rsidRPr="00E42B84">
        <w:rPr>
          <w:rFonts w:ascii="Times New Roman" w:hAnsi="Times New Roman" w:hint="eastAsia"/>
          <w:sz w:val="24"/>
        </w:rPr>
        <w:t>2. Statistical analysis of cellular uptake</w:t>
      </w:r>
      <w:r w:rsidRPr="00E42B84">
        <w:rPr>
          <w:rFonts w:ascii="Times New Roman" w:hAnsi="Times New Roman"/>
          <w:sz w:val="24"/>
        </w:rPr>
        <w:t xml:space="preserve"> </w:t>
      </w:r>
      <w:r w:rsidRPr="00E42B84">
        <w:rPr>
          <w:rFonts w:ascii="Times New Roman" w:hAnsi="Times New Roman" w:hint="eastAsia"/>
          <w:sz w:val="24"/>
        </w:rPr>
        <w:t>of</w:t>
      </w:r>
      <w:r w:rsidRPr="00E42B84">
        <w:rPr>
          <w:rFonts w:ascii="Times New Roman" w:hAnsi="Times New Roman"/>
          <w:sz w:val="24"/>
        </w:rPr>
        <w:t xml:space="preserve">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DR@Lip</w:t>
      </w:r>
      <w:r w:rsidRPr="00E42B84">
        <w:rPr>
          <w:rFonts w:ascii="Times New Roman" w:eastAsia="宋体" w:hAnsi="Times New Roman" w:cs="Times New Roman"/>
          <w:bCs/>
          <w:color w:val="000000"/>
          <w:sz w:val="24"/>
        </w:rPr>
        <w:t xml:space="preserve"> and </w:t>
      </w:r>
      <w:r w:rsidRPr="00E42B84">
        <w:rPr>
          <w:rFonts w:ascii="Times New Roman" w:eastAsia="宋体" w:hAnsi="Times New Roman" w:cs="Times New Roman" w:hint="eastAsia"/>
          <w:bCs/>
          <w:color w:val="000000"/>
          <w:sz w:val="24"/>
        </w:rPr>
        <w:t>DR@PLip</w:t>
      </w:r>
      <w:r w:rsidRPr="00E42B84">
        <w:rPr>
          <w:rFonts w:ascii="Times New Roman" w:hAnsi="Times New Roman" w:hint="eastAsia"/>
          <w:sz w:val="24"/>
        </w:rPr>
        <w:t xml:space="preserve">. </w:t>
      </w:r>
      <w:r w:rsidRPr="00E42B84">
        <w:rPr>
          <w:rFonts w:ascii="Times New Roman" w:hAnsi="Times New Roman" w:hint="eastAsia"/>
          <w:i/>
          <w:iCs/>
          <w:sz w:val="24"/>
        </w:rPr>
        <w:t>P</w:t>
      </w:r>
      <w:r w:rsidRPr="00E42B84">
        <w:rPr>
          <w:rFonts w:ascii="Times New Roman" w:hAnsi="Times New Roman" w:hint="eastAsia"/>
          <w:sz w:val="24"/>
        </w:rPr>
        <w:t xml:space="preserve"> values were calculated by Student's t test, ***</w:t>
      </w:r>
      <w:r w:rsidRPr="00E42B84">
        <w:rPr>
          <w:rFonts w:ascii="Times New Roman" w:hAnsi="Times New Roman" w:hint="eastAsia"/>
          <w:i/>
          <w:iCs/>
          <w:sz w:val="24"/>
        </w:rPr>
        <w:t xml:space="preserve">p </w:t>
      </w:r>
      <w:r w:rsidRPr="00E42B84">
        <w:rPr>
          <w:rFonts w:ascii="Times New Roman" w:hAnsi="Times New Roman" w:hint="eastAsia"/>
          <w:sz w:val="24"/>
        </w:rPr>
        <w:t>&lt; 0.001.</w:t>
      </w:r>
    </w:p>
    <w:p w14:paraId="006C00E1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4A6A7388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70DF004C" w14:textId="77777777" w:rsidR="00182CAA" w:rsidRPr="00E42B84" w:rsidRDefault="00492392">
      <w:pPr>
        <w:spacing w:line="480" w:lineRule="auto"/>
        <w:jc w:val="center"/>
        <w:rPr>
          <w:rFonts w:ascii="Times New Roman" w:hAnsi="Times New Roman" w:cs="Times New Roman"/>
        </w:rPr>
      </w:pPr>
      <w:r w:rsidRPr="00E42B84">
        <w:rPr>
          <w:noProof/>
          <w:lang w:eastAsia="en-US"/>
        </w:rPr>
        <w:lastRenderedPageBreak/>
        <w:drawing>
          <wp:inline distT="0" distB="0" distL="114300" distR="114300" wp14:anchorId="570D18E2" wp14:editId="2B59CFD7">
            <wp:extent cx="3719580" cy="2204978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27239" cy="2209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B4B63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Fig. S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>3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. </w:t>
      </w:r>
      <w:r w:rsidRPr="00E42B84">
        <w:rPr>
          <w:rFonts w:ascii="Times New Roman" w:eastAsia="宋体" w:hAnsi="Times New Roman" w:cs="Times New Roman"/>
          <w:i/>
          <w:iCs/>
          <w:color w:val="000000"/>
          <w:kern w:val="0"/>
          <w:sz w:val="23"/>
          <w:szCs w:val="23"/>
          <w:lang w:bidi="ar"/>
        </w:rPr>
        <w:t>In vitro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drug release of free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DOX and DR@PLip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>. Results are expressed as mean ± SD (</w:t>
      </w:r>
      <w:r w:rsidRPr="00E42B84">
        <w:rPr>
          <w:rFonts w:ascii="Times New Roman" w:eastAsia="宋体" w:hAnsi="Times New Roman" w:cs="Times New Roman"/>
          <w:i/>
          <w:iCs/>
          <w:color w:val="000000"/>
          <w:kern w:val="0"/>
          <w:sz w:val="23"/>
          <w:szCs w:val="23"/>
          <w:lang w:bidi="ar"/>
        </w:rPr>
        <w:t>n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= 3).</w:t>
      </w:r>
    </w:p>
    <w:p w14:paraId="5027DE78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248E82B4" w14:textId="77777777" w:rsidR="00182CAA" w:rsidRPr="00E42B84" w:rsidRDefault="00182CAA">
      <w:pPr>
        <w:spacing w:line="480" w:lineRule="auto"/>
        <w:jc w:val="center"/>
      </w:pPr>
    </w:p>
    <w:p w14:paraId="0A38F674" w14:textId="7BE1E950" w:rsidR="00182CAA" w:rsidRPr="00E42B84" w:rsidRDefault="00952A84">
      <w:pPr>
        <w:spacing w:line="480" w:lineRule="auto"/>
        <w:jc w:val="center"/>
      </w:pPr>
      <w:r w:rsidRPr="00E42B84">
        <w:rPr>
          <w:noProof/>
          <w:lang w:eastAsia="en-US"/>
        </w:rPr>
        <w:drawing>
          <wp:inline distT="0" distB="0" distL="0" distR="0" wp14:anchorId="1918E0EE" wp14:editId="25A28B93">
            <wp:extent cx="3108960" cy="2234414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175" cy="223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3896C" w14:textId="745E4133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Fig. S4. 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In vitro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>Rg3</w:t>
      </w:r>
      <w:r w:rsidR="00D778E2"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release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>from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DR@PLip. Results are expressed as mean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±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SD (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n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= 3).</w:t>
      </w:r>
    </w:p>
    <w:p w14:paraId="0DCBC071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5CA2581C" w14:textId="77777777" w:rsidR="00182CAA" w:rsidRPr="00E42B84" w:rsidRDefault="00182CAA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</w:p>
    <w:p w14:paraId="5B1B18B1" w14:textId="4B744EB6" w:rsidR="00182CAA" w:rsidRPr="00E42B84" w:rsidRDefault="002D68C6">
      <w:pPr>
        <w:spacing w:line="480" w:lineRule="auto"/>
        <w:jc w:val="center"/>
      </w:pPr>
      <w:r w:rsidRPr="00E42B84">
        <w:rPr>
          <w:noProof/>
          <w:lang w:eastAsia="en-US"/>
        </w:rPr>
        <w:lastRenderedPageBreak/>
        <w:drawing>
          <wp:inline distT="0" distB="0" distL="0" distR="0" wp14:anchorId="08DCD2CB" wp14:editId="5432B8CC">
            <wp:extent cx="2894900" cy="2349661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15" cy="235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F1512" w14:textId="77777777" w:rsidR="00182CAA" w:rsidRPr="00E42B84" w:rsidRDefault="00492392">
      <w:pPr>
        <w:widowControl/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 w:hint="eastAsia"/>
          <w:color w:val="000000"/>
          <w:kern w:val="0"/>
          <w:sz w:val="24"/>
          <w:lang w:bidi="ar"/>
        </w:rPr>
        <w:t xml:space="preserve">Fig. S5.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Cytotoxicity of R@Lip </w:t>
      </w:r>
      <w:r w:rsidRPr="00E42B84"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  <w:t xml:space="preserve">in C1498 cell line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(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n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= 3).</w:t>
      </w:r>
    </w:p>
    <w:p w14:paraId="4128140D" w14:textId="77777777" w:rsidR="00182CAA" w:rsidRPr="00E42B84" w:rsidRDefault="00182CAA">
      <w:pPr>
        <w:spacing w:line="480" w:lineRule="auto"/>
        <w:jc w:val="center"/>
      </w:pPr>
    </w:p>
    <w:p w14:paraId="39961F9F" w14:textId="77777777" w:rsidR="00182CAA" w:rsidRPr="00E42B84" w:rsidRDefault="00182CAA">
      <w:pPr>
        <w:spacing w:line="480" w:lineRule="auto"/>
        <w:jc w:val="center"/>
      </w:pPr>
    </w:p>
    <w:p w14:paraId="4F47FBFD" w14:textId="77777777" w:rsidR="00182CAA" w:rsidRPr="00E42B84" w:rsidRDefault="00182CAA">
      <w:pPr>
        <w:spacing w:line="480" w:lineRule="auto"/>
        <w:jc w:val="center"/>
      </w:pPr>
    </w:p>
    <w:p w14:paraId="179B01F6" w14:textId="77777777" w:rsidR="00182CAA" w:rsidRPr="00E42B84" w:rsidRDefault="00492392">
      <w:pPr>
        <w:spacing w:line="480" w:lineRule="auto"/>
        <w:jc w:val="center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noProof/>
          <w:lang w:eastAsia="en-US"/>
        </w:rPr>
        <w:drawing>
          <wp:inline distT="0" distB="0" distL="0" distR="0" wp14:anchorId="5F83EF7F" wp14:editId="6387D45E">
            <wp:extent cx="3124200" cy="2408555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7191" cy="241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7072C" w14:textId="77777777" w:rsidR="00182CAA" w:rsidRPr="00E42B84" w:rsidRDefault="00492392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Fig. S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>6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.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Plasma concentration-time curves of DR@Lip and DR@PLip after intravenous injection in rats (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n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= 3).</w:t>
      </w:r>
    </w:p>
    <w:p w14:paraId="12CADD6E" w14:textId="77777777" w:rsidR="00182CAA" w:rsidRPr="00E42B84" w:rsidRDefault="00182CAA">
      <w:pPr>
        <w:spacing w:line="480" w:lineRule="auto"/>
        <w:rPr>
          <w:rFonts w:ascii="Times New Roman" w:hAnsi="Times New Roman" w:cs="Times New Roman"/>
          <w:sz w:val="24"/>
        </w:rPr>
      </w:pPr>
    </w:p>
    <w:p w14:paraId="0B9D9284" w14:textId="77777777" w:rsidR="00182CAA" w:rsidRPr="00E42B84" w:rsidRDefault="00182CAA">
      <w:pPr>
        <w:spacing w:line="480" w:lineRule="auto"/>
        <w:rPr>
          <w:rFonts w:ascii="Times New Roman" w:hAnsi="Times New Roman" w:cs="Times New Roman"/>
          <w:sz w:val="24"/>
        </w:rPr>
      </w:pPr>
    </w:p>
    <w:p w14:paraId="370A855B" w14:textId="14473B1D" w:rsidR="00182CAA" w:rsidRPr="00E42B84" w:rsidRDefault="00947B3F">
      <w:pPr>
        <w:spacing w:line="480" w:lineRule="auto"/>
        <w:jc w:val="center"/>
        <w:rPr>
          <w:rFonts w:ascii="Times New Roman" w:hAnsi="Times New Roman" w:cs="Times New Roman"/>
        </w:rPr>
      </w:pPr>
      <w:r w:rsidRPr="00E42B84">
        <w:rPr>
          <w:noProof/>
          <w:lang w:eastAsia="en-US"/>
        </w:rPr>
        <w:lastRenderedPageBreak/>
        <w:drawing>
          <wp:inline distT="0" distB="0" distL="0" distR="0" wp14:anchorId="48B19D9B" wp14:editId="4724D7BD">
            <wp:extent cx="5133372" cy="1747144"/>
            <wp:effectExtent l="0" t="0" r="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831" cy="174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ABEC4" w14:textId="77777777" w:rsidR="00182CAA" w:rsidRPr="00E42B84" w:rsidRDefault="00492392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3"/>
          <w:szCs w:val="23"/>
          <w:lang w:bidi="ar"/>
        </w:rPr>
      </w:pP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Fig. S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>7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. 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>Statistical analysis of (A) T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vertAlign w:val="subscript"/>
          <w:lang w:bidi="ar"/>
        </w:rPr>
        <w:t>1/2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and (B) AUC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vertAlign w:val="subscript"/>
          <w:lang w:bidi="ar"/>
        </w:rPr>
        <w:t>0-t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of DOX in rats after i.v. with DR@Lip and DR@PLip. 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P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values were calculated by Student's t test, *</w:t>
      </w:r>
      <w:r w:rsidRPr="00E42B84">
        <w:rPr>
          <w:rFonts w:ascii="Times New Roman" w:eastAsia="宋体" w:hAnsi="Times New Roman" w:cs="Times New Roman" w:hint="eastAsia"/>
          <w:i/>
          <w:iCs/>
          <w:color w:val="000000"/>
          <w:kern w:val="0"/>
          <w:sz w:val="23"/>
          <w:szCs w:val="23"/>
          <w:lang w:bidi="ar"/>
        </w:rPr>
        <w:t>p</w:t>
      </w:r>
      <w:r w:rsidRPr="00E42B84">
        <w:rPr>
          <w:rFonts w:ascii="Times New Roman" w:eastAsia="宋体" w:hAnsi="Times New Roman" w:cs="Times New Roman" w:hint="eastAsia"/>
          <w:color w:val="000000"/>
          <w:kern w:val="0"/>
          <w:sz w:val="23"/>
          <w:szCs w:val="23"/>
          <w:lang w:bidi="ar"/>
        </w:rPr>
        <w:t xml:space="preserve"> &lt; 0.05.</w:t>
      </w:r>
    </w:p>
    <w:p w14:paraId="16651C5A" w14:textId="77777777" w:rsidR="00182CAA" w:rsidRPr="00E42B84" w:rsidRDefault="00182CAA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hd w:val="clear" w:color="auto" w:fill="FFFFFF"/>
        </w:rPr>
      </w:pPr>
    </w:p>
    <w:p w14:paraId="3FFD768C" w14:textId="77777777" w:rsidR="00182CAA" w:rsidRPr="00E42B84" w:rsidRDefault="00182CAA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kern w:val="0"/>
          <w:sz w:val="24"/>
          <w:shd w:val="clear" w:color="auto" w:fill="FFFFFF"/>
        </w:rPr>
      </w:pPr>
    </w:p>
    <w:p w14:paraId="79B9A821" w14:textId="77777777" w:rsidR="00182CAA" w:rsidRPr="00E42B84" w:rsidRDefault="00492392">
      <w:pPr>
        <w:widowControl/>
        <w:spacing w:line="480" w:lineRule="auto"/>
        <w:jc w:val="left"/>
      </w:pPr>
      <w:r w:rsidRPr="00E42B84">
        <w:rPr>
          <w:noProof/>
          <w:lang w:eastAsia="en-US"/>
        </w:rPr>
        <w:drawing>
          <wp:inline distT="0" distB="0" distL="0" distR="0" wp14:anchorId="152C5972" wp14:editId="61702468">
            <wp:extent cx="5731510" cy="1425575"/>
            <wp:effectExtent l="0" t="0" r="254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42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400EF" w14:textId="4BF1F723" w:rsidR="00182CAA" w:rsidRPr="00E42B84" w:rsidRDefault="00492392">
      <w:pPr>
        <w:widowControl/>
        <w:spacing w:line="480" w:lineRule="auto"/>
        <w:rPr>
          <w:rFonts w:ascii="Times New Roman" w:hAnsi="Times New Roman" w:cs="Times New Roman"/>
          <w:sz w:val="23"/>
          <w:szCs w:val="23"/>
        </w:rPr>
      </w:pP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>Fig. S</w:t>
      </w:r>
      <w:r w:rsidRPr="00E42B84">
        <w:rPr>
          <w:rFonts w:ascii="Times New Roman" w:eastAsia="宋体" w:hAnsi="Times New Roman" w:cs="Times New Roman" w:hint="eastAsia"/>
          <w:kern w:val="0"/>
          <w:sz w:val="24"/>
          <w:shd w:val="clear" w:color="auto" w:fill="FFFFFF"/>
        </w:rPr>
        <w:t>8</w:t>
      </w:r>
      <w:r w:rsidRPr="00E42B84">
        <w:rPr>
          <w:rFonts w:ascii="Times New Roman" w:eastAsia="宋体" w:hAnsi="Times New Roman" w:cs="Times New Roman"/>
          <w:kern w:val="0"/>
          <w:sz w:val="24"/>
          <w:shd w:val="clear" w:color="auto" w:fill="FFFFFF"/>
        </w:rPr>
        <w:t xml:space="preserve">. 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(A) The proportion of T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  <w:vertAlign w:val="subscript"/>
        </w:rPr>
        <w:t>EM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 xml:space="preserve"> cells (CD3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  <w:vertAlign w:val="superscript"/>
        </w:rPr>
        <w:t>+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, CD8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  <w:vertAlign w:val="superscript"/>
        </w:rPr>
        <w:t>+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, CD44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  <w:vertAlign w:val="superscript"/>
        </w:rPr>
        <w:t>+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, CD62L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  <w:vertAlign w:val="superscript"/>
        </w:rPr>
        <w:t>-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) in spleen</w:t>
      </w:r>
      <w:r w:rsidR="00291277"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 xml:space="preserve"> 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>(</w:t>
      </w:r>
      <w:r w:rsidRPr="00E42B84">
        <w:rPr>
          <w:rFonts w:ascii="Times New Roman" w:eastAsia="宋体" w:hAnsi="Times New Roman" w:cs="Times New Roman"/>
          <w:i/>
          <w:iCs/>
          <w:kern w:val="0"/>
          <w:sz w:val="23"/>
          <w:szCs w:val="23"/>
          <w:shd w:val="clear" w:color="auto" w:fill="FFFFFF"/>
        </w:rPr>
        <w:t>n</w:t>
      </w:r>
      <w:r w:rsidRPr="00E42B84">
        <w:rPr>
          <w:rFonts w:ascii="Times New Roman" w:eastAsia="宋体" w:hAnsi="Times New Roman" w:cs="Times New Roman"/>
          <w:kern w:val="0"/>
          <w:sz w:val="23"/>
          <w:szCs w:val="23"/>
          <w:shd w:val="clear" w:color="auto" w:fill="FFFFFF"/>
        </w:rPr>
        <w:t xml:space="preserve"> = 3). (B) </w:t>
      </w:r>
      <w:r w:rsidRPr="00E42B84">
        <w:rPr>
          <w:rFonts w:ascii="Times New Roman" w:hAnsi="Times New Roman" w:cs="Times New Roman"/>
          <w:sz w:val="23"/>
          <w:szCs w:val="23"/>
        </w:rPr>
        <w:t xml:space="preserve">Statistical analysis of (A). </w:t>
      </w:r>
      <w:r w:rsidRPr="00E42B84">
        <w:rPr>
          <w:rFonts w:ascii="Times New Roman" w:hAnsi="Times New Roman" w:cs="Times New Roman"/>
          <w:i/>
          <w:iCs/>
          <w:sz w:val="23"/>
          <w:szCs w:val="23"/>
        </w:rPr>
        <w:t>P</w:t>
      </w:r>
      <w:r w:rsidRPr="00E42B84">
        <w:rPr>
          <w:rFonts w:ascii="Times New Roman" w:hAnsi="Times New Roman" w:cs="Times New Roman"/>
          <w:sz w:val="23"/>
          <w:szCs w:val="23"/>
        </w:rPr>
        <w:t xml:space="preserve"> values were calculated by Student's t test, *</w:t>
      </w:r>
      <w:r w:rsidRPr="00E42B84">
        <w:rPr>
          <w:rFonts w:ascii="Times New Roman" w:hAnsi="Times New Roman" w:cs="Times New Roman"/>
          <w:i/>
          <w:iCs/>
          <w:sz w:val="23"/>
          <w:szCs w:val="23"/>
        </w:rPr>
        <w:t>p</w:t>
      </w:r>
      <w:r w:rsidRPr="00E42B84">
        <w:rPr>
          <w:rFonts w:ascii="Times New Roman" w:hAnsi="Times New Roman" w:cs="Times New Roman"/>
          <w:sz w:val="23"/>
          <w:szCs w:val="23"/>
        </w:rPr>
        <w:t xml:space="preserve"> &lt; 0.05, ns means no signific</w:t>
      </w:r>
      <w:r w:rsidRPr="00E42B84">
        <w:rPr>
          <w:rFonts w:ascii="Times New Roman" w:hAnsi="Times New Roman" w:cs="Times New Roman" w:hint="eastAsia"/>
          <w:sz w:val="23"/>
          <w:szCs w:val="23"/>
        </w:rPr>
        <w:t>ant</w:t>
      </w:r>
      <w:r w:rsidRPr="00E42B84">
        <w:rPr>
          <w:rFonts w:ascii="Times New Roman" w:hAnsi="Times New Roman" w:cs="Times New Roman"/>
          <w:sz w:val="23"/>
          <w:szCs w:val="23"/>
        </w:rPr>
        <w:t xml:space="preserve"> difference</w:t>
      </w:r>
      <w:r w:rsidRPr="00E42B84">
        <w:rPr>
          <w:rFonts w:ascii="Times New Roman" w:hAnsi="Times New Roman" w:cs="Times New Roman" w:hint="eastAsia"/>
          <w:sz w:val="23"/>
          <w:szCs w:val="23"/>
        </w:rPr>
        <w:t>.</w:t>
      </w:r>
    </w:p>
    <w:p w14:paraId="1754AFE9" w14:textId="77777777" w:rsidR="00182CAA" w:rsidRPr="00E42B84" w:rsidRDefault="00182CAA">
      <w:pPr>
        <w:widowControl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14:paraId="26ED4461" w14:textId="77777777" w:rsidR="00182CAA" w:rsidRPr="00E42B84" w:rsidRDefault="00182CAA">
      <w:pPr>
        <w:widowControl/>
        <w:spacing w:line="480" w:lineRule="auto"/>
        <w:rPr>
          <w:rFonts w:ascii="Times New Roman" w:hAnsi="Times New Roman" w:cs="Times New Roman"/>
          <w:sz w:val="23"/>
          <w:szCs w:val="23"/>
        </w:rPr>
      </w:pPr>
    </w:p>
    <w:p w14:paraId="2DFCD918" w14:textId="77777777" w:rsidR="002031EC" w:rsidRPr="00E42B84" w:rsidRDefault="002031EC">
      <w:pPr>
        <w:widowControl/>
        <w:jc w:val="left"/>
        <w:rPr>
          <w:rFonts w:ascii="Times New Roman" w:hAnsi="Times New Roman"/>
          <w:color w:val="0432FF"/>
          <w:sz w:val="24"/>
        </w:rPr>
      </w:pPr>
      <w:r w:rsidRPr="00E42B84">
        <w:rPr>
          <w:rFonts w:ascii="Times New Roman" w:hAnsi="Times New Roman"/>
          <w:color w:val="0432FF"/>
          <w:sz w:val="24"/>
        </w:rPr>
        <w:br w:type="page"/>
      </w:r>
    </w:p>
    <w:p w14:paraId="776502B2" w14:textId="049A47BA" w:rsidR="00182CAA" w:rsidRPr="00E42B84" w:rsidRDefault="0003243C">
      <w:pPr>
        <w:spacing w:line="480" w:lineRule="auto"/>
        <w:jc w:val="center"/>
        <w:rPr>
          <w:rFonts w:ascii="Times New Roman" w:hAnsi="Times New Roman"/>
          <w:color w:val="0432FF"/>
          <w:sz w:val="24"/>
        </w:rPr>
      </w:pPr>
      <w:r w:rsidRPr="00E42B84">
        <w:rPr>
          <w:noProof/>
          <w:lang w:eastAsia="en-US"/>
        </w:rPr>
        <w:lastRenderedPageBreak/>
        <w:drawing>
          <wp:inline distT="0" distB="0" distL="0" distR="0" wp14:anchorId="7E8B3170" wp14:editId="4E67BF27">
            <wp:extent cx="5731510" cy="179070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254F1C" w14:textId="77777777" w:rsidR="00182CAA" w:rsidRPr="00E42B84" w:rsidRDefault="00492392">
      <w:pPr>
        <w:spacing w:line="480" w:lineRule="auto"/>
        <w:rPr>
          <w:rFonts w:ascii="Times New Roman" w:hAnsi="Times New Roman"/>
          <w:color w:val="000000" w:themeColor="text1"/>
          <w:sz w:val="24"/>
        </w:rPr>
      </w:pPr>
      <w:r w:rsidRPr="00E42B84">
        <w:rPr>
          <w:rFonts w:ascii="Times New Roman" w:hAnsi="Times New Roman"/>
          <w:color w:val="000000" w:themeColor="text1"/>
          <w:sz w:val="24"/>
        </w:rPr>
        <w:t>Fig. S</w:t>
      </w:r>
      <w:r w:rsidRPr="00E42B84">
        <w:rPr>
          <w:rFonts w:ascii="Times New Roman" w:hAnsi="Times New Roman" w:hint="eastAsia"/>
          <w:color w:val="000000" w:themeColor="text1"/>
          <w:sz w:val="24"/>
        </w:rPr>
        <w:t>9</w:t>
      </w:r>
      <w:r w:rsidRPr="00E42B84">
        <w:rPr>
          <w:rFonts w:ascii="Times New Roman" w:hAnsi="Times New Roman"/>
          <w:color w:val="000000" w:themeColor="text1"/>
          <w:sz w:val="24"/>
        </w:rPr>
        <w:t xml:space="preserve">. </w:t>
      </w:r>
      <w:r w:rsidRPr="00E42B84">
        <w:rPr>
          <w:rFonts w:ascii="Times New Roman" w:hAnsi="Times New Roman" w:hint="eastAsia"/>
          <w:color w:val="000000" w:themeColor="text1"/>
          <w:sz w:val="23"/>
          <w:szCs w:val="23"/>
        </w:rPr>
        <w:t>H&amp;E staining</w:t>
      </w:r>
      <w:r w:rsidRPr="00E42B84">
        <w:rPr>
          <w:rFonts w:ascii="Times New Roman" w:hAnsi="Times New Roman"/>
          <w:color w:val="000000" w:themeColor="text1"/>
          <w:sz w:val="23"/>
          <w:szCs w:val="23"/>
        </w:rPr>
        <w:t xml:space="preserve"> of the major organs collected from the saline group and </w:t>
      </w:r>
      <w:r w:rsidRPr="00E42B84">
        <w:rPr>
          <w:rFonts w:ascii="Times New Roman" w:hAnsi="Times New Roman" w:hint="eastAsia"/>
          <w:color w:val="000000" w:themeColor="text1"/>
          <w:sz w:val="23"/>
          <w:szCs w:val="23"/>
        </w:rPr>
        <w:t xml:space="preserve">DR@PLip+aPDL1 </w:t>
      </w:r>
      <w:r w:rsidRPr="00E42B84">
        <w:rPr>
          <w:rFonts w:ascii="Times New Roman" w:hAnsi="Times New Roman"/>
          <w:color w:val="000000" w:themeColor="text1"/>
          <w:sz w:val="23"/>
          <w:szCs w:val="23"/>
        </w:rPr>
        <w:t xml:space="preserve">group (scale bar, </w:t>
      </w:r>
      <w:r w:rsidRPr="00E42B84">
        <w:rPr>
          <w:rFonts w:ascii="Times New Roman" w:hAnsi="Times New Roman" w:hint="eastAsia"/>
          <w:color w:val="000000" w:themeColor="text1"/>
          <w:sz w:val="23"/>
          <w:szCs w:val="23"/>
        </w:rPr>
        <w:t>1</w:t>
      </w:r>
      <w:r w:rsidRPr="00E42B84">
        <w:rPr>
          <w:rFonts w:ascii="Times New Roman" w:hAnsi="Times New Roman"/>
          <w:color w:val="000000" w:themeColor="text1"/>
          <w:sz w:val="23"/>
          <w:szCs w:val="23"/>
        </w:rPr>
        <w:t>0</w:t>
      </w:r>
      <w:r w:rsidRPr="00E42B84">
        <w:rPr>
          <w:rFonts w:ascii="Times New Roman" w:hAnsi="Times New Roman" w:hint="eastAsia"/>
          <w:color w:val="000000" w:themeColor="text1"/>
          <w:sz w:val="23"/>
          <w:szCs w:val="23"/>
        </w:rPr>
        <w:t>0</w:t>
      </w:r>
      <w:r w:rsidRPr="00E42B84">
        <w:rPr>
          <w:rFonts w:ascii="Times New Roman" w:hAnsi="Times New Roman"/>
          <w:color w:val="000000" w:themeColor="text1"/>
          <w:sz w:val="23"/>
          <w:szCs w:val="23"/>
        </w:rPr>
        <w:t xml:space="preserve"> μm).</w:t>
      </w:r>
    </w:p>
    <w:p w14:paraId="2758ED78" w14:textId="77777777" w:rsidR="00182CAA" w:rsidRPr="00E42B84" w:rsidRDefault="00182CAA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hd w:val="clear" w:color="auto" w:fill="FFFFFF"/>
        </w:rPr>
      </w:pPr>
    </w:p>
    <w:p w14:paraId="66214A3F" w14:textId="77777777" w:rsidR="002031EC" w:rsidRPr="00E42B84" w:rsidRDefault="002031EC" w:rsidP="002031EC">
      <w:pPr>
        <w:widowControl/>
        <w:jc w:val="left"/>
        <w:rPr>
          <w:rFonts w:ascii="Times New Roman" w:hAnsi="Times New Roman" w:cs="Times New Roman"/>
          <w:kern w:val="0"/>
          <w:sz w:val="24"/>
          <w:shd w:val="clear" w:color="auto" w:fill="FFFFFF"/>
        </w:rPr>
      </w:pPr>
    </w:p>
    <w:p w14:paraId="6450114F" w14:textId="7BC5963B" w:rsidR="00182CAA" w:rsidRPr="00E42B84" w:rsidRDefault="00492392" w:rsidP="002031EC">
      <w:pPr>
        <w:widowControl/>
        <w:spacing w:line="480" w:lineRule="auto"/>
        <w:jc w:val="left"/>
        <w:rPr>
          <w:rFonts w:ascii="Times New Roman" w:hAnsi="Times New Roman" w:cs="Times New Roman"/>
          <w:kern w:val="0"/>
          <w:sz w:val="24"/>
          <w:shd w:val="clear" w:color="auto" w:fill="FFFFFF"/>
        </w:rPr>
      </w:pP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T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able S1 Pharmacokinetic parameters of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DOX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in rats after </w:t>
      </w:r>
      <w:r w:rsidRPr="00E42B84">
        <w:rPr>
          <w:rFonts w:ascii="Times New Roman" w:hAnsi="Times New Roman" w:cs="Times New Roman" w:hint="eastAsia"/>
          <w:i/>
          <w:iCs/>
          <w:kern w:val="0"/>
          <w:sz w:val="24"/>
          <w:shd w:val="clear" w:color="auto" w:fill="FFFFFF"/>
        </w:rPr>
        <w:t>i.v.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with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DR@Lip and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DR@PLip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at the dose of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5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mg kg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  <w:vertAlign w:val="superscript"/>
        </w:rPr>
        <w:t>-1</w:t>
      </w:r>
      <w:r w:rsidRPr="00E42B84">
        <w:rPr>
          <w:rFonts w:ascii="Times New Roman" w:hAnsi="Times New Roman" w:cs="Times New Roman"/>
          <w:kern w:val="0"/>
          <w:sz w:val="24"/>
          <w:shd w:val="clear" w:color="auto" w:fill="FFFFFF"/>
        </w:rPr>
        <w:t xml:space="preserve"> </w:t>
      </w:r>
      <w:r w:rsidRPr="00E42B84">
        <w:rPr>
          <w:rFonts w:ascii="Times New Roman" w:hAnsi="Times New Roman" w:cs="Times New Roman" w:hint="eastAsia"/>
          <w:kern w:val="0"/>
          <w:sz w:val="24"/>
          <w:shd w:val="clear" w:color="auto" w:fill="FFFFFF"/>
        </w:rPr>
        <w:t>DOX.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182CAA" w:rsidRPr="00E42B84" w14:paraId="1DE6C236" w14:textId="77777777">
        <w:trPr>
          <w:trHeight w:hRule="exact" w:val="680"/>
          <w:jc w:val="center"/>
        </w:trPr>
        <w:tc>
          <w:tcPr>
            <w:tcW w:w="3080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EB4F643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Pa</w:t>
            </w:r>
            <w:r w:rsidRPr="00E42B84">
              <w:rPr>
                <w:rFonts w:ascii="Times New Roman" w:hAnsi="Times New Roman" w:cs="Times New Roman"/>
                <w:sz w:val="24"/>
              </w:rPr>
              <w:t>rameter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585E21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DR@Lip</w:t>
            </w:r>
          </w:p>
        </w:tc>
        <w:tc>
          <w:tcPr>
            <w:tcW w:w="308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C1FE024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DR@PLip</w:t>
            </w:r>
          </w:p>
        </w:tc>
      </w:tr>
      <w:tr w:rsidR="00182CAA" w:rsidRPr="00E42B84" w14:paraId="66F178C1" w14:textId="77777777">
        <w:trPr>
          <w:trHeight w:hRule="exact" w:val="567"/>
          <w:jc w:val="center"/>
        </w:trPr>
        <w:tc>
          <w:tcPr>
            <w:tcW w:w="3080" w:type="dxa"/>
            <w:tcBorders>
              <w:top w:val="single" w:sz="8" w:space="0" w:color="auto"/>
              <w:bottom w:val="nil"/>
            </w:tcBorders>
            <w:vAlign w:val="center"/>
          </w:tcPr>
          <w:p w14:paraId="38B55248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/>
                <w:sz w:val="24"/>
              </w:rPr>
              <w:t>C</w:t>
            </w:r>
            <w:r w:rsidRPr="00E42B84">
              <w:rPr>
                <w:rFonts w:ascii="Times New Roman" w:hAnsi="Times New Roman" w:cs="Times New Roman"/>
                <w:sz w:val="24"/>
                <w:vertAlign w:val="subscript"/>
              </w:rPr>
              <w:t>max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(μg/ml)</w:t>
            </w:r>
          </w:p>
        </w:tc>
        <w:tc>
          <w:tcPr>
            <w:tcW w:w="3081" w:type="dxa"/>
            <w:tcBorders>
              <w:top w:val="single" w:sz="8" w:space="0" w:color="auto"/>
              <w:bottom w:val="nil"/>
            </w:tcBorders>
            <w:vAlign w:val="center"/>
          </w:tcPr>
          <w:p w14:paraId="1F2264A2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/>
                <w:sz w:val="24"/>
              </w:rPr>
              <w:t>94.8 ± 3.65</w:t>
            </w:r>
          </w:p>
        </w:tc>
        <w:tc>
          <w:tcPr>
            <w:tcW w:w="3081" w:type="dxa"/>
            <w:tcBorders>
              <w:top w:val="single" w:sz="8" w:space="0" w:color="auto"/>
              <w:bottom w:val="nil"/>
            </w:tcBorders>
            <w:vAlign w:val="center"/>
          </w:tcPr>
          <w:p w14:paraId="057B517A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95.74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3.16</w:t>
            </w:r>
          </w:p>
        </w:tc>
      </w:tr>
      <w:tr w:rsidR="00182CAA" w:rsidRPr="00E42B84" w14:paraId="6FE822D7" w14:textId="77777777">
        <w:trPr>
          <w:trHeight w:hRule="exact" w:val="567"/>
          <w:jc w:val="center"/>
        </w:trPr>
        <w:tc>
          <w:tcPr>
            <w:tcW w:w="3080" w:type="dxa"/>
            <w:tcBorders>
              <w:top w:val="nil"/>
              <w:bottom w:val="nil"/>
            </w:tcBorders>
            <w:vAlign w:val="center"/>
          </w:tcPr>
          <w:p w14:paraId="58B2703C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/>
                <w:sz w:val="24"/>
              </w:rPr>
              <w:t>T</w:t>
            </w:r>
            <w:r w:rsidRPr="00E42B84">
              <w:rPr>
                <w:rFonts w:ascii="Times New Roman" w:hAnsi="Times New Roman" w:cs="Times New Roman"/>
                <w:sz w:val="24"/>
                <w:vertAlign w:val="subscript"/>
              </w:rPr>
              <w:t>1/2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(h)</w:t>
            </w:r>
          </w:p>
        </w:tc>
        <w:tc>
          <w:tcPr>
            <w:tcW w:w="3081" w:type="dxa"/>
            <w:tcBorders>
              <w:top w:val="nil"/>
              <w:bottom w:val="nil"/>
            </w:tcBorders>
            <w:vAlign w:val="center"/>
          </w:tcPr>
          <w:p w14:paraId="50888BC2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1.70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0.30</w:t>
            </w:r>
          </w:p>
        </w:tc>
        <w:tc>
          <w:tcPr>
            <w:tcW w:w="3081" w:type="dxa"/>
            <w:tcBorders>
              <w:top w:val="nil"/>
              <w:bottom w:val="nil"/>
            </w:tcBorders>
            <w:vAlign w:val="center"/>
          </w:tcPr>
          <w:p w14:paraId="216662C7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3.18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0.76</w:t>
            </w:r>
          </w:p>
        </w:tc>
      </w:tr>
      <w:tr w:rsidR="00182CAA" w:rsidRPr="00E42B84" w14:paraId="32C7698D" w14:textId="77777777">
        <w:trPr>
          <w:trHeight w:hRule="exact" w:val="567"/>
          <w:jc w:val="center"/>
        </w:trPr>
        <w:tc>
          <w:tcPr>
            <w:tcW w:w="3080" w:type="dxa"/>
            <w:tcBorders>
              <w:top w:val="nil"/>
              <w:bottom w:val="nil"/>
            </w:tcBorders>
            <w:vAlign w:val="center"/>
          </w:tcPr>
          <w:p w14:paraId="378D74F0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/>
                <w:sz w:val="24"/>
              </w:rPr>
              <w:t>AUC</w:t>
            </w:r>
            <w:r w:rsidRPr="00E42B84">
              <w:rPr>
                <w:rFonts w:ascii="Times New Roman" w:hAnsi="Times New Roman" w:cs="Times New Roman"/>
                <w:sz w:val="24"/>
                <w:vertAlign w:val="subscript"/>
              </w:rPr>
              <w:t>0-t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(h*μg/ml)</w:t>
            </w:r>
          </w:p>
        </w:tc>
        <w:tc>
          <w:tcPr>
            <w:tcW w:w="3081" w:type="dxa"/>
            <w:tcBorders>
              <w:top w:val="nil"/>
              <w:bottom w:val="nil"/>
            </w:tcBorders>
            <w:vAlign w:val="center"/>
          </w:tcPr>
          <w:p w14:paraId="48CBE524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226.02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44.78</w:t>
            </w:r>
          </w:p>
        </w:tc>
        <w:tc>
          <w:tcPr>
            <w:tcW w:w="3081" w:type="dxa"/>
            <w:tcBorders>
              <w:top w:val="nil"/>
              <w:bottom w:val="nil"/>
            </w:tcBorders>
            <w:vAlign w:val="center"/>
          </w:tcPr>
          <w:p w14:paraId="51227AA2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407.42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97.78</w:t>
            </w:r>
          </w:p>
        </w:tc>
      </w:tr>
      <w:tr w:rsidR="00182CAA" w14:paraId="72478555" w14:textId="77777777">
        <w:trPr>
          <w:trHeight w:hRule="exact" w:val="567"/>
          <w:jc w:val="center"/>
        </w:trPr>
        <w:tc>
          <w:tcPr>
            <w:tcW w:w="3080" w:type="dxa"/>
            <w:tcBorders>
              <w:top w:val="nil"/>
              <w:bottom w:val="single" w:sz="12" w:space="0" w:color="auto"/>
            </w:tcBorders>
            <w:vAlign w:val="center"/>
          </w:tcPr>
          <w:p w14:paraId="272911C1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/>
                <w:sz w:val="24"/>
              </w:rPr>
              <w:t>CL (L (h kg</w:t>
            </w:r>
            <w:r w:rsidRPr="00E42B84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E42B84">
              <w:rPr>
                <w:rFonts w:ascii="Times New Roman" w:hAnsi="Times New Roman" w:cs="Times New Roman"/>
                <w:sz w:val="24"/>
              </w:rPr>
              <w:t>)</w:t>
            </w:r>
            <w:r w:rsidRPr="00E42B84">
              <w:rPr>
                <w:rFonts w:ascii="Times New Roman" w:hAnsi="Times New Roman" w:cs="Times New Roman"/>
                <w:sz w:val="24"/>
                <w:vertAlign w:val="superscript"/>
              </w:rPr>
              <w:t>-1</w:t>
            </w:r>
            <w:r w:rsidRPr="00E42B84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3081" w:type="dxa"/>
            <w:tcBorders>
              <w:top w:val="nil"/>
              <w:bottom w:val="single" w:sz="12" w:space="0" w:color="auto"/>
            </w:tcBorders>
            <w:vAlign w:val="center"/>
          </w:tcPr>
          <w:p w14:paraId="6D9AD02F" w14:textId="77777777" w:rsidR="00182CAA" w:rsidRPr="00E42B84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4.54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0.87</w:t>
            </w:r>
          </w:p>
        </w:tc>
        <w:tc>
          <w:tcPr>
            <w:tcW w:w="3081" w:type="dxa"/>
            <w:tcBorders>
              <w:top w:val="nil"/>
              <w:bottom w:val="single" w:sz="12" w:space="0" w:color="auto"/>
            </w:tcBorders>
            <w:vAlign w:val="center"/>
          </w:tcPr>
          <w:p w14:paraId="67318851" w14:textId="77777777" w:rsidR="00182CAA" w:rsidRDefault="0049239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42B84">
              <w:rPr>
                <w:rFonts w:ascii="Times New Roman" w:hAnsi="Times New Roman" w:cs="Times New Roman" w:hint="eastAsia"/>
                <w:sz w:val="24"/>
              </w:rPr>
              <w:t>2.55</w:t>
            </w:r>
            <w:r w:rsidRPr="00E42B84">
              <w:rPr>
                <w:rFonts w:ascii="Times New Roman" w:hAnsi="Times New Roman" w:cs="Times New Roman"/>
                <w:sz w:val="24"/>
              </w:rPr>
              <w:t xml:space="preserve"> ± </w:t>
            </w:r>
            <w:r w:rsidRPr="00E42B84">
              <w:rPr>
                <w:rFonts w:ascii="Times New Roman" w:hAnsi="Times New Roman" w:cs="Times New Roman" w:hint="eastAsia"/>
                <w:sz w:val="24"/>
              </w:rPr>
              <w:t>0.062</w:t>
            </w:r>
          </w:p>
        </w:tc>
      </w:tr>
    </w:tbl>
    <w:p w14:paraId="3CD2FC06" w14:textId="77777777" w:rsidR="00182CAA" w:rsidRDefault="00182CAA">
      <w:pPr>
        <w:spacing w:line="480" w:lineRule="auto"/>
        <w:rPr>
          <w:rFonts w:ascii="Times New Roman" w:hAnsi="Times New Roman" w:cs="Times New Roman"/>
          <w:kern w:val="0"/>
          <w:sz w:val="24"/>
          <w:shd w:val="clear" w:color="auto" w:fill="FFFFFF"/>
        </w:rPr>
      </w:pPr>
    </w:p>
    <w:p w14:paraId="051B4C9F" w14:textId="77777777" w:rsidR="00182CAA" w:rsidRDefault="00182CAA">
      <w:pPr>
        <w:spacing w:line="480" w:lineRule="auto"/>
      </w:pPr>
    </w:p>
    <w:sectPr w:rsidR="00182CAA" w:rsidSect="00E42B84">
      <w:headerReference w:type="even" r:id="rId18"/>
      <w:headerReference w:type="default" r:id="rId19"/>
      <w:footerReference w:type="default" r:id="rId20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C8D1F" w14:textId="77777777" w:rsidR="00964669" w:rsidRDefault="00964669">
      <w:r>
        <w:separator/>
      </w:r>
    </w:p>
  </w:endnote>
  <w:endnote w:type="continuationSeparator" w:id="0">
    <w:p w14:paraId="331B7014" w14:textId="77777777" w:rsidR="00964669" w:rsidRDefault="00964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010412"/>
    </w:sdtPr>
    <w:sdtEndPr/>
    <w:sdtContent>
      <w:p w14:paraId="07DD42C0" w14:textId="77777777" w:rsidR="00182CAA" w:rsidRDefault="0049239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B84" w:rsidRPr="00E42B84">
          <w:rPr>
            <w:noProof/>
            <w:lang w:val="zh-CN"/>
          </w:rPr>
          <w:t>4</w:t>
        </w:r>
        <w:r>
          <w:fldChar w:fldCharType="end"/>
        </w:r>
      </w:p>
    </w:sdtContent>
  </w:sdt>
  <w:p w14:paraId="4E567ACB" w14:textId="77777777" w:rsidR="00182CAA" w:rsidRDefault="00182C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94DB1" w14:textId="77777777" w:rsidR="00964669" w:rsidRDefault="00964669">
      <w:r>
        <w:separator/>
      </w:r>
    </w:p>
  </w:footnote>
  <w:footnote w:type="continuationSeparator" w:id="0">
    <w:p w14:paraId="7955F8D0" w14:textId="77777777" w:rsidR="00964669" w:rsidRDefault="00964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F7AC7" w14:textId="77777777" w:rsidR="00182CAA" w:rsidRDefault="00182CAA">
    <w:pPr>
      <w:pStyle w:val="a7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B00A3" w14:textId="77777777" w:rsidR="00182CAA" w:rsidRDefault="00182CAA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zEwMmQ5ZWNhODMzYjhkNWRkOGZkN2U0NmE2M2NhNTQifQ=="/>
  </w:docVars>
  <w:rsids>
    <w:rsidRoot w:val="746014E3"/>
    <w:rsid w:val="000177F6"/>
    <w:rsid w:val="00030969"/>
    <w:rsid w:val="0003243C"/>
    <w:rsid w:val="00046164"/>
    <w:rsid w:val="00051F90"/>
    <w:rsid w:val="00056983"/>
    <w:rsid w:val="00087F65"/>
    <w:rsid w:val="000B00A7"/>
    <w:rsid w:val="000D30C0"/>
    <w:rsid w:val="00111B96"/>
    <w:rsid w:val="0012015F"/>
    <w:rsid w:val="001248EC"/>
    <w:rsid w:val="00134779"/>
    <w:rsid w:val="0017420F"/>
    <w:rsid w:val="00174ABB"/>
    <w:rsid w:val="00182CAA"/>
    <w:rsid w:val="00191EFD"/>
    <w:rsid w:val="001E5BA8"/>
    <w:rsid w:val="001F00CA"/>
    <w:rsid w:val="001F19A1"/>
    <w:rsid w:val="002031EC"/>
    <w:rsid w:val="002270C8"/>
    <w:rsid w:val="00231F34"/>
    <w:rsid w:val="002843B0"/>
    <w:rsid w:val="00291277"/>
    <w:rsid w:val="00295EDF"/>
    <w:rsid w:val="002D381E"/>
    <w:rsid w:val="002D68C6"/>
    <w:rsid w:val="00301C53"/>
    <w:rsid w:val="003047AC"/>
    <w:rsid w:val="00305EFA"/>
    <w:rsid w:val="003C25E8"/>
    <w:rsid w:val="003C29F0"/>
    <w:rsid w:val="003E3526"/>
    <w:rsid w:val="004055D7"/>
    <w:rsid w:val="004162AF"/>
    <w:rsid w:val="00421688"/>
    <w:rsid w:val="004251F7"/>
    <w:rsid w:val="00425AD2"/>
    <w:rsid w:val="00435390"/>
    <w:rsid w:val="00451913"/>
    <w:rsid w:val="00492392"/>
    <w:rsid w:val="004A2AB5"/>
    <w:rsid w:val="004E1742"/>
    <w:rsid w:val="004E5EA3"/>
    <w:rsid w:val="004F70E3"/>
    <w:rsid w:val="00545F78"/>
    <w:rsid w:val="005568B6"/>
    <w:rsid w:val="00575FB3"/>
    <w:rsid w:val="00584E38"/>
    <w:rsid w:val="005A1AC0"/>
    <w:rsid w:val="005D61E2"/>
    <w:rsid w:val="005F439E"/>
    <w:rsid w:val="00620DC6"/>
    <w:rsid w:val="00635B88"/>
    <w:rsid w:val="00667EAB"/>
    <w:rsid w:val="006707EA"/>
    <w:rsid w:val="00677AB3"/>
    <w:rsid w:val="006A0AEB"/>
    <w:rsid w:val="006A6AEE"/>
    <w:rsid w:val="006B175A"/>
    <w:rsid w:val="006D2C87"/>
    <w:rsid w:val="006E639D"/>
    <w:rsid w:val="00712EFE"/>
    <w:rsid w:val="00744C88"/>
    <w:rsid w:val="007570DB"/>
    <w:rsid w:val="00773BC8"/>
    <w:rsid w:val="00776DF6"/>
    <w:rsid w:val="00796933"/>
    <w:rsid w:val="007E0564"/>
    <w:rsid w:val="00821F15"/>
    <w:rsid w:val="00825FDC"/>
    <w:rsid w:val="00833173"/>
    <w:rsid w:val="00853114"/>
    <w:rsid w:val="00871CEA"/>
    <w:rsid w:val="00891D50"/>
    <w:rsid w:val="008A4F48"/>
    <w:rsid w:val="008B5892"/>
    <w:rsid w:val="008C0BE1"/>
    <w:rsid w:val="008C6F31"/>
    <w:rsid w:val="008E0693"/>
    <w:rsid w:val="008F1394"/>
    <w:rsid w:val="008F42D7"/>
    <w:rsid w:val="00947B3F"/>
    <w:rsid w:val="00952A84"/>
    <w:rsid w:val="00964669"/>
    <w:rsid w:val="009669FF"/>
    <w:rsid w:val="00971254"/>
    <w:rsid w:val="009954F4"/>
    <w:rsid w:val="009A01C9"/>
    <w:rsid w:val="009A28DE"/>
    <w:rsid w:val="009B0E01"/>
    <w:rsid w:val="009C1D41"/>
    <w:rsid w:val="009D1C31"/>
    <w:rsid w:val="009D3C25"/>
    <w:rsid w:val="009F4A3E"/>
    <w:rsid w:val="009F63E7"/>
    <w:rsid w:val="00A34C24"/>
    <w:rsid w:val="00A967D4"/>
    <w:rsid w:val="00AA0D11"/>
    <w:rsid w:val="00AF60C7"/>
    <w:rsid w:val="00B13E8D"/>
    <w:rsid w:val="00B252BC"/>
    <w:rsid w:val="00B42954"/>
    <w:rsid w:val="00B434D0"/>
    <w:rsid w:val="00B43F1E"/>
    <w:rsid w:val="00B47C5C"/>
    <w:rsid w:val="00B66327"/>
    <w:rsid w:val="00B66E31"/>
    <w:rsid w:val="00B825D2"/>
    <w:rsid w:val="00BA6EBE"/>
    <w:rsid w:val="00BD277B"/>
    <w:rsid w:val="00C16DC1"/>
    <w:rsid w:val="00C42A3C"/>
    <w:rsid w:val="00C9084F"/>
    <w:rsid w:val="00C916A7"/>
    <w:rsid w:val="00C97386"/>
    <w:rsid w:val="00CB7B68"/>
    <w:rsid w:val="00CC7187"/>
    <w:rsid w:val="00CF3D1E"/>
    <w:rsid w:val="00D01B70"/>
    <w:rsid w:val="00D02273"/>
    <w:rsid w:val="00D13CAF"/>
    <w:rsid w:val="00D5093A"/>
    <w:rsid w:val="00D778E2"/>
    <w:rsid w:val="00D85197"/>
    <w:rsid w:val="00E41437"/>
    <w:rsid w:val="00E42B84"/>
    <w:rsid w:val="00E74E48"/>
    <w:rsid w:val="00E852C8"/>
    <w:rsid w:val="00EA7923"/>
    <w:rsid w:val="00EC0B29"/>
    <w:rsid w:val="00ED002F"/>
    <w:rsid w:val="00ED11D8"/>
    <w:rsid w:val="00EF0A58"/>
    <w:rsid w:val="00F10EB5"/>
    <w:rsid w:val="00F124DC"/>
    <w:rsid w:val="00F36A4E"/>
    <w:rsid w:val="00FB161E"/>
    <w:rsid w:val="00FC2151"/>
    <w:rsid w:val="00FC3D21"/>
    <w:rsid w:val="00FD1677"/>
    <w:rsid w:val="03192746"/>
    <w:rsid w:val="0333462A"/>
    <w:rsid w:val="04CE5937"/>
    <w:rsid w:val="05FB0AA5"/>
    <w:rsid w:val="0714042D"/>
    <w:rsid w:val="10FC390C"/>
    <w:rsid w:val="14EB6865"/>
    <w:rsid w:val="197B5F23"/>
    <w:rsid w:val="1C3B0EA7"/>
    <w:rsid w:val="1CBB3975"/>
    <w:rsid w:val="292D41E6"/>
    <w:rsid w:val="3C5F469D"/>
    <w:rsid w:val="40097087"/>
    <w:rsid w:val="484E184A"/>
    <w:rsid w:val="4DC26290"/>
    <w:rsid w:val="4FF634E7"/>
    <w:rsid w:val="55360A46"/>
    <w:rsid w:val="59D44019"/>
    <w:rsid w:val="5EC837BF"/>
    <w:rsid w:val="5F092810"/>
    <w:rsid w:val="68FA5140"/>
    <w:rsid w:val="6AED41AE"/>
    <w:rsid w:val="6B7E1406"/>
    <w:rsid w:val="746014E3"/>
    <w:rsid w:val="75BC0D6E"/>
    <w:rsid w:val="7E1F55AF"/>
    <w:rsid w:val="7FE1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F9AF51"/>
  <w15:docId w15:val="{BDEA4AE7-530B-4F73-82AC-859CC9BCC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uiPriority="99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</w:style>
  <w:style w:type="character" w:styleId="ad">
    <w:name w:val="Hyperlink"/>
    <w:basedOn w:val="a0"/>
    <w:qFormat/>
    <w:rPr>
      <w:color w:val="0563C1" w:themeColor="hyperlink"/>
      <w:u w:val="single"/>
    </w:rPr>
  </w:style>
  <w:style w:type="character" w:styleId="ae">
    <w:name w:val="annotation reference"/>
    <w:basedOn w:val="a0"/>
    <w:rPr>
      <w:sz w:val="21"/>
      <w:szCs w:val="21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kern w:val="2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  <w:style w:type="character" w:customStyle="1" w:styleId="a4">
    <w:name w:val="批注文字 字符"/>
    <w:basedOn w:val="a0"/>
    <w:link w:val="a3"/>
    <w:rPr>
      <w:kern w:val="2"/>
      <w:sz w:val="21"/>
      <w:szCs w:val="24"/>
    </w:rPr>
  </w:style>
  <w:style w:type="character" w:customStyle="1" w:styleId="aa">
    <w:name w:val="批注主题 字符"/>
    <w:basedOn w:val="a4"/>
    <w:link w:val="a9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8B589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ianyuan_cpu@163.com" TargetMode="External"/><Relationship Id="rId13" Type="http://schemas.openxmlformats.org/officeDocument/2006/relationships/image" Target="media/image5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kexue1973@vip.sina.com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emf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32708E-CEA4-44AD-A120-AEF857576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chenmo</dc:creator>
  <cp:lastModifiedBy>13714646@qq.com</cp:lastModifiedBy>
  <cp:revision>131</cp:revision>
  <dcterms:created xsi:type="dcterms:W3CDTF">2022-01-03T11:56:00Z</dcterms:created>
  <dcterms:modified xsi:type="dcterms:W3CDTF">2022-06-07T08:57:00Z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7F91FB6ECB9E426CA4F8D6503AFB3242</vt:lpwstr>
  </property>
</Properties>
</file>