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</w:rPr>
        <w:t>Supporting information</w:t>
      </w:r>
    </w:p>
    <w:p>
      <w:pPr>
        <w:pStyle w:val="33"/>
        <w:jc w:val="both"/>
        <w:rPr>
          <w:rFonts w:eastAsiaTheme="minorEastAsia"/>
          <w:b/>
          <w:lang w:eastAsia="zh-CN"/>
        </w:rPr>
      </w:pPr>
      <w:r>
        <w:rPr>
          <w:rFonts w:hint="eastAsia" w:eastAsiaTheme="minorEastAsia"/>
          <w:b/>
          <w:lang w:eastAsia="zh-CN"/>
        </w:rPr>
        <w:t>Boosting cisplatin chemotherapy by nanomotor-enhanced tumor penetration and DNA adducts formation</w:t>
      </w:r>
    </w:p>
    <w:p>
      <w:pPr>
        <w:pStyle w:val="31"/>
        <w:rPr>
          <w:rFonts w:eastAsiaTheme="minorEastAsia"/>
          <w:sz w:val="32"/>
          <w:lang w:val="en-US" w:eastAsia="zh-CN" w:bidi="ar"/>
        </w:rPr>
      </w:pPr>
    </w:p>
    <w:p>
      <w:pPr>
        <w:pStyle w:val="33"/>
        <w:jc w:val="both"/>
        <w:rPr>
          <w:rFonts w:eastAsiaTheme="minorEastAsia"/>
          <w:lang w:val="de-DE" w:eastAsia="zh-CN"/>
        </w:rPr>
      </w:pPr>
      <w:r>
        <w:rPr>
          <w:lang w:val="de-DE"/>
        </w:rPr>
        <w:t>Lihua Xu</w:t>
      </w:r>
      <w:r>
        <w:rPr>
          <w:vertAlign w:val="superscript"/>
          <w:lang w:val="de-DE"/>
        </w:rPr>
        <w:t>a</w:t>
      </w:r>
      <w:r>
        <w:rPr>
          <w:lang w:val="de-DE"/>
        </w:rPr>
        <w:t>, Kaixiang Zhang</w:t>
      </w:r>
      <w:r>
        <w:rPr>
          <w:rFonts w:hint="eastAsia" w:eastAsiaTheme="minorEastAsia"/>
          <w:vertAlign w:val="superscript"/>
          <w:lang w:val="de-DE" w:eastAsia="zh-CN"/>
        </w:rPr>
        <w:t>e</w:t>
      </w:r>
      <w:r>
        <w:rPr>
          <w:lang w:val="de-DE"/>
        </w:rPr>
        <w:t>, Xing Ma</w:t>
      </w:r>
      <w:r>
        <w:rPr>
          <w:rFonts w:hint="eastAsia" w:eastAsiaTheme="minorEastAsia"/>
          <w:vertAlign w:val="superscript"/>
          <w:lang w:val="de-DE" w:eastAsia="zh-CN"/>
        </w:rPr>
        <w:t>d</w:t>
      </w:r>
      <w:r>
        <w:rPr>
          <w:lang w:val="de-DE"/>
        </w:rPr>
        <w:t>, Yingying Li</w:t>
      </w:r>
      <w:r>
        <w:rPr>
          <w:rFonts w:hint="eastAsia" w:eastAsiaTheme="minorEastAsia"/>
          <w:vertAlign w:val="superscript"/>
          <w:lang w:val="de-DE" w:eastAsia="zh-CN"/>
        </w:rPr>
        <w:t>e</w:t>
      </w:r>
      <w:r>
        <w:rPr>
          <w:lang w:val="de-DE"/>
        </w:rPr>
        <w:t>, Yajie Jin</w:t>
      </w:r>
      <w:r>
        <w:rPr>
          <w:rFonts w:hint="eastAsia" w:eastAsiaTheme="minorEastAsia"/>
          <w:vertAlign w:val="superscript"/>
          <w:lang w:val="de-DE" w:eastAsia="zh-CN"/>
        </w:rPr>
        <w:t>e</w:t>
      </w:r>
      <w:r>
        <w:rPr>
          <w:lang w:val="de-DE"/>
        </w:rPr>
        <w:t>, Chenglin Liang</w:t>
      </w:r>
      <w:r>
        <w:rPr>
          <w:rFonts w:hint="eastAsia" w:eastAsiaTheme="minorEastAsia"/>
          <w:vertAlign w:val="superscript"/>
          <w:lang w:val="de-DE" w:eastAsia="zh-CN"/>
        </w:rPr>
        <w:t>e</w:t>
      </w:r>
      <w:r>
        <w:rPr>
          <w:lang w:val="de-DE"/>
        </w:rPr>
        <w:t>, Yong Wang</w:t>
      </w:r>
      <w:r>
        <w:rPr>
          <w:rFonts w:hint="eastAsia" w:eastAsiaTheme="minorEastAsia"/>
          <w:vertAlign w:val="superscript"/>
          <w:lang w:val="de-DE" w:eastAsia="zh-CN"/>
        </w:rPr>
        <w:t>d</w:t>
      </w:r>
      <w:r>
        <w:rPr>
          <w:lang w:val="de-DE"/>
        </w:rPr>
        <w:t>, Wendi Duan</w:t>
      </w:r>
      <w:r>
        <w:rPr>
          <w:rFonts w:hint="eastAsia" w:eastAsiaTheme="minorEastAsia"/>
          <w:vertAlign w:val="superscript"/>
          <w:lang w:val="de-DE" w:eastAsia="zh-CN"/>
        </w:rPr>
        <w:t>d</w:t>
      </w:r>
      <w:r>
        <w:rPr>
          <w:lang w:val="de-DE"/>
        </w:rPr>
        <w:t>, Hongling Zhang</w:t>
      </w:r>
      <w:r>
        <w:rPr>
          <w:rFonts w:hint="eastAsia" w:eastAsiaTheme="minorEastAsia"/>
          <w:vertAlign w:val="superscript"/>
          <w:lang w:val="de-DE" w:eastAsia="zh-CN"/>
        </w:rPr>
        <w:t>e</w:t>
      </w:r>
      <w:r>
        <w:rPr>
          <w:lang w:val="de-DE"/>
        </w:rPr>
        <w:t>, Zhenzhong Zhang</w:t>
      </w:r>
      <w:r>
        <w:rPr>
          <w:rFonts w:hint="eastAsia" w:eastAsiaTheme="minorEastAsia"/>
          <w:vertAlign w:val="superscript"/>
          <w:lang w:val="de-DE" w:eastAsia="zh-CN"/>
        </w:rPr>
        <w:t>e</w:t>
      </w:r>
      <w:r>
        <w:rPr>
          <w:lang w:val="de-DE"/>
        </w:rPr>
        <w:t>, Jinjin Shi</w:t>
      </w:r>
      <w:r>
        <w:rPr>
          <w:rFonts w:hint="eastAsia" w:eastAsiaTheme="minorEastAsia"/>
          <w:vertAlign w:val="superscript"/>
          <w:lang w:val="de-DE" w:eastAsia="zh-CN"/>
        </w:rPr>
        <w:t>e</w:t>
      </w:r>
      <w:r>
        <w:rPr>
          <w:rFonts w:eastAsiaTheme="minorEastAsia"/>
          <w:lang w:val="de-DE" w:eastAsia="zh-CN"/>
        </w:rPr>
        <w:t>, Junjie Liu</w:t>
      </w:r>
      <w:r>
        <w:rPr>
          <w:rFonts w:hint="eastAsia" w:eastAsiaTheme="minorEastAsia"/>
          <w:vertAlign w:val="superscript"/>
          <w:lang w:val="de-DE" w:eastAsia="zh-CN"/>
        </w:rPr>
        <w:t>e</w:t>
      </w:r>
      <w:r>
        <w:rPr>
          <w:rFonts w:eastAsiaTheme="minorEastAsia"/>
          <w:lang w:val="de-DE" w:eastAsia="zh-CN"/>
        </w:rPr>
        <w:t>,</w:t>
      </w:r>
      <w:r>
        <w:rPr>
          <w:lang w:val="de-DE"/>
        </w:rPr>
        <w:t xml:space="preserve"> </w:t>
      </w:r>
      <w:r>
        <w:rPr>
          <w:rFonts w:hint="eastAsia" w:eastAsiaTheme="minorEastAsia"/>
          <w:lang w:val="de-DE" w:eastAsia="zh-CN"/>
        </w:rPr>
        <w:t xml:space="preserve">Yunlong Wang </w:t>
      </w:r>
      <w:r>
        <w:rPr>
          <w:rFonts w:eastAsiaTheme="minorEastAsia"/>
          <w:vertAlign w:val="superscript"/>
          <w:lang w:val="de-DE" w:eastAsia="zh-CN"/>
        </w:rPr>
        <w:t>c</w:t>
      </w:r>
      <w:r>
        <w:rPr>
          <w:rFonts w:hint="eastAsia" w:eastAsiaTheme="minorEastAsia"/>
          <w:vertAlign w:val="superscript"/>
          <w:lang w:val="de-DE" w:eastAsia="zh-CN"/>
        </w:rPr>
        <w:t>,</w:t>
      </w:r>
      <w:r>
        <w:rPr>
          <w:rFonts w:hint="eastAsia" w:eastAsiaTheme="minorEastAsia"/>
          <w:lang w:val="de-DE" w:eastAsia="zh-CN"/>
        </w:rPr>
        <w:t xml:space="preserve">*, Wentao Li </w:t>
      </w:r>
      <w:r>
        <w:rPr>
          <w:rFonts w:hint="eastAsia" w:eastAsiaTheme="minorEastAsia"/>
          <w:vertAlign w:val="superscript"/>
          <w:lang w:val="de-DE" w:eastAsia="zh-CN"/>
        </w:rPr>
        <w:t>b,</w:t>
      </w:r>
      <w:r>
        <w:rPr>
          <w:rFonts w:hint="eastAsia" w:eastAsiaTheme="minorEastAsia"/>
          <w:lang w:val="de-DE" w:eastAsia="zh-CN"/>
        </w:rPr>
        <w:t>*</w:t>
      </w:r>
      <w:r>
        <w:rPr>
          <w:lang w:val="de-DE"/>
        </w:rPr>
        <w:t xml:space="preserve"> </w:t>
      </w:r>
    </w:p>
    <w:p>
      <w:pPr>
        <w:pStyle w:val="33"/>
        <w:jc w:val="both"/>
        <w:rPr>
          <w:rFonts w:eastAsiaTheme="minorEastAsia"/>
          <w:sz w:val="32"/>
          <w:lang w:val="de-DE" w:eastAsia="zh-CN"/>
        </w:rPr>
      </w:pPr>
    </w:p>
    <w:p>
      <w:pPr>
        <w:pStyle w:val="33"/>
        <w:jc w:val="both"/>
        <w:rPr>
          <w:rFonts w:eastAsiaTheme="minorEastAsia"/>
          <w:lang w:eastAsia="zh-CN"/>
        </w:rPr>
      </w:pPr>
      <w:r>
        <w:rPr>
          <w:rFonts w:hint="eastAsia" w:eastAsiaTheme="minorEastAsia"/>
          <w:vertAlign w:val="superscript"/>
          <w:lang w:eastAsia="zh-CN"/>
        </w:rPr>
        <w:t xml:space="preserve">a </w:t>
      </w:r>
      <w:r>
        <w:rPr>
          <w:rFonts w:eastAsiaTheme="minorEastAsia"/>
          <w:lang w:eastAsia="zh-CN"/>
        </w:rPr>
        <w:t>National Center for International Research in Cell and Gene Therapy, Sino-British Research Center for Molecular Oncology, Academy of Medical Sciences, Zhengzhou University, Zhengzhou 450001, China.</w:t>
      </w:r>
    </w:p>
    <w:p>
      <w:pPr>
        <w:pStyle w:val="33"/>
        <w:jc w:val="both"/>
        <w:rPr>
          <w:rFonts w:eastAsiaTheme="minorEastAsia"/>
          <w:lang w:eastAsia="zh-CN"/>
        </w:rPr>
      </w:pPr>
      <w:r>
        <w:rPr>
          <w:rFonts w:hint="eastAsia" w:eastAsiaTheme="minorEastAsia"/>
          <w:vertAlign w:val="superscript"/>
          <w:lang w:eastAsia="zh-CN"/>
        </w:rPr>
        <w:t xml:space="preserve">b </w:t>
      </w:r>
      <w:r>
        <w:rPr>
          <w:rFonts w:eastAsiaTheme="minorEastAsia"/>
          <w:lang w:eastAsia="zh-CN"/>
        </w:rPr>
        <w:t>People’s Hospital of Henan University, Zhengzhou 450003, Henan, China</w:t>
      </w:r>
    </w:p>
    <w:p>
      <w:pPr>
        <w:pStyle w:val="33"/>
        <w:jc w:val="both"/>
        <w:rPr>
          <w:rFonts w:eastAsiaTheme="minorEastAsia"/>
          <w:lang w:eastAsia="zh-CN"/>
        </w:rPr>
      </w:pPr>
      <w:r>
        <w:rPr>
          <w:rFonts w:hint="eastAsia" w:eastAsiaTheme="minorEastAsia"/>
          <w:vertAlign w:val="superscript"/>
          <w:lang w:eastAsia="zh-CN"/>
        </w:rPr>
        <w:t>c</w:t>
      </w:r>
      <w:r>
        <w:rPr>
          <w:rFonts w:eastAsiaTheme="minorEastAsia"/>
          <w:vertAlign w:val="superscript"/>
          <w:lang w:eastAsia="zh-CN"/>
        </w:rPr>
        <w:t xml:space="preserve"> </w:t>
      </w:r>
      <w:r>
        <w:rPr>
          <w:rFonts w:hint="eastAsia" w:eastAsiaTheme="minorEastAsia"/>
          <w:lang w:eastAsia="zh-CN"/>
        </w:rPr>
        <w:t>Henan Bioengineering Research Center,</w:t>
      </w:r>
      <w:r>
        <w:rPr>
          <w:sz w:val="32"/>
        </w:rPr>
        <w:t xml:space="preserve"> </w:t>
      </w:r>
      <w:r>
        <w:rPr>
          <w:rFonts w:eastAsiaTheme="minorEastAsia"/>
          <w:lang w:eastAsia="zh-CN"/>
        </w:rPr>
        <w:t>Zhengzhou, Henan, China</w:t>
      </w:r>
    </w:p>
    <w:p>
      <w:pPr>
        <w:pStyle w:val="33"/>
        <w:jc w:val="both"/>
        <w:rPr>
          <w:rFonts w:eastAsiaTheme="minorEastAsia"/>
          <w:lang w:eastAsia="zh-CN"/>
        </w:rPr>
      </w:pPr>
      <w:r>
        <w:rPr>
          <w:rFonts w:hint="eastAsia" w:eastAsiaTheme="minorEastAsia"/>
          <w:vertAlign w:val="superscript"/>
          <w:lang w:eastAsia="zh-CN"/>
        </w:rPr>
        <w:t xml:space="preserve">d </w:t>
      </w:r>
      <w:r>
        <w:rPr>
          <w:rFonts w:eastAsiaTheme="minorEastAsia"/>
          <w:lang w:eastAsia="zh-CN"/>
        </w:rPr>
        <w:t xml:space="preserve">School of Materials Science and Engineering &amp; Flexible Printed Electronic Technology Center, Harbin Institute of Technology (Shenzhen), Shenzhen 518055, China. </w:t>
      </w:r>
    </w:p>
    <w:p>
      <w:pPr>
        <w:pStyle w:val="31"/>
        <w:rPr>
          <w:rFonts w:eastAsiaTheme="minorEastAsia"/>
          <w:sz w:val="32"/>
          <w:lang w:eastAsia="zh-CN" w:bidi="ar"/>
        </w:rPr>
      </w:pPr>
      <w:r>
        <w:rPr>
          <w:rFonts w:hint="eastAsia" w:eastAsiaTheme="minorEastAsia"/>
          <w:b w:val="0"/>
          <w:vertAlign w:val="superscript"/>
          <w:lang w:eastAsia="zh-CN"/>
        </w:rPr>
        <w:t>e</w:t>
      </w:r>
      <w:r>
        <w:rPr>
          <w:rFonts w:hint="eastAsia" w:eastAsiaTheme="minorEastAsia"/>
          <w:vertAlign w:val="superscript"/>
          <w:lang w:eastAsia="zh-CN"/>
        </w:rPr>
        <w:t xml:space="preserve"> </w:t>
      </w:r>
      <w:r>
        <w:rPr>
          <w:rFonts w:eastAsiaTheme="minorEastAsia"/>
          <w:b w:val="0"/>
          <w:lang w:eastAsia="zh-CN"/>
        </w:rPr>
        <w:t>School of Pharmaceutical Sciences, Zhengzhou University, Zhengzhou 450001, China</w:t>
      </w: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pStyle w:val="31"/>
        <w:rPr>
          <w:rFonts w:eastAsiaTheme="minorEastAsia"/>
          <w:lang w:eastAsia="zh-CN" w:bidi="ar"/>
        </w:rPr>
      </w:pPr>
    </w:p>
    <w:p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 Experimental section</w:t>
      </w:r>
    </w:p>
    <w:p>
      <w:pPr>
        <w:rPr>
          <w:rFonts w:ascii="Times New Roman" w:hAnsi="Times New Roman"/>
          <w:b/>
          <w:bCs/>
          <w:kern w:val="44"/>
          <w:sz w:val="24"/>
          <w:szCs w:val="28"/>
        </w:rPr>
      </w:pPr>
      <w:bookmarkStart w:id="0" w:name="_Toc48914291"/>
      <w:r>
        <w:rPr>
          <w:rFonts w:ascii="Times New Roman" w:hAnsi="Times New Roman"/>
          <w:b/>
          <w:bCs/>
          <w:kern w:val="44"/>
          <w:sz w:val="24"/>
          <w:szCs w:val="28"/>
        </w:rPr>
        <w:t>1</w:t>
      </w:r>
      <w:r>
        <w:rPr>
          <w:rFonts w:hint="eastAsia" w:ascii="Times New Roman" w:hAnsi="Times New Roman"/>
          <w:b/>
          <w:bCs/>
          <w:kern w:val="44"/>
          <w:sz w:val="24"/>
          <w:szCs w:val="28"/>
        </w:rPr>
        <w:t>.1 Cell culture</w:t>
      </w:r>
      <w:bookmarkEnd w:id="0"/>
    </w:p>
    <w:p>
      <w:pPr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4T1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(m</w:t>
      </w:r>
      <w:r>
        <w:rPr>
          <w:rFonts w:ascii="Times New Roman" w:hAnsi="Times New Roman" w:cs="Times New Roman"/>
          <w:sz w:val="24"/>
        </w:rPr>
        <w:t>ouse breast cancer cell</w:t>
      </w:r>
      <w:r>
        <w:rPr>
          <w:rFonts w:hint="eastAsia" w:ascii="Times New Roman" w:hAnsi="Times New Roman" w:cs="Times New Roman"/>
          <w:sz w:val="24"/>
        </w:rPr>
        <w:t xml:space="preserve">s) </w:t>
      </w:r>
      <w:r>
        <w:rPr>
          <w:rFonts w:ascii="Times New Roman" w:hAnsi="Times New Roman" w:cs="Times New Roman"/>
          <w:sz w:val="24"/>
        </w:rPr>
        <w:t xml:space="preserve">and Hs578Bst </w:t>
      </w:r>
      <w:r>
        <w:rPr>
          <w:rFonts w:hint="eastAsia" w:ascii="Times New Roman" w:hAnsi="Times New Roman" w:cs="Times New Roman"/>
          <w:sz w:val="24"/>
        </w:rPr>
        <w:t>(m</w:t>
      </w:r>
      <w:r>
        <w:rPr>
          <w:rFonts w:ascii="Times New Roman" w:hAnsi="Times New Roman" w:cs="Times New Roman"/>
          <w:sz w:val="24"/>
        </w:rPr>
        <w:t>ouse normal mammary cells</w:t>
      </w:r>
      <w:r>
        <w:rPr>
          <w:rFonts w:hint="eastAsia" w:ascii="Times New Roman" w:hAnsi="Times New Roman" w:cs="Times New Roman"/>
          <w:sz w:val="24"/>
        </w:rPr>
        <w:t xml:space="preserve">) cell </w:t>
      </w:r>
      <w:r>
        <w:rPr>
          <w:rFonts w:ascii="Times New Roman" w:hAnsi="Times New Roman" w:cs="Times New Roman"/>
          <w:sz w:val="24"/>
        </w:rPr>
        <w:t xml:space="preserve">lines </w:t>
      </w:r>
      <w:r>
        <w:rPr>
          <w:rFonts w:hint="eastAsia" w:ascii="Times New Roman" w:hAnsi="Times New Roman" w:cs="Times New Roman"/>
          <w:sz w:val="24"/>
        </w:rPr>
        <w:t xml:space="preserve">were purchased from Cell Bank of Chinese Academy of Science (Shanghai, P. R. China) </w:t>
      </w:r>
      <w:r>
        <w:rPr>
          <w:rFonts w:ascii="Times New Roman" w:hAnsi="Times New Roman" w:cs="Times New Roman"/>
          <w:sz w:val="24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cultured using </w:t>
      </w:r>
      <w:r>
        <w:rPr>
          <w:rFonts w:hint="eastAsia" w:ascii="Times New Roman" w:hAnsi="Times New Roman" w:cs="Times New Roman"/>
          <w:sz w:val="24"/>
        </w:rPr>
        <w:t xml:space="preserve">RPMI 1640 medium </w:t>
      </w:r>
      <w:r>
        <w:rPr>
          <w:rFonts w:ascii="Times New Roman" w:hAnsi="Times New Roman" w:cs="Times New Roman"/>
          <w:sz w:val="24"/>
        </w:rPr>
        <w:t xml:space="preserve">(Solarbio, China) supplemented with </w:t>
      </w:r>
      <w:r>
        <w:rPr>
          <w:rFonts w:hint="eastAsia"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0% fetal bovine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serum (FBS)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Cells were seeded in the cell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culture flask at 37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℃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 5% CO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 in a humidified incubator</w:t>
      </w:r>
      <w:r>
        <w:rPr>
          <w:rFonts w:hint="eastAsia" w:ascii="Times New Roman" w:hAnsi="Times New Roman" w:cs="Times New Roman"/>
          <w:sz w:val="24"/>
        </w:rPr>
        <w:t>.</w:t>
      </w:r>
    </w:p>
    <w:p>
      <w:pPr>
        <w:rPr>
          <w:rFonts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1.2.</w:t>
      </w:r>
      <w:r>
        <w:rPr>
          <w:rFonts w:ascii="Times New Roman" w:hAnsi="Times New Roman"/>
          <w:b/>
          <w:sz w:val="24"/>
        </w:rPr>
        <w:t xml:space="preserve"> Cellular uptake and lysosomal distribution of F68@TA/RB in 4T1 cells</w:t>
      </w:r>
    </w:p>
    <w:p>
      <w:pPr>
        <w:ind w:firstLine="56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study the distribution behavior of F68@TA in 4T1 cells especially in lysosomes, F68@TA/RB was prepared according to the synthesis process of F68@TA/CDDP. 4T1 cells was seeded in a 6-well plate with the density of 3×10</w:t>
      </w:r>
      <w:r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 cells per well. After cells adhered to the plate, culture medium containing F68@TA/RB (RB: 10 μg/mL) was added and co-incubated with cells for different time (0.5, 1, 2, 3, 4, and 6 h). Then flow cytometry (Accuri C6) and CLSM (TCS SP8 STED) were used to detect the cellular uptake of F68@TA/RB for different groups. </w:t>
      </w:r>
    </w:p>
    <w:p>
      <w:pPr>
        <w:ind w:firstLine="56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addition, lysosomes were marked by lysosomal tracker with green fluorescence. Colocation efficiency of F68@TA/RB and lysosomes at different incubation time points (2, 4, and 7 h) was evaluated by CLSM and analyzed by Image J. </w:t>
      </w:r>
      <w:bookmarkStart w:id="1" w:name="_Toc48914300"/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 Tumor cell selective self-amplification of MINR</w:t>
      </w:r>
      <w:bookmarkEnd w:id="1"/>
    </w:p>
    <w:p>
      <w:pPr>
        <w:ind w:firstLine="480" w:firstLineChars="200"/>
        <w:rPr>
          <w:rFonts w:hint="default" w:ascii="Times New Roman" w:hAnsi="Times New Roman" w:cs="Times New Roman" w:eastAsiaTheme="minorEastAsia"/>
          <w:sz w:val="24"/>
          <w:szCs w:val="24"/>
          <w:highlight w:val="green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hint="eastAsia"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umor cell selective self-amplification studies, 4T1 cells were used as the tumor cell model, and Hs578Bst cells were used as the healthy cell model.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 xml:space="preserve">The equivalent concentration of CDDP was 1 </w:t>
      </w:r>
      <w:r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  <w:t>μ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>g/mL.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i/>
          <w:sz w:val="24"/>
          <w:szCs w:val="24"/>
        </w:rPr>
        <w:t>NOX4</w:t>
      </w:r>
      <w:r>
        <w:rPr>
          <w:rFonts w:ascii="Times New Roman" w:hAnsi="Times New Roman" w:cs="Times New Roman"/>
          <w:i/>
          <w:sz w:val="24"/>
          <w:szCs w:val="24"/>
        </w:rPr>
        <w:t xml:space="preserve"> level detection in 4T1 and Hs578Bst</w:t>
      </w:r>
      <w:r>
        <w:rPr>
          <w:rFonts w:hint="eastAsia" w:ascii="Times New Roman" w:hAnsi="Times New Roman" w:cs="Times New Roman"/>
          <w:i/>
          <w:sz w:val="24"/>
          <w:szCs w:val="24"/>
        </w:rPr>
        <w:t xml:space="preserve"> cells: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4T1 and Hs578Bst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 in </w:t>
      </w:r>
      <w:r>
        <w:rPr>
          <w:rFonts w:ascii="Times New Roman" w:hAnsi="Times New Roman" w:cs="Times New Roman"/>
          <w:sz w:val="24"/>
          <w:szCs w:val="24"/>
        </w:rPr>
        <w:t>logarithmic phase</w:t>
      </w:r>
      <w:r>
        <w:rPr>
          <w:rFonts w:hint="eastAsia" w:ascii="Times New Roman" w:hAnsi="Times New Roman" w:cs="Times New Roman"/>
          <w:sz w:val="24"/>
          <w:szCs w:val="24"/>
        </w:rPr>
        <w:t xml:space="preserve"> were collected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lysed for total proteins.</w:t>
      </w:r>
      <w:r>
        <w:rPr>
          <w:rFonts w:hint="eastAsia" w:ascii="Times New Roman" w:hAnsi="Times New Roman" w:cs="Times New Roman"/>
          <w:sz w:val="24"/>
          <w:szCs w:val="24"/>
        </w:rPr>
        <w:t xml:space="preserve"> Then western blotting assays were conducted, in which NOX4 and GAPDH antibody was used. After exposure, the relative gray value of NOX4 and GAPDH was conducted for</w:t>
      </w:r>
      <w:r>
        <w:rPr>
          <w:rFonts w:ascii="Times New Roman" w:hAnsi="Times New Roman" w:cs="Times New Roman"/>
          <w:sz w:val="24"/>
          <w:szCs w:val="24"/>
        </w:rPr>
        <w:t xml:space="preserve"> semi-quantitative analysis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i/>
          <w:sz w:val="24"/>
          <w:szCs w:val="24"/>
        </w:rPr>
        <w:t>H</w:t>
      </w:r>
      <w:r>
        <w:rPr>
          <w:rFonts w:hint="eastAsia" w:ascii="Times New Roman" w:hAnsi="Times New Roman" w:cs="Times New Roman"/>
          <w:i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i/>
          <w:sz w:val="24"/>
          <w:szCs w:val="24"/>
        </w:rPr>
        <w:t>O</w:t>
      </w:r>
      <w:r>
        <w:rPr>
          <w:rFonts w:hint="eastAsia" w:ascii="Times New Roman" w:hAnsi="Times New Roman" w:cs="Times New Roman"/>
          <w:i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 xml:space="preserve"> level detection in 4T1 and Hs578Bst</w:t>
      </w:r>
      <w:r>
        <w:rPr>
          <w:rFonts w:hint="eastAsia" w:ascii="Times New Roman" w:hAnsi="Times New Roman" w:cs="Times New Roman"/>
          <w:i/>
          <w:sz w:val="24"/>
          <w:szCs w:val="24"/>
        </w:rPr>
        <w:t xml:space="preserve"> cells: </w:t>
      </w:r>
      <w:r>
        <w:rPr>
          <w:rFonts w:ascii="Times New Roman" w:hAnsi="Times New Roman" w:cs="Times New Roman"/>
          <w:sz w:val="24"/>
          <w:szCs w:val="24"/>
        </w:rPr>
        <w:t>4T1 and Hs578Bst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 were seeded in 6-well plates,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hint="eastAsia" w:ascii="Times New Roman" w:hAnsi="Times New Roman" w:cs="Times New Roman"/>
          <w:sz w:val="24"/>
          <w:szCs w:val="24"/>
        </w:rPr>
        <w:t xml:space="preserve"> treated with or without CDDP for 18 h. T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hint="eastAsia" w:ascii="Times New Roman" w:hAnsi="Times New Roman" w:cs="Times New Roman"/>
          <w:sz w:val="24"/>
          <w:szCs w:val="24"/>
        </w:rPr>
        <w:t>en BES-H</w:t>
      </w:r>
      <w:r>
        <w:rPr>
          <w:rFonts w:hint="eastAsia"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O</w:t>
      </w:r>
      <w:r>
        <w:rPr>
          <w:rFonts w:hint="eastAsia"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 xml:space="preserve">-Ac probe was used to </w:t>
      </w:r>
      <w:r>
        <w:rPr>
          <w:rFonts w:ascii="Times New Roman" w:hAnsi="Times New Roman" w:cs="Times New Roman"/>
          <w:sz w:val="24"/>
          <w:szCs w:val="24"/>
        </w:rPr>
        <w:t>visualize</w:t>
      </w:r>
      <w:r>
        <w:rPr>
          <w:rFonts w:hint="eastAsia" w:ascii="Times New Roman" w:hAnsi="Times New Roman" w:cs="Times New Roman"/>
          <w:sz w:val="24"/>
          <w:szCs w:val="24"/>
        </w:rPr>
        <w:t xml:space="preserve"> the intracellular H</w:t>
      </w:r>
      <w:r>
        <w:rPr>
          <w:rFonts w:hint="eastAsia"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O</w:t>
      </w:r>
      <w:r>
        <w:rPr>
          <w:rFonts w:hint="eastAsia"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 xml:space="preserve"> level. </w:t>
      </w:r>
      <w:r>
        <w:rPr>
          <w:rFonts w:ascii="Times New Roman" w:hAnsi="Times New Roman" w:cs="Times New Roman"/>
          <w:sz w:val="24"/>
          <w:szCs w:val="24"/>
        </w:rPr>
        <w:t>Fluorescence semi-quantitative analysis</w:t>
      </w:r>
      <w:r>
        <w:rPr>
          <w:rFonts w:hint="eastAsia" w:ascii="Times New Roman" w:hAnsi="Times New Roman" w:cs="Times New Roman"/>
          <w:sz w:val="24"/>
          <w:szCs w:val="24"/>
        </w:rPr>
        <w:t xml:space="preserve"> was conducted by Image J.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i/>
          <w:sz w:val="24"/>
          <w:szCs w:val="24"/>
        </w:rPr>
        <w:t>Cellular uptake of F68@TA@Ag</w:t>
      </w:r>
      <w:r>
        <w:rPr>
          <w:rFonts w:ascii="Times New Roman" w:hAnsi="Times New Roman" w:cs="Times New Roman"/>
          <w:i/>
          <w:sz w:val="24"/>
          <w:szCs w:val="24"/>
        </w:rPr>
        <w:t xml:space="preserve"> in 4T1 and Hs578Bst</w:t>
      </w:r>
      <w:r>
        <w:rPr>
          <w:rFonts w:hint="eastAsia" w:ascii="Times New Roman" w:hAnsi="Times New Roman" w:cs="Times New Roman"/>
          <w:i/>
          <w:sz w:val="24"/>
          <w:szCs w:val="24"/>
        </w:rPr>
        <w:t xml:space="preserve"> cells: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4T1 and Hs578Bst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 were seeded in 6-well plates overnight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hint="eastAsia" w:ascii="Times New Roman" w:hAnsi="Times New Roman" w:cs="Times New Roman"/>
          <w:sz w:val="24"/>
          <w:szCs w:val="24"/>
        </w:rPr>
        <w:t xml:space="preserve"> incubated with F68@TA@Ag/RB (RB: 5 </w:t>
      </w:r>
      <w:r>
        <w:rPr>
          <w:rFonts w:ascii="Times New Roman" w:hAnsi="Times New Roman" w:cs="Times New Roman"/>
          <w:sz w:val="24"/>
          <w:szCs w:val="24"/>
        </w:rPr>
        <w:t>μ</w:t>
      </w:r>
      <w:r>
        <w:rPr>
          <w:rFonts w:hint="eastAsia" w:ascii="Times New Roman" w:hAnsi="Times New Roman" w:cs="Times New Roman"/>
          <w:sz w:val="24"/>
          <w:szCs w:val="24"/>
        </w:rPr>
        <w:t xml:space="preserve">g/mL) for different time (0, 4, and 12 h). After incubation, cells were washed by PBS twice and collected for flow </w:t>
      </w:r>
      <w:r>
        <w:rPr>
          <w:rFonts w:ascii="Times New Roman" w:hAnsi="Times New Roman" w:cs="Times New Roman"/>
          <w:sz w:val="24"/>
          <w:szCs w:val="24"/>
        </w:rPr>
        <w:t>cytometry</w:t>
      </w:r>
      <w:r>
        <w:rPr>
          <w:rFonts w:hint="eastAsia" w:ascii="Times New Roman" w:hAnsi="Times New Roman" w:cs="Times New Roman"/>
          <w:sz w:val="24"/>
          <w:szCs w:val="24"/>
        </w:rPr>
        <w:t xml:space="preserve"> test.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i/>
          <w:sz w:val="24"/>
          <w:szCs w:val="24"/>
        </w:rPr>
        <w:t>Cl</w:t>
      </w:r>
      <w:r>
        <w:rPr>
          <w:rFonts w:hint="eastAsia" w:ascii="Times New Roman" w:hAnsi="Times New Roman" w:cs="Times New Roman"/>
          <w:i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 xml:space="preserve"> level detection in 4T1 and Hs578Bst</w:t>
      </w:r>
      <w:r>
        <w:rPr>
          <w:rFonts w:hint="eastAsia" w:ascii="Times New Roman" w:hAnsi="Times New Roman" w:cs="Times New Roman"/>
          <w:i/>
          <w:sz w:val="24"/>
          <w:szCs w:val="24"/>
        </w:rPr>
        <w:t xml:space="preserve"> cells: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4T1 and Hs578Bst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 were seeded in 6-well plates,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hint="eastAsia" w:ascii="Times New Roman" w:hAnsi="Times New Roman" w:cs="Times New Roman"/>
          <w:sz w:val="24"/>
          <w:szCs w:val="24"/>
        </w:rPr>
        <w:t xml:space="preserve"> treated with F68@TA@Ag, or AINR for 12 h. T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hint="eastAsia" w:ascii="Times New Roman" w:hAnsi="Times New Roman" w:cs="Times New Roman"/>
          <w:sz w:val="24"/>
          <w:szCs w:val="24"/>
        </w:rPr>
        <w:t xml:space="preserve">en MQAE probe was used to </w:t>
      </w:r>
      <w:r>
        <w:rPr>
          <w:rFonts w:ascii="Times New Roman" w:hAnsi="Times New Roman" w:cs="Times New Roman"/>
          <w:sz w:val="24"/>
          <w:szCs w:val="24"/>
        </w:rPr>
        <w:t>visualize</w:t>
      </w:r>
      <w:r>
        <w:rPr>
          <w:rFonts w:hint="eastAsia" w:ascii="Times New Roman" w:hAnsi="Times New Roman" w:cs="Times New Roman"/>
          <w:sz w:val="24"/>
          <w:szCs w:val="24"/>
        </w:rPr>
        <w:t xml:space="preserve"> the intracellular Cl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hint="eastAsia" w:ascii="Times New Roman" w:hAnsi="Times New Roman" w:cs="Times New Roman"/>
          <w:sz w:val="24"/>
          <w:szCs w:val="24"/>
        </w:rPr>
        <w:t xml:space="preserve"> level. </w:t>
      </w:r>
      <w:r>
        <w:rPr>
          <w:rFonts w:ascii="Times New Roman" w:hAnsi="Times New Roman" w:cs="Times New Roman"/>
          <w:sz w:val="24"/>
          <w:szCs w:val="24"/>
        </w:rPr>
        <w:t>Fluorescence semi-quantitative analysis</w:t>
      </w:r>
      <w:r>
        <w:rPr>
          <w:rFonts w:hint="eastAsia" w:ascii="Times New Roman" w:hAnsi="Times New Roman" w:cs="Times New Roman"/>
          <w:sz w:val="24"/>
          <w:szCs w:val="24"/>
        </w:rPr>
        <w:t xml:space="preserve"> was conducted by Image J.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i/>
          <w:sz w:val="24"/>
          <w:szCs w:val="24"/>
        </w:rPr>
        <w:t>Pt content</w:t>
      </w:r>
      <w:r>
        <w:rPr>
          <w:rFonts w:ascii="Times New Roman" w:hAnsi="Times New Roman" w:cs="Times New Roman"/>
          <w:i/>
          <w:sz w:val="24"/>
          <w:szCs w:val="24"/>
        </w:rPr>
        <w:t xml:space="preserve"> detection in 4T1 and Hs578Bst</w:t>
      </w:r>
      <w:r>
        <w:rPr>
          <w:rFonts w:hint="eastAsia" w:ascii="Times New Roman" w:hAnsi="Times New Roman" w:cs="Times New Roman"/>
          <w:i/>
          <w:sz w:val="24"/>
          <w:szCs w:val="24"/>
        </w:rPr>
        <w:t xml:space="preserve"> cells: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4T1 and Hs578Bst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 were seeded in 6-well plates,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hint="eastAsia" w:ascii="Times New Roman" w:hAnsi="Times New Roman" w:cs="Times New Roman"/>
          <w:sz w:val="24"/>
          <w:szCs w:val="24"/>
        </w:rPr>
        <w:t xml:space="preserve"> treated with CDDP, or AINR for 24 h. </w:t>
      </w:r>
      <w:r>
        <w:rPr>
          <w:rFonts w:ascii="Times New Roman" w:hAnsi="Times New Roman" w:cs="Times New Roman"/>
          <w:sz w:val="24"/>
          <w:szCs w:val="24"/>
        </w:rPr>
        <w:t>After incubation, cells were</w:t>
      </w:r>
      <w:r>
        <w:rPr>
          <w:rFonts w:hint="eastAsia" w:ascii="Times New Roman" w:hAnsi="Times New Roman" w:cs="Times New Roman"/>
          <w:sz w:val="24"/>
          <w:szCs w:val="24"/>
        </w:rPr>
        <w:t xml:space="preserve"> used for Pt content detection.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i/>
          <w:sz w:val="24"/>
          <w:szCs w:val="24"/>
        </w:rPr>
        <w:t xml:space="preserve">Cytotoxicity in </w:t>
      </w:r>
      <w:r>
        <w:rPr>
          <w:rFonts w:ascii="Times New Roman" w:hAnsi="Times New Roman" w:cs="Times New Roman"/>
          <w:i/>
          <w:sz w:val="24"/>
          <w:szCs w:val="24"/>
        </w:rPr>
        <w:t>4T1 and Hs578Bst</w:t>
      </w:r>
      <w:r>
        <w:rPr>
          <w:rFonts w:hint="eastAsia" w:ascii="Times New Roman" w:hAnsi="Times New Roman" w:cs="Times New Roman"/>
          <w:i/>
          <w:sz w:val="24"/>
          <w:szCs w:val="24"/>
        </w:rPr>
        <w:t xml:space="preserve"> cells: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4T1 and Hs578Bst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 were seeded in 96-well plates,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hint="eastAsia" w:ascii="Times New Roman" w:hAnsi="Times New Roman" w:cs="Times New Roman"/>
          <w:sz w:val="24"/>
          <w:szCs w:val="24"/>
        </w:rPr>
        <w:t xml:space="preserve"> treated with CDDP (1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μ</w:t>
      </w:r>
      <w:r>
        <w:rPr>
          <w:rFonts w:hint="eastAsia" w:ascii="Times New Roman" w:hAnsi="Times New Roman" w:cs="Times New Roman"/>
          <w:sz w:val="24"/>
          <w:szCs w:val="24"/>
        </w:rPr>
        <w:t xml:space="preserve">g/mL), F68@TA@Ag, or AINR for 24 h. CCK8 was used to evaluate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hint="eastAsia" w:ascii="Times New Roman" w:hAnsi="Times New Roman" w:cs="Times New Roman"/>
          <w:sz w:val="24"/>
          <w:szCs w:val="24"/>
        </w:rPr>
        <w:t xml:space="preserve"> survival rate of </w:t>
      </w:r>
      <w:r>
        <w:rPr>
          <w:rFonts w:ascii="Times New Roman" w:hAnsi="Times New Roman" w:cs="Times New Roman"/>
          <w:sz w:val="24"/>
          <w:szCs w:val="24"/>
        </w:rPr>
        <w:t>4T1 and Hs578Bst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 after </w:t>
      </w:r>
      <w:r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hint="eastAsia" w:ascii="Times New Roman" w:hAnsi="Times New Roman" w:cs="Times New Roman"/>
          <w:sz w:val="24"/>
          <w:szCs w:val="24"/>
        </w:rPr>
        <w:t xml:space="preserve"> treatment. </w:t>
      </w:r>
      <w:bookmarkStart w:id="2" w:name="_Toc48914302"/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Establishment of animal models</w:t>
      </w:r>
      <w:bookmarkEnd w:id="2"/>
    </w:p>
    <w:p>
      <w:pPr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Female BALB/c mice (5−6 weeks, 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± 2 g, No. DW2020060014) was purchased from Experimental Animal Center of Henan Province (Zhengzhou, China). All animal experiments were performed in compliance with the Institutional Animal Care and Use Committee of Zhengzhou University</w:t>
      </w:r>
      <w:r>
        <w:rPr>
          <w:rFonts w:hint="eastAsia"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ZZU-19211-1-6</w:t>
      </w:r>
      <w:r>
        <w:rPr>
          <w:rFonts w:hint="eastAsia"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Minion Pro" w:hAnsi="Minion Pro"/>
          <w:sz w:val="24"/>
          <w:szCs w:val="24"/>
          <w:highlight w:val="green"/>
        </w:rPr>
        <w:t>Accreditation number of the animal laboratory</w:t>
      </w:r>
      <w:r>
        <w:rPr>
          <w:rFonts w:hint="eastAsia" w:ascii="Minion Pro" w:hAnsi="Minion Pro"/>
          <w:sz w:val="24"/>
          <w:szCs w:val="24"/>
          <w:highlight w:val="green"/>
        </w:rPr>
        <w:t xml:space="preserve"> is SCXK (YU) 201</w:t>
      </w:r>
      <w:r>
        <w:rPr>
          <w:rFonts w:hint="eastAsia" w:ascii="Minion Pro" w:hAnsi="Minion Pro"/>
          <w:sz w:val="24"/>
          <w:szCs w:val="24"/>
          <w:highlight w:val="green"/>
          <w:lang w:val="en-US" w:eastAsia="zh-CN"/>
        </w:rPr>
        <w:t>8</w:t>
      </w:r>
      <w:r>
        <w:rPr>
          <w:rFonts w:hint="eastAsia" w:ascii="Minion Pro" w:hAnsi="Minion Pro"/>
          <w:sz w:val="24"/>
          <w:szCs w:val="24"/>
          <w:highlight w:val="green"/>
        </w:rPr>
        <w:t>-000</w:t>
      </w:r>
      <w:r>
        <w:rPr>
          <w:rFonts w:hint="eastAsia" w:ascii="Minion Pro" w:hAnsi="Minion Pro"/>
          <w:sz w:val="24"/>
          <w:szCs w:val="24"/>
          <w:highlight w:val="green"/>
          <w:lang w:val="en-US" w:eastAsia="zh-CN"/>
        </w:rPr>
        <w:t>4</w:t>
      </w:r>
      <w:r>
        <w:rPr>
          <w:rFonts w:hint="eastAsia" w:ascii="Minion Pro" w:hAnsi="Minion Pro"/>
          <w:sz w:val="24"/>
          <w:szCs w:val="24"/>
          <w:highlight w:val="green"/>
        </w:rPr>
        <w:t>.</w:t>
      </w:r>
      <w:r>
        <w:rPr>
          <w:rFonts w:hint="eastAsia" w:ascii="Minion Pro" w:hAnsi="Minion Pro"/>
          <w:sz w:val="24"/>
          <w:szCs w:val="24"/>
          <w:highlight w:val="green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4T1 cells (</w:t>
      </w:r>
      <w:r>
        <w:rPr>
          <w:rFonts w:hint="eastAsia"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×10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</w:rPr>
        <w:t>) were subcutaneously inoculated on the right forelimb of BALB/C mice. The tumor volume of mice w</w:t>
      </w:r>
      <w:r>
        <w:rPr>
          <w:rFonts w:hint="eastAsia"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measured using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calipers every two days. The tumor volumes were calculated by </w:t>
      </w:r>
      <w:r>
        <w:rPr>
          <w:rFonts w:hint="eastAsia" w:ascii="Times New Roman" w:hAnsi="Times New Roman" w:cs="Times New Roman"/>
          <w:sz w:val="24"/>
          <w:szCs w:val="24"/>
        </w:rPr>
        <w:t xml:space="preserve">the following formulation: </w:t>
      </w:r>
      <w:r>
        <w:rPr>
          <w:rFonts w:ascii="Times New Roman" w:hAnsi="Times New Roman" w:cs="Times New Roman"/>
          <w:sz w:val="24"/>
          <w:szCs w:val="24"/>
        </w:rPr>
        <w:t>tumor volume (mm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= (tumor length) × (tumor width)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)/2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4T1 cells bearing mice were used for animal experiments when the tumor volume reached 100-200 mm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cs="Times New Roman"/>
          <w:sz w:val="24"/>
          <w:szCs w:val="24"/>
        </w:rPr>
        <w:t xml:space="preserve">. The mice treated with CDDP (3 </w:t>
      </w:r>
      <w:r>
        <w:rPr>
          <w:rFonts w:ascii="Times New Roman" w:hAnsi="Times New Roman" w:cs="Times New Roman"/>
          <w:sz w:val="24"/>
          <w:szCs w:val="24"/>
        </w:rPr>
        <w:t>mg/kg</w:t>
      </w:r>
      <w:r>
        <w:rPr>
          <w:rFonts w:hint="eastAsia" w:ascii="Times New Roman" w:hAnsi="Times New Roman" w:cs="Times New Roman"/>
          <w:sz w:val="24"/>
          <w:szCs w:val="24"/>
        </w:rPr>
        <w:t>) were set as positive control.</w:t>
      </w:r>
    </w:p>
    <w:p>
      <w:pPr>
        <w:rPr>
          <w:rFonts w:ascii="Times New Roman" w:hAnsi="Times New Roman" w:cs="Times New Roman"/>
          <w:b/>
          <w:bCs/>
          <w:sz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after="312" w:afterLines="100"/>
        <w:rPr>
          <w:rFonts w:ascii="Times New Roman" w:hAnsi="Times New Roman" w:cs="Times New Roman"/>
          <w:b/>
          <w:bCs/>
          <w:sz w:val="28"/>
        </w:rPr>
      </w:pPr>
      <w:r>
        <w:rPr>
          <w:rFonts w:hint="eastAsia" w:ascii="Times New Roman" w:hAnsi="Times New Roman" w:cs="Times New Roman"/>
          <w:b/>
          <w:bCs/>
          <w:sz w:val="28"/>
        </w:rPr>
        <w:t>2</w:t>
      </w:r>
      <w:r>
        <w:rPr>
          <w:rFonts w:ascii="Times New Roman" w:hAnsi="Times New Roman" w:cs="Times New Roman"/>
          <w:b/>
          <w:bCs/>
          <w:sz w:val="28"/>
        </w:rPr>
        <w:t xml:space="preserve"> Supporting Results </w:t>
      </w:r>
    </w:p>
    <w:p>
      <w:pPr>
        <w:jc w:val="center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sz w:val="24"/>
          <w:szCs w:val="21"/>
        </w:rPr>
        <w:drawing>
          <wp:inline distT="0" distB="0" distL="0" distR="0">
            <wp:extent cx="5274310" cy="1962785"/>
            <wp:effectExtent l="0" t="0" r="2540" b="0"/>
            <wp:docPr id="5" name="图片 5" descr="D:\博士课题\博士课题\增强顺铂抗肿瘤\文章附图4\Figure S2 F68与TA的质量比对F68@TA粒径和电位的影响\透析前后不同F68和TA质量比对F68@TA纳米粒粒径电位影响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博士课题\博士课题\增强顺铂抗肿瘤\文章附图4\Figure S2 F68与TA的质量比对F68@TA粒径和电位的影响\透析前后不同F68和TA质量比对F68@TA纳米粒粒径电位影响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/>
        <w:spacing w:after="312" w:afterLines="100" w:line="240" w:lineRule="auto"/>
      </w:pPr>
      <w:bookmarkStart w:id="3" w:name="_Toc55465830"/>
      <w:r>
        <w:rPr>
          <w:b/>
        </w:rPr>
        <w:t>Figure S</w:t>
      </w:r>
      <w:r>
        <w:rPr>
          <w:b/>
        </w:rPr>
        <w:fldChar w:fldCharType="begin"/>
      </w:r>
      <w:r>
        <w:rPr>
          <w:b/>
        </w:rPr>
        <w:instrText xml:space="preserve"> SEQ Figure_S \* ARABIC </w:instrText>
      </w:r>
      <w:r>
        <w:rPr>
          <w:b/>
        </w:rPr>
        <w:fldChar w:fldCharType="separate"/>
      </w:r>
      <w:r>
        <w:rPr>
          <w:b/>
        </w:rPr>
        <w:t>1</w:t>
      </w:r>
      <w:r>
        <w:rPr>
          <w:b/>
        </w:rPr>
        <w:fldChar w:fldCharType="end"/>
      </w:r>
      <w:r>
        <w:rPr>
          <w:rFonts w:hint="eastAsia" w:eastAsiaTheme="minorEastAsia"/>
          <w:b/>
        </w:rPr>
        <w:t>.</w:t>
      </w:r>
      <w:r>
        <w:rPr>
          <w:rFonts w:hint="eastAsia" w:eastAsiaTheme="minorEastAsia"/>
        </w:rPr>
        <w:t xml:space="preserve"> </w:t>
      </w:r>
      <w:r>
        <w:rPr>
          <w:rFonts w:hint="eastAsia"/>
        </w:rPr>
        <w:t>DLS analysis of F68@TA prepared by different mass ratio of F68 and TA.</w:t>
      </w:r>
      <w:r>
        <w:rPr>
          <w:rFonts w:hint="eastAsia" w:eastAsiaTheme="minorEastAsia"/>
        </w:rPr>
        <w:t xml:space="preserve"> (n=3)</w:t>
      </w:r>
      <w:bookmarkEnd w:id="3"/>
    </w:p>
    <w:p>
      <w:pPr>
        <w:jc w:val="center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sz w:val="24"/>
          <w:szCs w:val="21"/>
        </w:rPr>
        <w:drawing>
          <wp:inline distT="0" distB="0" distL="0" distR="0">
            <wp:extent cx="3956685" cy="1920240"/>
            <wp:effectExtent l="0" t="0" r="5715" b="38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951" cy="192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240" w:lineRule="auto"/>
        <w:rPr>
          <w:rFonts w:hint="eastAsia"/>
        </w:rPr>
      </w:pPr>
      <w:bookmarkStart w:id="4" w:name="_Toc55465831"/>
      <w:r>
        <w:rPr>
          <w:b/>
        </w:rPr>
        <w:t>Figure S</w:t>
      </w:r>
      <w:r>
        <w:rPr>
          <w:b/>
        </w:rPr>
        <w:fldChar w:fldCharType="begin"/>
      </w:r>
      <w:r>
        <w:rPr>
          <w:b/>
        </w:rPr>
        <w:instrText xml:space="preserve"> SEQ Figure_S \* ARABIC </w:instrText>
      </w:r>
      <w:r>
        <w:rPr>
          <w:b/>
        </w:rPr>
        <w:fldChar w:fldCharType="separate"/>
      </w:r>
      <w:r>
        <w:rPr>
          <w:b/>
        </w:rPr>
        <w:t>2</w:t>
      </w:r>
      <w:r>
        <w:rPr>
          <w:b/>
        </w:rPr>
        <w:fldChar w:fldCharType="end"/>
      </w:r>
      <w:r>
        <w:rPr>
          <w:rFonts w:hint="eastAsia" w:eastAsiaTheme="minorEastAsia"/>
          <w:b/>
        </w:rPr>
        <w:t>.</w:t>
      </w:r>
      <w:r>
        <w:rPr>
          <w:rFonts w:hint="eastAsia"/>
        </w:rPr>
        <w:t xml:space="preserve"> TEM images of F68@TA@Ag NPs prepared with different content of AgNO</w:t>
      </w:r>
      <w:r>
        <w:rPr>
          <w:rFonts w:hint="eastAsia"/>
          <w:vertAlign w:val="subscript"/>
        </w:rPr>
        <w:t>3</w:t>
      </w:r>
      <w:r>
        <w:rPr>
          <w:rFonts w:hint="eastAsia"/>
        </w:rPr>
        <w:t>.</w:t>
      </w:r>
      <w:bookmarkEnd w:id="4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2028825"/>
            <wp:effectExtent l="0" t="0" r="8890" b="13335"/>
            <wp:docPr id="4" name="图片 4" descr="E:\paper\顺铂课题2022.61修改文章版本\to JNB\补数据\F68@TA@Ag-CDDP粒径电位图.tifF68@TA@Ag-CDDP粒径电位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\paper\顺铂课题2022.61修改文章版本\to JNB\补数据\F68@TA@Ag-CDDP粒径电位图.tifF68@TA@Ag-CDDP粒径电位图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sz w:val="24"/>
          <w:szCs w:val="2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8"/>
          <w:highlight w:val="yellow"/>
          <w:lang w:val="en-US" w:eastAsia="zh-CN"/>
        </w:rPr>
        <w:t>Figure S3</w:t>
      </w:r>
      <w:r>
        <w:rPr>
          <w:rFonts w:hint="eastAsia" w:ascii="Times New Roman" w:hAnsi="Times New Roman" w:cs="Times New Roman"/>
          <w:b/>
          <w:bCs/>
          <w:sz w:val="24"/>
          <w:szCs w:val="28"/>
          <w:highlight w:val="yellow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8"/>
          <w:highlight w:val="yellow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8"/>
          <w:highlight w:val="yellow"/>
          <w:lang w:val="en-US" w:eastAsia="zh-CN"/>
        </w:rPr>
        <w:t xml:space="preserve">(A) </w:t>
      </w:r>
      <w:r>
        <w:rPr>
          <w:rFonts w:hint="default" w:ascii="Times New Roman" w:hAnsi="Times New Roman" w:cs="Times New Roman"/>
          <w:sz w:val="24"/>
          <w:szCs w:val="28"/>
          <w:highlight w:val="yellow"/>
          <w:lang w:val="en-US" w:eastAsia="zh-CN"/>
        </w:rPr>
        <w:t xml:space="preserve">Size distributions and </w:t>
      </w:r>
      <w:r>
        <w:rPr>
          <w:rFonts w:hint="eastAsia" w:ascii="Times New Roman" w:hAnsi="Times New Roman" w:cs="Times New Roman"/>
          <w:sz w:val="24"/>
          <w:szCs w:val="28"/>
          <w:highlight w:val="yellow"/>
          <w:lang w:val="en-US" w:eastAsia="zh-CN"/>
        </w:rPr>
        <w:t xml:space="preserve">(B) </w:t>
      </w:r>
      <w:r>
        <w:rPr>
          <w:rFonts w:hint="default" w:ascii="Times New Roman" w:hAnsi="Times New Roman" w:cs="Times New Roman"/>
          <w:sz w:val="24"/>
          <w:szCs w:val="28"/>
          <w:highlight w:val="yellow"/>
          <w:lang w:val="en-US" w:eastAsia="zh-CN"/>
        </w:rPr>
        <w:t xml:space="preserve">zeta potentials of F68@TA, </w:t>
      </w:r>
      <w:r>
        <w:rPr>
          <w:rFonts w:hint="default" w:ascii="Times New Roman" w:hAnsi="Times New Roman" w:cs="Times New Roman"/>
          <w:sz w:val="24"/>
          <w:szCs w:val="28"/>
          <w:highlight w:val="yellow"/>
        </w:rPr>
        <w:t>F68@TA</w:t>
      </w:r>
      <w:r>
        <w:rPr>
          <w:rFonts w:hint="eastAsia" w:ascii="Times New Roman" w:hAnsi="Times New Roman" w:cs="Times New Roman"/>
          <w:sz w:val="24"/>
          <w:szCs w:val="28"/>
          <w:highlight w:val="yellow"/>
          <w:lang w:val="en-US" w:eastAsia="zh-CN"/>
        </w:rPr>
        <w:t>/CDDP,</w:t>
      </w:r>
      <w:r>
        <w:rPr>
          <w:rFonts w:hint="default" w:ascii="Times New Roman" w:hAnsi="Times New Roman" w:cs="Times New Roman"/>
          <w:sz w:val="24"/>
          <w:szCs w:val="28"/>
          <w:highlight w:val="yellow"/>
          <w:lang w:val="en-US" w:eastAsia="zh-CN"/>
        </w:rPr>
        <w:t xml:space="preserve"> and AINR solution</w:t>
      </w:r>
      <w:r>
        <w:rPr>
          <w:rFonts w:hint="eastAsia" w:ascii="Times New Roman" w:hAnsi="Times New Roman" w:cs="Times New Roman"/>
          <w:sz w:val="24"/>
          <w:szCs w:val="28"/>
          <w:highlight w:val="yellow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8"/>
          <w:highlight w:val="yellow"/>
          <w:lang w:val="en-US" w:eastAsia="zh-CN"/>
        </w:rPr>
        <w:t>.</w:t>
      </w:r>
    </w:p>
    <w:p>
      <w:pPr>
        <w:rPr>
          <w:rFonts w:hint="eastAsia"/>
        </w:rPr>
      </w:pPr>
    </w:p>
    <w:p/>
    <w:p>
      <w:pPr>
        <w:jc w:val="center"/>
      </w:pPr>
      <w:r>
        <w:drawing>
          <wp:inline distT="0" distB="0" distL="0" distR="0">
            <wp:extent cx="1798320" cy="1173480"/>
            <wp:effectExtent l="0" t="0" r="0" b="0"/>
            <wp:docPr id="12" name="图片 12" descr="D:\博士课题\博士课题\增强顺铂抗肿瘤\文章附图4\数据图\pH依赖性的丁达尔效应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\博士课题\博士课题\增强顺铂抗肿瘤\文章附图4\数据图\pH依赖性的丁达尔效应-0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240" w:lineRule="auto"/>
        <w:rPr>
          <w:rFonts w:eastAsiaTheme="minorEastAsia"/>
        </w:rPr>
      </w:pPr>
      <w:bookmarkStart w:id="5" w:name="_Toc55465832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4</w:t>
      </w:r>
      <w:r>
        <w:rPr>
          <w:rFonts w:hint="eastAsia" w:eastAsiaTheme="minorEastAsia"/>
          <w:b/>
        </w:rPr>
        <w:t>.</w:t>
      </w:r>
      <w:r>
        <w:rPr>
          <w:rFonts w:hint="eastAsia" w:eastAsiaTheme="minorEastAsia"/>
        </w:rPr>
        <w:t xml:space="preserve"> </w:t>
      </w:r>
      <w:r>
        <w:rPr>
          <w:rFonts w:eastAsiaTheme="minorEastAsia"/>
        </w:rPr>
        <w:t>Tyndall Effect</w:t>
      </w:r>
      <w:r>
        <w:rPr>
          <w:rFonts w:hint="eastAsia" w:eastAsiaTheme="minorEastAsia"/>
        </w:rPr>
        <w:t>s of F68@TA/CDDP solution at different pH</w:t>
      </w:r>
      <w:r>
        <w:rPr>
          <w:rFonts w:hint="eastAsia" w:eastAsiaTheme="minorEastAsia"/>
          <w:lang w:val="en-US" w:eastAsia="zh-CN"/>
        </w:rPr>
        <w:t>s</w:t>
      </w:r>
      <w:r>
        <w:rPr>
          <w:rFonts w:hint="eastAsia" w:eastAsiaTheme="minorEastAsia"/>
        </w:rPr>
        <w:t xml:space="preserve"> for 1 h.</w:t>
      </w:r>
      <w:bookmarkEnd w:id="5"/>
    </w:p>
    <w:p>
      <w:pPr>
        <w:jc w:val="center"/>
      </w:pPr>
      <w:r>
        <w:drawing>
          <wp:inline distT="0" distB="0" distL="0" distR="0">
            <wp:extent cx="1905000" cy="1534160"/>
            <wp:effectExtent l="0" t="0" r="0" b="8890"/>
            <wp:docPr id="13" name="图片 13" descr="D:\博士课题\博士课题\增强顺铂抗肿瘤\文章附图4\Figure 2\不同pH条件下纳米粒的粒径变化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博士课题\博士课题\增强顺铂抗肿瘤\文章附图4\Figure 2\不同pH条件下纳米粒的粒径变化-0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3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240" w:lineRule="auto"/>
        <w:rPr>
          <w:rFonts w:eastAsiaTheme="minorEastAsia"/>
        </w:rPr>
      </w:pPr>
      <w:bookmarkStart w:id="6" w:name="_Toc55465833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5</w:t>
      </w:r>
      <w:r>
        <w:rPr>
          <w:rFonts w:hint="eastAsia" w:eastAsiaTheme="minorEastAsia"/>
          <w:b/>
        </w:rPr>
        <w:t>.</w:t>
      </w:r>
      <w:r>
        <w:rPr>
          <w:rFonts w:hint="eastAsia" w:eastAsiaTheme="minorEastAsia"/>
        </w:rPr>
        <w:t xml:space="preserve"> </w:t>
      </w:r>
      <w:r>
        <w:rPr>
          <w:rFonts w:cs="Times New Roman"/>
          <w:szCs w:val="21"/>
        </w:rPr>
        <w:t>DLS analysis of</w:t>
      </w:r>
      <w:r>
        <w:rPr>
          <w:rFonts w:hint="eastAsia" w:cs="Times New Roman" w:eastAsiaTheme="minorEastAsia"/>
          <w:szCs w:val="21"/>
        </w:rPr>
        <w:t xml:space="preserve"> F68@TA/CDDP</w:t>
      </w:r>
      <w:r>
        <w:rPr>
          <w:rFonts w:cs="Times New Roman"/>
          <w:szCs w:val="21"/>
        </w:rPr>
        <w:t xml:space="preserve"> treated with PBS at differ</w:t>
      </w:r>
      <w:bookmarkStart w:id="7" w:name="OLE_LINK762"/>
      <w:bookmarkStart w:id="8" w:name="OLE_LINK761"/>
      <w:r>
        <w:rPr>
          <w:rFonts w:cs="Times New Roman"/>
          <w:szCs w:val="21"/>
        </w:rPr>
        <w:t>ent pH</w:t>
      </w:r>
      <w:bookmarkEnd w:id="7"/>
      <w:bookmarkEnd w:id="8"/>
      <w:r>
        <w:rPr>
          <w:rFonts w:hint="eastAsia" w:eastAsia="宋体" w:cs="Times New Roman"/>
          <w:szCs w:val="21"/>
          <w:lang w:val="en-US" w:eastAsia="zh-CN"/>
        </w:rPr>
        <w:t>s</w:t>
      </w:r>
      <w:r>
        <w:rPr>
          <w:rFonts w:cs="Times New Roman"/>
          <w:szCs w:val="21"/>
        </w:rPr>
        <w:t xml:space="preserve"> for </w:t>
      </w:r>
      <w:r>
        <w:rPr>
          <w:rFonts w:hint="eastAsia" w:cs="Times New Roman" w:eastAsiaTheme="minorEastAsia"/>
          <w:szCs w:val="21"/>
        </w:rPr>
        <w:t>48</w:t>
      </w:r>
      <w:r>
        <w:rPr>
          <w:rFonts w:cs="Times New Roman"/>
          <w:szCs w:val="21"/>
        </w:rPr>
        <w:t xml:space="preserve"> h</w:t>
      </w:r>
      <w:bookmarkEnd w:id="6"/>
    </w:p>
    <w:p>
      <w:pPr>
        <w:jc w:val="center"/>
      </w:pPr>
      <w:r>
        <w:drawing>
          <wp:inline distT="0" distB="0" distL="0" distR="0">
            <wp:extent cx="2868295" cy="2344420"/>
            <wp:effectExtent l="0" t="0" r="8255" b="0"/>
            <wp:docPr id="1" name="图片 1" descr="D:\博士课题\博士课题\增强顺铂抗肿瘤\文章附图4\数据图\水合顺铂的检测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博士课题\博士课题\增强顺铂抗肿瘤\文章附图4\数据图\水合顺铂的检测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2182" cy="234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  <w:rPr>
          <w:rFonts w:eastAsiaTheme="minorEastAsia"/>
        </w:rPr>
      </w:pPr>
      <w:bookmarkStart w:id="9" w:name="_Toc55465834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6</w:t>
      </w:r>
      <w:r>
        <w:rPr>
          <w:rFonts w:hint="eastAsia" w:eastAsiaTheme="minorEastAsia"/>
          <w:b/>
        </w:rPr>
        <w:t>.</w:t>
      </w:r>
      <w:r>
        <w:rPr>
          <w:rFonts w:hint="eastAsia" w:eastAsiaTheme="minorEastAsia"/>
        </w:rPr>
        <w:t xml:space="preserve"> HPLC </w:t>
      </w:r>
      <w:r>
        <w:rPr>
          <w:rFonts w:hint="eastAsia" w:ascii="Times New Roman" w:hAnsi="Times New Roman" w:cs="Times New Roman"/>
        </w:rPr>
        <w:t>chromatograms</w:t>
      </w:r>
      <w:r>
        <w:rPr>
          <w:rFonts w:hint="eastAsia" w:eastAsiaTheme="minorEastAsia"/>
        </w:rPr>
        <w:t xml:space="preserve"> of different solvents </w:t>
      </w:r>
      <w:r>
        <w:rPr>
          <w:rFonts w:eastAsiaTheme="minorEastAsia"/>
        </w:rPr>
        <w:t>and</w:t>
      </w:r>
      <w:r>
        <w:rPr>
          <w:rFonts w:hint="eastAsia" w:eastAsiaTheme="minorEastAsia"/>
        </w:rPr>
        <w:t xml:space="preserve"> corresponsive CDDP (40 </w:t>
      </w:r>
      <w:r>
        <w:rPr>
          <w:rFonts w:cs="Times New Roman" w:eastAsiaTheme="minorEastAsia"/>
        </w:rPr>
        <w:t>μg</w:t>
      </w:r>
      <w:r>
        <w:rPr>
          <w:rFonts w:hint="eastAsia" w:eastAsiaTheme="minorEastAsia"/>
        </w:rPr>
        <w:t>/mL) solution for 2 d.</w:t>
      </w:r>
      <w:bookmarkEnd w:id="9"/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49675" cy="1971040"/>
            <wp:effectExtent l="0" t="0" r="14605" b="10160"/>
            <wp:docPr id="2" name="图片 2" descr="Figure S6 Ag释放现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6 Ag释放现象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9675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line="240" w:lineRule="auto"/>
        <w:rPr>
          <w:rFonts w:ascii="Times New Roman" w:hAnsi="Times New Roman" w:cs="Times New Roman"/>
          <w:szCs w:val="21"/>
        </w:rPr>
      </w:pPr>
      <w:bookmarkStart w:id="10" w:name="_Toc55465835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7</w:t>
      </w:r>
      <w:r>
        <w:rPr>
          <w:rFonts w:hint="eastAsia" w:eastAsiaTheme="minorEastAsia"/>
          <w:b/>
        </w:rPr>
        <w:t>.</w:t>
      </w:r>
      <w:r>
        <w:rPr>
          <w:rFonts w:hint="eastAsia" w:eastAsiaTheme="minorEastAsia"/>
        </w:rPr>
        <w:t xml:space="preserve"> </w:t>
      </w:r>
      <w:r>
        <w:rPr>
          <w:rFonts w:hint="eastAsia" w:eastAsiaTheme="minorEastAsia"/>
          <w:lang w:val="en-US" w:eastAsia="zh-CN"/>
        </w:rPr>
        <w:t xml:space="preserve">(A) </w:t>
      </w:r>
      <w:r>
        <w:rPr>
          <w:rFonts w:hint="eastAsia" w:eastAsiaTheme="minorEastAsia"/>
        </w:rPr>
        <w:t>Graphs</w:t>
      </w:r>
      <w:r>
        <w:rPr>
          <w:rFonts w:hint="eastAsia" w:eastAsiaTheme="minorEastAsia"/>
          <w:lang w:val="en-US" w:eastAsia="zh-CN"/>
        </w:rPr>
        <w:t xml:space="preserve"> and </w:t>
      </w:r>
      <w:r>
        <w:rPr>
          <w:rFonts w:hint="eastAsia" w:eastAsiaTheme="minorEastAsia"/>
          <w:highlight w:val="green"/>
          <w:lang w:val="en-US" w:eastAsia="zh-CN"/>
        </w:rPr>
        <w:t>(B) UV-vis spectrum</w:t>
      </w:r>
      <w:r>
        <w:rPr>
          <w:rFonts w:hint="eastAsia" w:eastAsiaTheme="minorEastAsia"/>
        </w:rPr>
        <w:t xml:space="preserve"> of F68@TA@Ag solutions with different concentration of H</w:t>
      </w:r>
      <w:r>
        <w:rPr>
          <w:rFonts w:hint="eastAsia" w:eastAsiaTheme="minorEastAsia"/>
          <w:vertAlign w:val="subscript"/>
        </w:rPr>
        <w:t>2</w:t>
      </w:r>
      <w:r>
        <w:rPr>
          <w:rFonts w:hint="eastAsia" w:eastAsiaTheme="minorEastAsia"/>
        </w:rPr>
        <w:t>O</w:t>
      </w:r>
      <w:r>
        <w:rPr>
          <w:rFonts w:hint="eastAsia" w:eastAsiaTheme="minorEastAsia"/>
          <w:vertAlign w:val="subscript"/>
        </w:rPr>
        <w:t>2</w:t>
      </w:r>
      <w:bookmarkEnd w:id="10"/>
      <w:r>
        <w:rPr>
          <w:rFonts w:hint="eastAsia" w:eastAsiaTheme="minorEastAsia"/>
          <w:vertAlign w:val="subscript"/>
          <w:lang w:val="en-US" w:eastAsia="zh-CN"/>
        </w:rPr>
        <w:t>.</w:t>
      </w:r>
    </w:p>
    <w:p>
      <w:pPr>
        <w:jc w:val="center"/>
        <w:rPr>
          <w:rFonts w:hint="default" w:ascii="Times New Roman" w:hAnsi="Times New Roman" w:cs="Times New Roman"/>
          <w:color w:val="auto"/>
          <w:sz w:val="24"/>
          <w:szCs w:val="2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8"/>
          <w:highlight w:val="yellow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8"/>
          <w:highlight w:val="yellow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8"/>
          <w:highlight w:val="yellow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yellow"/>
          <w:lang w:val="en-US" w:eastAsia="zh-CN"/>
        </w:rPr>
        <w:t xml:space="preserve"> The DNA sequences of </w:t>
      </w:r>
      <w:r>
        <w:rPr>
          <w:rFonts w:hint="eastAsia" w:ascii="Times New Roman" w:hAnsi="Times New Roman" w:cs="Times New Roman"/>
          <w:color w:val="auto"/>
          <w:sz w:val="24"/>
          <w:szCs w:val="28"/>
          <w:highlight w:val="yellow"/>
          <w:lang w:val="en-US" w:eastAsia="zh-CN"/>
        </w:rPr>
        <w:t>un</w:t>
      </w:r>
      <w:r>
        <w:rPr>
          <w:rFonts w:hint="default" w:ascii="Times New Roman" w:hAnsi="Times New Roman" w:cs="Times New Roman"/>
          <w:sz w:val="24"/>
          <w:szCs w:val="28"/>
          <w:highlight w:val="yellow"/>
          <w:lang w:val="en-US" w:eastAsia="zh-CN"/>
        </w:rPr>
        <w:t>methylated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yellow"/>
          <w:lang w:val="en-US" w:eastAsia="zh-CN"/>
        </w:rPr>
        <w:t xml:space="preserve"> DNA and </w:t>
      </w:r>
      <w:r>
        <w:rPr>
          <w:rFonts w:hint="default" w:ascii="Times New Roman" w:hAnsi="Times New Roman" w:cs="Times New Roman"/>
          <w:sz w:val="24"/>
          <w:szCs w:val="28"/>
          <w:highlight w:val="yellow"/>
          <w:lang w:val="en-US" w:eastAsia="zh-CN"/>
        </w:rPr>
        <w:t>methylated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yellow"/>
          <w:lang w:val="en-US" w:eastAsia="zh-CN"/>
        </w:rPr>
        <w:t xml:space="preserve"> DNA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3"/>
        <w:gridCol w:w="6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8"/>
                <w:vertAlign w:val="baseline"/>
                <w:lang w:val="en-US" w:eastAsia="zh-CN"/>
              </w:rPr>
              <w:t xml:space="preserve">DNA </w:t>
            </w:r>
          </w:p>
        </w:tc>
        <w:tc>
          <w:tcPr>
            <w:tcW w:w="62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8"/>
                <w:vertAlign w:val="baseline"/>
                <w:lang w:val="en-US" w:eastAsia="zh-CN"/>
              </w:rPr>
              <w:t>sequence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8"/>
                <w:lang w:val="en-US" w:eastAsia="zh-CN"/>
              </w:rPr>
              <w:t>U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en-US" w:eastAsia="zh-CN"/>
              </w:rPr>
              <w:t>nmethylated DNA</w:t>
            </w:r>
          </w:p>
        </w:tc>
        <w:tc>
          <w:tcPr>
            <w:tcW w:w="620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ATTGCCATTCTCGATAGGTCCGGTCAAAC-TAGACGA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8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en-US" w:eastAsia="zh-CN"/>
              </w:rPr>
              <w:t xml:space="preserve">ethylated DNA </w:t>
            </w:r>
          </w:p>
        </w:tc>
        <w:tc>
          <w:tcPr>
            <w:tcW w:w="62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ATTGCCATTCTCGATAGG(m</w:t>
            </w:r>
            <w:r>
              <w:rPr>
                <w:rFonts w:hint="default" w:ascii="Times New Roman" w:hAnsi="Times New Roman" w:cs="Times New Roman"/>
                <w:vertAlign w:val="superscript"/>
              </w:rPr>
              <w:t>1</w:t>
            </w:r>
            <w:r>
              <w:rPr>
                <w:rFonts w:hint="default" w:ascii="Times New Roman" w:hAnsi="Times New Roman" w:cs="Times New Roman"/>
              </w:rPr>
              <w:t>A)TCCGGTCAAACCTAGACGA</w:t>
            </w:r>
          </w:p>
        </w:tc>
      </w:tr>
    </w:tbl>
    <w:p>
      <w:pPr>
        <w:jc w:val="center"/>
      </w:pPr>
    </w:p>
    <w:p>
      <w:pPr>
        <w:jc w:val="center"/>
        <w:rPr>
          <w:rFonts w:hint="eastAsia" w:ascii="Times New Roman" w:hAnsi="Times New Roman" w:cs="Times New Roman" w:eastAsiaTheme="minorEastAsia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szCs w:val="21"/>
          <w:lang w:eastAsia="zh-CN"/>
        </w:rPr>
        <w:drawing>
          <wp:inline distT="0" distB="0" distL="114300" distR="114300">
            <wp:extent cx="2658110" cy="1905000"/>
            <wp:effectExtent l="0" t="0" r="8890" b="0"/>
            <wp:docPr id="6" name="图片 6" descr="剪切酶的特异性-0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剪切酶的特异性-01-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7" w:name="_GoBack"/>
      <w:bookmarkEnd w:id="27"/>
    </w:p>
    <w:p>
      <w:pPr>
        <w:pStyle w:val="3"/>
        <w:pBdr>
          <w:right w:val="single" w:color="auto" w:sz="4" w:space="0"/>
        </w:pBdr>
        <w:spacing w:line="240" w:lineRule="auto"/>
        <w:rPr>
          <w:rFonts w:hint="eastAsia"/>
        </w:rPr>
      </w:pPr>
      <w:bookmarkStart w:id="11" w:name="_Toc55465836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8</w:t>
      </w:r>
      <w:r>
        <w:rPr>
          <w:rFonts w:hint="eastAsia" w:eastAsiaTheme="minorEastAsia"/>
          <w:b/>
        </w:rPr>
        <w:t>.</w:t>
      </w:r>
      <w:r>
        <w:rPr>
          <w:rFonts w:hint="eastAsia"/>
        </w:rPr>
        <w:t xml:space="preserve"> TBE-PAGE g</w:t>
      </w:r>
      <w:r>
        <w:t>el electrophoregram</w:t>
      </w:r>
      <w:r>
        <w:rPr>
          <w:rFonts w:hint="eastAsia"/>
        </w:rPr>
        <w:t xml:space="preserve"> of DNA. 1: unmethylated single strand DNA; 2: unmethylated single strand DNA cut by </w:t>
      </w:r>
      <w:r>
        <w:t>restriction enzyme</w:t>
      </w:r>
      <w:r>
        <w:rPr>
          <w:rFonts w:hint="eastAsia"/>
        </w:rPr>
        <w:t xml:space="preserve"> DnpⅡ; 3: m1A methylated DNA; 4: m1A DNA </w:t>
      </w:r>
      <w:r>
        <w:rPr>
          <w:rFonts w:hint="eastAsia" w:eastAsiaTheme="minorEastAsia"/>
        </w:rPr>
        <w:t>sheared</w:t>
      </w:r>
      <w:r>
        <w:rPr>
          <w:rFonts w:hint="eastAsia"/>
        </w:rPr>
        <w:t xml:space="preserve"> by DnpⅡ.</w:t>
      </w:r>
      <w:bookmarkEnd w:id="11"/>
    </w:p>
    <w:p>
      <w:pPr>
        <w:jc w:val="center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</w:p>
    <w:p>
      <w:pPr>
        <w:jc w:val="center"/>
      </w:pPr>
      <w:r>
        <w:drawing>
          <wp:inline distT="0" distB="0" distL="0" distR="0">
            <wp:extent cx="3002280" cy="2607945"/>
            <wp:effectExtent l="0" t="0" r="7620" b="1905"/>
            <wp:docPr id="18" name="图片 18" descr="D:\博士课题\博士课题\增强顺铂抗肿瘤\文章附图4\Figure 2\马达运动附加材料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:\博士课题\博士课题\增强顺铂抗肿瘤\文章附图4\Figure 2\马达运动附加材料-01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260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240" w:lineRule="auto"/>
        <w:rPr>
          <w:rFonts w:eastAsiaTheme="minorEastAsia"/>
        </w:rPr>
      </w:pPr>
      <w:bookmarkStart w:id="12" w:name="_Toc55465837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9</w:t>
      </w:r>
      <w:r>
        <w:rPr>
          <w:rFonts w:hint="eastAsia" w:eastAsiaTheme="minorEastAsia"/>
          <w:b/>
        </w:rPr>
        <w:t>.</w:t>
      </w:r>
      <w:r>
        <w:rPr>
          <w:rFonts w:hint="eastAsia" w:eastAsiaTheme="minorEastAsia"/>
        </w:rPr>
        <w:t xml:space="preserve"> </w:t>
      </w:r>
      <w:r>
        <w:rPr>
          <w:rFonts w:hint="eastAsia" w:cs="Times New Roman" w:eastAsiaTheme="minorEastAsia"/>
          <w:szCs w:val="21"/>
        </w:rPr>
        <w:t>A</w:t>
      </w:r>
      <w:r>
        <w:rPr>
          <w:rFonts w:cs="Times New Roman"/>
          <w:szCs w:val="21"/>
        </w:rPr>
        <w:t>) The tracking paths of F68@TA@Ag over 20 s in 0, 2.5, 5, 10, 25 and 50 mM H</w:t>
      </w:r>
      <w:r>
        <w:rPr>
          <w:rFonts w:cs="Times New Roman"/>
          <w:szCs w:val="21"/>
          <w:vertAlign w:val="subscript"/>
        </w:rPr>
        <w:t>2</w:t>
      </w:r>
      <w:r>
        <w:rPr>
          <w:rFonts w:cs="Times New Roman"/>
          <w:szCs w:val="21"/>
        </w:rPr>
        <w:t>O</w:t>
      </w:r>
      <w:r>
        <w:rPr>
          <w:rFonts w:cs="Times New Roman"/>
          <w:szCs w:val="21"/>
          <w:vertAlign w:val="subscript"/>
        </w:rPr>
        <w:t>2</w:t>
      </w:r>
      <w:r>
        <w:rPr>
          <w:rFonts w:cs="Times New Roman"/>
          <w:szCs w:val="21"/>
        </w:rPr>
        <w:t xml:space="preserve">. </w:t>
      </w:r>
      <w:r>
        <w:rPr>
          <w:rFonts w:hint="eastAsia" w:cs="Times New Roman" w:eastAsiaTheme="minorEastAsia"/>
          <w:szCs w:val="21"/>
        </w:rPr>
        <w:t>B</w:t>
      </w:r>
      <w:r>
        <w:rPr>
          <w:rFonts w:cs="Times New Roman"/>
          <w:szCs w:val="21"/>
        </w:rPr>
        <w:t xml:space="preserve">) Average MSD versus time interval (Δt) analyzed from tracking trajectories. </w:t>
      </w:r>
      <w:r>
        <w:rPr>
          <w:rFonts w:hint="eastAsia" w:cs="Times New Roman" w:eastAsiaTheme="minorEastAsia"/>
          <w:szCs w:val="21"/>
        </w:rPr>
        <w:t>C</w:t>
      </w:r>
      <w:r>
        <w:rPr>
          <w:rFonts w:cs="Times New Roman"/>
          <w:szCs w:val="21"/>
        </w:rPr>
        <w:t>) Corresponding diffusion coefficient values of F68@TA@Ag at various concentration of H</w:t>
      </w:r>
      <w:r>
        <w:rPr>
          <w:rFonts w:cs="Times New Roman"/>
          <w:szCs w:val="21"/>
          <w:vertAlign w:val="subscript"/>
        </w:rPr>
        <w:t>2</w:t>
      </w:r>
      <w:r>
        <w:rPr>
          <w:rFonts w:cs="Times New Roman"/>
          <w:szCs w:val="21"/>
        </w:rPr>
        <w:t>O</w:t>
      </w:r>
      <w:r>
        <w:rPr>
          <w:rFonts w:cs="Times New Roman"/>
          <w:szCs w:val="21"/>
          <w:vertAlign w:val="subscript"/>
        </w:rPr>
        <w:t>2</w:t>
      </w:r>
      <w:r>
        <w:rPr>
          <w:rFonts w:cs="Times New Roman"/>
          <w:szCs w:val="21"/>
        </w:rPr>
        <w:t>. (n=30).</w:t>
      </w:r>
      <w:bookmarkEnd w:id="12"/>
    </w:p>
    <w:p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drawing>
          <wp:inline distT="0" distB="0" distL="0" distR="0">
            <wp:extent cx="4699635" cy="1737360"/>
            <wp:effectExtent l="0" t="0" r="5715" b="0"/>
            <wp:docPr id="8" name="图片 8" descr="D:\博士课题\博士课题\增强顺铂抗肿瘤\文章附图4\数据图\染料的选择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博士课题\博士课题\增强顺铂抗肿瘤\文章附图4\数据图\染料的选择-01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4097" cy="173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</w:pPr>
      <w:bookmarkStart w:id="13" w:name="_Toc55465838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10</w:t>
      </w:r>
      <w:r>
        <w:rPr>
          <w:b/>
        </w:rPr>
        <w:t>.</w:t>
      </w:r>
      <w:r>
        <w:t xml:space="preserve"> Fluorescence emission spectrum</w:t>
      </w:r>
      <w:r>
        <w:rPr>
          <w:rFonts w:hint="eastAsia" w:eastAsia="宋体"/>
          <w:lang w:val="en-US" w:eastAsia="zh-CN"/>
        </w:rPr>
        <w:t>s</w:t>
      </w:r>
      <w:r>
        <w:t xml:space="preserve"> of</w:t>
      </w:r>
      <w:r>
        <w:rPr>
          <w:rFonts w:hint="eastAsia"/>
        </w:rPr>
        <w:t xml:space="preserve"> FITC and</w:t>
      </w:r>
      <w:r>
        <w:t xml:space="preserve"> RB dissolved in PBS at different pH</w:t>
      </w:r>
      <w:r>
        <w:rPr>
          <w:rFonts w:hint="eastAsia" w:eastAsiaTheme="minorEastAsia"/>
        </w:rPr>
        <w:t>s</w:t>
      </w:r>
      <w:r>
        <w:t>.</w:t>
      </w:r>
      <w:bookmarkEnd w:id="13"/>
    </w:p>
    <w:p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drawing>
          <wp:inline distT="0" distB="0" distL="0" distR="0">
            <wp:extent cx="3874770" cy="1661160"/>
            <wp:effectExtent l="0" t="0" r="0" b="0"/>
            <wp:docPr id="9" name="图片 9" descr="D:\博士课题\博士课题\增强顺铂抗肿瘤\文章附图4\数据图\流式检测F68@TA-RB在4T1中的摄取情况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博士课题\博士课题\增强顺铂抗肿瘤\文章附图4\数据图\流式检测F68@TA-RB在4T1中的摄取情况-01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0347" cy="166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</w:pPr>
      <w:bookmarkStart w:id="14" w:name="_Toc55465839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11</w:t>
      </w:r>
      <w:r>
        <w:rPr>
          <w:b/>
        </w:rPr>
        <w:t>.</w:t>
      </w:r>
      <w:r>
        <w:t xml:space="preserve"> A) Flow cytometry analysis and</w:t>
      </w:r>
      <w:r>
        <w:rPr>
          <w:rFonts w:hint="eastAsia"/>
        </w:rPr>
        <w:t xml:space="preserve"> B</w:t>
      </w:r>
      <w:r>
        <w:t xml:space="preserve">) </w:t>
      </w:r>
      <w:r>
        <w:rPr>
          <w:rFonts w:hint="eastAsia"/>
        </w:rPr>
        <w:t>F</w:t>
      </w:r>
      <w:r>
        <w:t>luorescence semi-quantitative analysis of 4T1 cells treated with F68@TA/RB for different time.</w:t>
      </w:r>
      <w:bookmarkEnd w:id="14"/>
    </w:p>
    <w:p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4265295" cy="1727200"/>
            <wp:effectExtent l="0" t="0" r="1905" b="6350"/>
            <wp:docPr id="20" name="图片 20" descr="D:\博士课题\博士课题\增强顺铂抗肿瘤\文章附图4\数据图\CLSM检测F68@TA-RB在4T1中的摄取情况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\博士课题\博士课题\增强顺铂抗肿瘤\文章附图4\数据图\CLSM检测F68@TA-RB在4T1中的摄取情况-01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2165" cy="172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</w:pPr>
      <w:bookmarkStart w:id="15" w:name="_Toc55465840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12</w:t>
      </w:r>
      <w:r>
        <w:rPr>
          <w:rFonts w:hint="eastAsia" w:eastAsiaTheme="minorEastAsia"/>
          <w:b/>
        </w:rPr>
        <w:t>.</w:t>
      </w:r>
      <w:r>
        <w:rPr>
          <w:rFonts w:hint="eastAsia"/>
          <w:b/>
        </w:rPr>
        <w:t xml:space="preserve"> </w:t>
      </w:r>
      <w:r>
        <w:rPr>
          <w:rFonts w:hint="eastAsia"/>
        </w:rPr>
        <w:t xml:space="preserve">A) </w:t>
      </w:r>
      <w:r>
        <w:t>C</w:t>
      </w:r>
      <w:r>
        <w:rPr>
          <w:rFonts w:hint="eastAsia" w:eastAsiaTheme="minorEastAsia"/>
        </w:rPr>
        <w:t>LSM</w:t>
      </w:r>
      <w:r>
        <w:t xml:space="preserve"> images </w:t>
      </w:r>
      <w:r>
        <w:rPr>
          <w:rFonts w:hint="eastAsia"/>
        </w:rPr>
        <w:t>and B) F</w:t>
      </w:r>
      <w:r>
        <w:t>luorescence semi-quantitative analysis of 4T1 cancer cells after treatments with F68@TA/RB (RB: 10 μg/mL) for</w:t>
      </w:r>
      <w:r>
        <w:rPr>
          <w:rFonts w:hint="eastAsia" w:eastAsiaTheme="minorEastAsia"/>
        </w:rPr>
        <w:t xml:space="preserve"> </w:t>
      </w:r>
      <w:r>
        <w:t>different time. Scale bar: 25 μm.</w:t>
      </w:r>
      <w:bookmarkEnd w:id="15"/>
    </w:p>
    <w:p/>
    <w:p/>
    <w:p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2123440" cy="1969135"/>
            <wp:effectExtent l="0" t="0" r="0" b="0"/>
            <wp:docPr id="17" name="图片 17" descr="D:\博士课题\博士课题\增强顺铂抗肿瘤\文章附图4\数据图\不同浓度CDDP产生H2O2半定量分析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\博士课题\博士课题\增强顺铂抗肿瘤\文章附图4\数据图\不同浓度CDDP产生H2O2半定量分析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6238" cy="197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</w:pPr>
      <w:bookmarkStart w:id="16" w:name="_Toc55465841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13</w:t>
      </w:r>
      <w:r>
        <w:rPr>
          <w:rFonts w:hint="eastAsia" w:eastAsiaTheme="minorEastAsia"/>
          <w:b/>
        </w:rPr>
        <w:t>.</w:t>
      </w:r>
      <w:r>
        <w:rPr>
          <w:rFonts w:hint="eastAsia"/>
        </w:rPr>
        <w:t xml:space="preserve"> F</w:t>
      </w:r>
      <w:r>
        <w:t>luorescence semi-quantitative analysis</w:t>
      </w:r>
      <w:r>
        <w:rPr>
          <w:rFonts w:hint="eastAsia"/>
        </w:rPr>
        <w:t xml:space="preserve"> of H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in 4T1 cells after treatment with different concentration of CDDP.</w:t>
      </w:r>
      <w:bookmarkEnd w:id="16"/>
    </w:p>
    <w:p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drawing>
          <wp:inline distT="0" distB="0" distL="0" distR="0">
            <wp:extent cx="1903095" cy="2323465"/>
            <wp:effectExtent l="0" t="0" r="190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170" cy="232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624" w:afterLines="200" w:line="240" w:lineRule="auto"/>
      </w:pPr>
      <w:bookmarkStart w:id="17" w:name="_Toc55465842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14</w:t>
      </w:r>
      <w:r>
        <w:rPr>
          <w:rFonts w:hint="eastAsia" w:eastAsiaTheme="minorEastAsia"/>
          <w:b/>
        </w:rPr>
        <w:t>.</w:t>
      </w:r>
      <w:r>
        <w:rPr>
          <w:rFonts w:hint="eastAsia"/>
        </w:rPr>
        <w:t xml:space="preserve"> F</w:t>
      </w:r>
      <w:r>
        <w:t>luorescence semi-quantitative analysis</w:t>
      </w:r>
      <w:r>
        <w:rPr>
          <w:rFonts w:hint="eastAsia"/>
        </w:rPr>
        <w:t xml:space="preserve"> of Cl</w:t>
      </w:r>
      <w:r>
        <w:rPr>
          <w:rFonts w:hint="eastAsia"/>
          <w:vertAlign w:val="superscript"/>
        </w:rPr>
        <w:t>-</w:t>
      </w:r>
      <w:r>
        <w:rPr>
          <w:rFonts w:hint="eastAsia"/>
        </w:rPr>
        <w:t xml:space="preserve"> in 4T1 cells after treatment with CDDP, F68@TA, F68@TA@Ag and </w:t>
      </w:r>
      <w:r>
        <w:rPr>
          <w:rFonts w:hint="eastAsia" w:eastAsiaTheme="minorEastAsia"/>
        </w:rPr>
        <w:t>A</w:t>
      </w:r>
      <w:r>
        <w:rPr>
          <w:rFonts w:hint="eastAsia"/>
        </w:rPr>
        <w:t>INR.</w:t>
      </w:r>
      <w:bookmarkEnd w:id="17"/>
    </w:p>
    <w:p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drawing>
          <wp:inline distT="0" distB="0" distL="0" distR="0">
            <wp:extent cx="1877695" cy="2355850"/>
            <wp:effectExtent l="0" t="0" r="825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860" cy="235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  <w:rPr>
          <w:rFonts w:eastAsiaTheme="minorEastAsia"/>
        </w:rPr>
      </w:pPr>
      <w:bookmarkStart w:id="18" w:name="_Toc55465843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15</w:t>
      </w:r>
      <w:r>
        <w:rPr>
          <w:rFonts w:hint="eastAsia" w:eastAsiaTheme="minorEastAsia"/>
          <w:b/>
        </w:rPr>
        <w:t>.</w:t>
      </w:r>
      <w:r>
        <w:rPr>
          <w:rFonts w:hint="eastAsia"/>
        </w:rPr>
        <w:t xml:space="preserve"> F</w:t>
      </w:r>
      <w:r>
        <w:t>luorescence semi-quantitative analysis</w:t>
      </w:r>
      <w:r>
        <w:rPr>
          <w:rFonts w:hint="eastAsia"/>
        </w:rPr>
        <w:t xml:space="preserve"> of Fe</w:t>
      </w:r>
      <w:r>
        <w:rPr>
          <w:rFonts w:hint="eastAsia"/>
          <w:vertAlign w:val="superscript"/>
        </w:rPr>
        <w:t>2+</w:t>
      </w:r>
      <w:r>
        <w:rPr>
          <w:rFonts w:hint="eastAsia"/>
        </w:rPr>
        <w:t xml:space="preserve"> in 4T1 cells after treatment with CDDP, F68@TA, F68@TA@Ag and </w:t>
      </w:r>
      <w:r>
        <w:rPr>
          <w:rFonts w:hint="eastAsia" w:eastAsiaTheme="minorEastAsia"/>
        </w:rPr>
        <w:t>A</w:t>
      </w:r>
      <w:r>
        <w:rPr>
          <w:rFonts w:hint="eastAsia"/>
        </w:rPr>
        <w:t>INR</w:t>
      </w:r>
      <w:r>
        <w:rPr>
          <w:rFonts w:hint="eastAsia" w:asciiTheme="minorEastAsia" w:hAnsiTheme="minorEastAsia" w:eastAsiaTheme="minorEastAsia"/>
        </w:rPr>
        <w:t>.</w:t>
      </w:r>
      <w:bookmarkEnd w:id="18"/>
    </w:p>
    <w:p>
      <w:pPr>
        <w:jc w:val="center"/>
      </w:pPr>
      <w:r>
        <w:drawing>
          <wp:inline distT="0" distB="0" distL="0" distR="0">
            <wp:extent cx="3949065" cy="2805430"/>
            <wp:effectExtent l="0" t="0" r="13335" b="13970"/>
            <wp:docPr id="3" name="图片 3" descr="D:\博士课题\博士课题\增强顺铂抗肿瘤\文章附图4\数据图\载体在4T1和Hs578Bst中的流式摄取\载体在肿瘤和正常细胞内的流式摄取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博士课题\博士课题\增强顺铂抗肿瘤\文章附图4\数据图\载体在4T1和Hs578Bst中的流式摄取\载体在肿瘤和正常细胞内的流式摄取-01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9065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  <w:rPr>
          <w:rFonts w:eastAsiaTheme="minorEastAsia"/>
        </w:rPr>
      </w:pPr>
      <w:bookmarkStart w:id="19" w:name="_Toc55465844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16</w:t>
      </w:r>
      <w:r>
        <w:rPr>
          <w:rFonts w:hint="eastAsia" w:eastAsiaTheme="minorEastAsia"/>
          <w:b/>
        </w:rPr>
        <w:t>.</w:t>
      </w:r>
      <w:r>
        <w:rPr>
          <w:rFonts w:hint="eastAsia" w:eastAsiaTheme="minorEastAsia"/>
        </w:rPr>
        <w:t xml:space="preserve"> </w:t>
      </w:r>
      <w:r>
        <w:t xml:space="preserve">Flow cytometry analysis </w:t>
      </w:r>
      <w:r>
        <w:rPr>
          <w:rFonts w:hint="eastAsia" w:eastAsiaTheme="minorEastAsia"/>
        </w:rPr>
        <w:t xml:space="preserve">of the fluorescence intensity in </w:t>
      </w:r>
      <w:r>
        <w:t>A)</w:t>
      </w:r>
      <w:r>
        <w:rPr>
          <w:rFonts w:hint="eastAsia" w:eastAsiaTheme="minorEastAsia"/>
        </w:rPr>
        <w:t xml:space="preserve"> Hs578Bst cells </w:t>
      </w:r>
      <w:r>
        <w:rPr>
          <w:rFonts w:eastAsiaTheme="minorEastAsia"/>
        </w:rPr>
        <w:t>and</w:t>
      </w:r>
      <w:r>
        <w:rPr>
          <w:rFonts w:hint="eastAsia" w:eastAsiaTheme="minorEastAsia"/>
        </w:rPr>
        <w:t xml:space="preserve"> </w:t>
      </w:r>
      <w:r>
        <w:rPr>
          <w:rFonts w:hint="eastAsia" w:eastAsiaTheme="minorEastAsia"/>
          <w:lang w:val="en-US" w:eastAsia="zh-CN"/>
        </w:rPr>
        <w:t xml:space="preserve">B) </w:t>
      </w:r>
      <w:r>
        <w:rPr>
          <w:rFonts w:hint="eastAsia" w:eastAsiaTheme="minorEastAsia"/>
        </w:rPr>
        <w:t>4T1 cells</w:t>
      </w:r>
      <w:r>
        <w:t xml:space="preserve"> treated with F68@TA/RB </w:t>
      </w:r>
      <w:r>
        <w:rPr>
          <w:rFonts w:hint="eastAsia" w:eastAsiaTheme="minorEastAsia"/>
        </w:rPr>
        <w:t xml:space="preserve">(RB: 5 </w:t>
      </w:r>
      <w:r>
        <w:rPr>
          <w:rFonts w:cs="Times New Roman" w:eastAsiaTheme="minorEastAsia"/>
        </w:rPr>
        <w:t>μ</w:t>
      </w:r>
      <w:r>
        <w:rPr>
          <w:rFonts w:hint="eastAsia" w:eastAsiaTheme="minorEastAsia"/>
        </w:rPr>
        <w:t xml:space="preserve">g/mL) </w:t>
      </w:r>
      <w:r>
        <w:t>for different time</w:t>
      </w:r>
      <w:r>
        <w:rPr>
          <w:rFonts w:hint="eastAsia" w:eastAsiaTheme="minorEastAsia"/>
        </w:rPr>
        <w:t>.</w:t>
      </w:r>
      <w:r>
        <w:t xml:space="preserve"> </w:t>
      </w:r>
      <w:r>
        <w:rPr>
          <w:rFonts w:hint="eastAsia" w:eastAsiaTheme="minorEastAsia"/>
        </w:rPr>
        <w:t>C</w:t>
      </w:r>
      <w:r>
        <w:t xml:space="preserve">) </w:t>
      </w:r>
      <w:r>
        <w:rPr>
          <w:rFonts w:hint="eastAsia"/>
        </w:rPr>
        <w:t>F</w:t>
      </w:r>
      <w:r>
        <w:t xml:space="preserve">luorescence semi-quantitative analysis of 4T1 cells </w:t>
      </w:r>
      <w:r>
        <w:rPr>
          <w:rFonts w:eastAsiaTheme="minorEastAsia"/>
        </w:rPr>
        <w:t>and</w:t>
      </w:r>
      <w:r>
        <w:rPr>
          <w:rFonts w:hint="eastAsia" w:eastAsiaTheme="minorEastAsia"/>
        </w:rPr>
        <w:t xml:space="preserve"> Hs578Bst cells</w:t>
      </w:r>
      <w:r>
        <w:t>.</w:t>
      </w:r>
      <w:bookmarkEnd w:id="19"/>
      <w:r>
        <w:t xml:space="preserve"> </w:t>
      </w:r>
    </w:p>
    <w:p>
      <w:pPr>
        <w:jc w:val="center"/>
        <w:rPr>
          <w:rFonts w:ascii="Times New Roman" w:hAnsi="Times New Roman" w:cs="Times New Roman"/>
          <w:sz w:val="24"/>
          <w:szCs w:val="21"/>
        </w:rPr>
      </w:pPr>
    </w:p>
    <w:p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684020" cy="2082800"/>
            <wp:effectExtent l="0" t="0" r="698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240" w:lineRule="auto"/>
        <w:rPr>
          <w:rFonts w:eastAsiaTheme="minorEastAsia"/>
        </w:rPr>
      </w:pPr>
      <w:bookmarkStart w:id="20" w:name="_Toc55465845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17</w:t>
      </w:r>
      <w:r>
        <w:rPr>
          <w:rFonts w:hint="eastAsia" w:eastAsiaTheme="minorEastAsia"/>
          <w:b/>
        </w:rPr>
        <w:t>.</w:t>
      </w:r>
      <w:r>
        <w:rPr>
          <w:rFonts w:hint="eastAsia"/>
          <w:b/>
        </w:rPr>
        <w:t xml:space="preserve"> </w:t>
      </w:r>
      <w:r>
        <w:rPr>
          <w:rFonts w:hint="eastAsia"/>
        </w:rPr>
        <w:t>F</w:t>
      </w:r>
      <w:r>
        <w:t>luorescence semi-quantitative analysis</w:t>
      </w:r>
      <w:r>
        <w:rPr>
          <w:rFonts w:hint="eastAsia"/>
        </w:rPr>
        <w:t xml:space="preserve"> of Cl</w:t>
      </w:r>
      <w:r>
        <w:rPr>
          <w:rFonts w:hint="eastAsia"/>
          <w:vertAlign w:val="superscript"/>
        </w:rPr>
        <w:t>-</w:t>
      </w:r>
      <w:r>
        <w:rPr>
          <w:rFonts w:hint="eastAsia"/>
        </w:rPr>
        <w:t xml:space="preserve"> in tumor tissues</w:t>
      </w:r>
      <w:r>
        <w:rPr>
          <w:rFonts w:hint="eastAsia" w:eastAsiaTheme="minorEastAsia"/>
        </w:rPr>
        <w:t>.</w:t>
      </w:r>
      <w:bookmarkEnd w:id="20"/>
    </w:p>
    <w:p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drawing>
          <wp:inline distT="0" distB="0" distL="0" distR="0">
            <wp:extent cx="1685290" cy="21399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880" cy="214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  <w:rPr>
          <w:rFonts w:eastAsiaTheme="minorEastAsia"/>
        </w:rPr>
      </w:pPr>
      <w:bookmarkStart w:id="21" w:name="_Toc55465846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18</w:t>
      </w:r>
      <w:r>
        <w:rPr>
          <w:rFonts w:hint="eastAsia" w:eastAsiaTheme="minorEastAsia"/>
          <w:b/>
        </w:rPr>
        <w:t>.</w:t>
      </w:r>
      <w:r>
        <w:rPr>
          <w:rFonts w:hint="eastAsia"/>
          <w:b/>
        </w:rPr>
        <w:t xml:space="preserve"> </w:t>
      </w:r>
      <w:r>
        <w:rPr>
          <w:rFonts w:hint="eastAsia"/>
        </w:rPr>
        <w:t>F</w:t>
      </w:r>
      <w:r>
        <w:t>luorescence semi-quantitative analysis</w:t>
      </w:r>
      <w:r>
        <w:rPr>
          <w:rFonts w:hint="eastAsia"/>
        </w:rPr>
        <w:t xml:space="preserve"> of Fe</w:t>
      </w:r>
      <w:r>
        <w:rPr>
          <w:rFonts w:hint="eastAsia"/>
          <w:vertAlign w:val="superscript"/>
        </w:rPr>
        <w:t>2+</w:t>
      </w:r>
      <w:r>
        <w:rPr>
          <w:rFonts w:hint="eastAsia"/>
        </w:rPr>
        <w:t xml:space="preserve"> in tumor tissues</w:t>
      </w:r>
      <w:r>
        <w:rPr>
          <w:rFonts w:hint="eastAsia" w:eastAsiaTheme="minorEastAsia"/>
        </w:rPr>
        <w:t>.</w:t>
      </w:r>
      <w:bookmarkEnd w:id="21"/>
    </w:p>
    <w:p>
      <w:pPr>
        <w:jc w:val="center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sz w:val="24"/>
          <w:szCs w:val="21"/>
        </w:rPr>
        <w:drawing>
          <wp:inline distT="0" distB="0" distL="0" distR="0">
            <wp:extent cx="2698750" cy="2244090"/>
            <wp:effectExtent l="0" t="0" r="6350" b="381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906" cy="224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</w:pPr>
      <w:bookmarkStart w:id="22" w:name="_Toc55465847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19</w:t>
      </w:r>
      <w:r>
        <w:rPr>
          <w:rFonts w:hint="eastAsia" w:eastAsiaTheme="minorEastAsia"/>
          <w:b/>
        </w:rPr>
        <w:t>.</w:t>
      </w:r>
      <w:r>
        <w:rPr>
          <w:rFonts w:hint="eastAsia"/>
        </w:rPr>
        <w:t xml:space="preserve"> </w:t>
      </w:r>
      <w:r>
        <w:t>Body weight changes of different groups</w:t>
      </w:r>
      <w:r>
        <w:rPr>
          <w:rFonts w:hint="eastAsia" w:eastAsiaTheme="minorEastAsia"/>
        </w:rPr>
        <w:t>.</w:t>
      </w:r>
      <w:r>
        <w:t xml:space="preserve"> (n = 5)</w:t>
      </w:r>
      <w:bookmarkEnd w:id="22"/>
    </w:p>
    <w:p>
      <w:pPr>
        <w:jc w:val="center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sz w:val="24"/>
          <w:szCs w:val="21"/>
        </w:rPr>
        <w:drawing>
          <wp:inline distT="0" distB="0" distL="0" distR="0">
            <wp:extent cx="5271770" cy="3594100"/>
            <wp:effectExtent l="0" t="0" r="5080" b="635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104" cy="3594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</w:pPr>
      <w:bookmarkStart w:id="23" w:name="_Toc55465848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20</w:t>
      </w:r>
      <w:r>
        <w:rPr>
          <w:b/>
        </w:rPr>
        <w:t>.</w:t>
      </w:r>
      <w:r>
        <w:t xml:space="preserve"> H</w:t>
      </w:r>
      <w:r>
        <w:rPr>
          <w:rFonts w:hint="eastAsia" w:eastAsiaTheme="minorEastAsia"/>
        </w:rPr>
        <w:t>&amp;</w:t>
      </w:r>
      <w:r>
        <w:t>E staining of tissues exfoliated from different groups.</w:t>
      </w:r>
      <w:bookmarkEnd w:id="23"/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74310" cy="2149475"/>
            <wp:effectExtent l="0" t="0" r="2540" b="3175"/>
            <wp:docPr id="31" name="图片 31" descr="D:\博士课题\博士课题\增强顺铂抗肿瘤\文章附图4\数据图\肝肾功能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D:\博士课题\博士课题\增强顺铂抗肿瘤\文章附图4\数据图\肝肾功能-01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</w:pPr>
      <w:bookmarkStart w:id="24" w:name="_Toc55465849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21</w:t>
      </w:r>
      <w:r>
        <w:rPr>
          <w:rFonts w:hint="eastAsia" w:eastAsiaTheme="minorEastAsia"/>
          <w:b/>
        </w:rPr>
        <w:t>.</w:t>
      </w:r>
      <w:r>
        <w:rPr>
          <w:rFonts w:hint="eastAsia"/>
          <w:b/>
        </w:rPr>
        <w:t xml:space="preserve"> </w:t>
      </w:r>
      <w:r>
        <w:rPr>
          <w:rFonts w:hint="eastAsia"/>
        </w:rPr>
        <w:t>S</w:t>
      </w:r>
      <w:r>
        <w:t>erum biochemical index</w:t>
      </w:r>
      <w:r>
        <w:rPr>
          <w:rFonts w:hint="eastAsia"/>
        </w:rPr>
        <w:t xml:space="preserve">. A) Liver function and B) Kidney function index of mice treated with different formulation. </w:t>
      </w:r>
      <w:bookmarkStart w:id="25" w:name="_Hlk32606974"/>
      <w:r>
        <w:t xml:space="preserve">1: Control, 2: F68@TA, 3: F68@TA@Ag, 4: CDDP, 5: F68@TA/CDDP, 6: </w:t>
      </w:r>
      <w:r>
        <w:rPr>
          <w:rFonts w:hint="eastAsia" w:eastAsiaTheme="minorEastAsia"/>
        </w:rPr>
        <w:t>AINR</w:t>
      </w:r>
      <w:r>
        <w:t>, and concentration of CDDP was set as 1 μg/mL.</w:t>
      </w:r>
      <w:bookmarkEnd w:id="24"/>
      <w:bookmarkEnd w:id="25"/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868295" cy="190817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03" cy="19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after="312" w:afterLines="100" w:line="240" w:lineRule="auto"/>
        <w:rPr>
          <w:rFonts w:eastAsiaTheme="minorEastAsia"/>
        </w:rPr>
      </w:pPr>
      <w:bookmarkStart w:id="26" w:name="_Toc55465850"/>
      <w:r>
        <w:rPr>
          <w:b/>
        </w:rPr>
        <w:t>Figure S</w:t>
      </w:r>
      <w:r>
        <w:rPr>
          <w:rFonts w:hint="eastAsia" w:eastAsia="宋体"/>
          <w:b/>
          <w:lang w:val="en-US" w:eastAsia="zh-CN"/>
        </w:rPr>
        <w:t>22</w:t>
      </w:r>
      <w:r>
        <w:rPr>
          <w:rFonts w:hint="eastAsia" w:eastAsiaTheme="minorEastAsia"/>
          <w:b/>
        </w:rPr>
        <w:t>.</w:t>
      </w:r>
      <w:r>
        <w:rPr>
          <w:rFonts w:hint="eastAsia" w:eastAsiaTheme="minorEastAsia"/>
        </w:rPr>
        <w:t xml:space="preserve"> The changes of tumor volume of 4T1 cell bearing mice with the treatment of AINR</w:t>
      </w:r>
      <w:r>
        <w:rPr>
          <w:rFonts w:eastAsiaTheme="minorEastAsia"/>
        </w:rPr>
        <w:t xml:space="preserve"> (CDDP: 2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</w:rPr>
        <w:t>mg</w:t>
      </w:r>
      <w:r>
        <w:rPr>
          <w:rFonts w:hint="eastAsia" w:eastAsiaTheme="minorEastAsia"/>
        </w:rPr>
        <w:t>/</w:t>
      </w:r>
      <w:r>
        <w:rPr>
          <w:rFonts w:eastAsiaTheme="minorEastAsia"/>
        </w:rPr>
        <w:t>kg)</w:t>
      </w:r>
      <w:r>
        <w:rPr>
          <w:rFonts w:hint="eastAsia" w:eastAsiaTheme="minorEastAsia"/>
        </w:rPr>
        <w:t>, 2 mg/kg CDDP, and 3 mg/kg CDDP. (n=5)</w:t>
      </w:r>
      <w:bookmarkEnd w:id="26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inion Pro">
    <w:altName w:val="Times New Roman"/>
    <w:panose1 w:val="00000000000000000000"/>
    <w:charset w:val="00"/>
    <w:family w:val="roman"/>
    <w:pitch w:val="default"/>
    <w:sig w:usb0="00000000" w:usb1="00000000" w:usb2="00000000" w:usb3="00000000" w:csb0="0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5N2MzNzUzMmZhMmZhZTI0ODY2ODMwZTZmNTA4ZmQifQ=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70C44"/>
    <w:rsid w:val="00004048"/>
    <w:rsid w:val="00023986"/>
    <w:rsid w:val="00093CA6"/>
    <w:rsid w:val="00093D59"/>
    <w:rsid w:val="000C0F99"/>
    <w:rsid w:val="000C36C9"/>
    <w:rsid w:val="000C503E"/>
    <w:rsid w:val="000D7BEB"/>
    <w:rsid w:val="000F6874"/>
    <w:rsid w:val="001141D2"/>
    <w:rsid w:val="001452AA"/>
    <w:rsid w:val="00185102"/>
    <w:rsid w:val="00186097"/>
    <w:rsid w:val="001A4637"/>
    <w:rsid w:val="001B24A2"/>
    <w:rsid w:val="001E6337"/>
    <w:rsid w:val="001F21D4"/>
    <w:rsid w:val="002310EF"/>
    <w:rsid w:val="002A29AB"/>
    <w:rsid w:val="002A3E5C"/>
    <w:rsid w:val="002F5458"/>
    <w:rsid w:val="00333AC7"/>
    <w:rsid w:val="003A1C96"/>
    <w:rsid w:val="003A2170"/>
    <w:rsid w:val="003C1461"/>
    <w:rsid w:val="003D352F"/>
    <w:rsid w:val="003E6901"/>
    <w:rsid w:val="003F4072"/>
    <w:rsid w:val="0042079B"/>
    <w:rsid w:val="0043243E"/>
    <w:rsid w:val="00447F2A"/>
    <w:rsid w:val="00453E8E"/>
    <w:rsid w:val="00470C44"/>
    <w:rsid w:val="004A38A8"/>
    <w:rsid w:val="004C6A26"/>
    <w:rsid w:val="004E181E"/>
    <w:rsid w:val="00504091"/>
    <w:rsid w:val="0051299C"/>
    <w:rsid w:val="00533926"/>
    <w:rsid w:val="00551BFB"/>
    <w:rsid w:val="00553310"/>
    <w:rsid w:val="0058355B"/>
    <w:rsid w:val="005C1A18"/>
    <w:rsid w:val="005D3925"/>
    <w:rsid w:val="00614005"/>
    <w:rsid w:val="0062662D"/>
    <w:rsid w:val="00627CBF"/>
    <w:rsid w:val="0063166E"/>
    <w:rsid w:val="00651245"/>
    <w:rsid w:val="006555A6"/>
    <w:rsid w:val="00682038"/>
    <w:rsid w:val="006922A9"/>
    <w:rsid w:val="006D2047"/>
    <w:rsid w:val="006E1599"/>
    <w:rsid w:val="00733741"/>
    <w:rsid w:val="00751A2B"/>
    <w:rsid w:val="007E422F"/>
    <w:rsid w:val="007E58D6"/>
    <w:rsid w:val="007F09A2"/>
    <w:rsid w:val="008206DA"/>
    <w:rsid w:val="00836A45"/>
    <w:rsid w:val="00847DB3"/>
    <w:rsid w:val="00861CC8"/>
    <w:rsid w:val="008C4807"/>
    <w:rsid w:val="008D0F83"/>
    <w:rsid w:val="008D478D"/>
    <w:rsid w:val="00913B0B"/>
    <w:rsid w:val="00914E4C"/>
    <w:rsid w:val="009903B7"/>
    <w:rsid w:val="009A0331"/>
    <w:rsid w:val="009A2B55"/>
    <w:rsid w:val="009A7B07"/>
    <w:rsid w:val="009B68AB"/>
    <w:rsid w:val="009C2508"/>
    <w:rsid w:val="009D6C0F"/>
    <w:rsid w:val="00A644D2"/>
    <w:rsid w:val="00A817ED"/>
    <w:rsid w:val="00A8627F"/>
    <w:rsid w:val="00A91E27"/>
    <w:rsid w:val="00A92E74"/>
    <w:rsid w:val="00AB4650"/>
    <w:rsid w:val="00B32C95"/>
    <w:rsid w:val="00B50B91"/>
    <w:rsid w:val="00B6098D"/>
    <w:rsid w:val="00B945DE"/>
    <w:rsid w:val="00B94B70"/>
    <w:rsid w:val="00BE000A"/>
    <w:rsid w:val="00BE051F"/>
    <w:rsid w:val="00C05888"/>
    <w:rsid w:val="00C06269"/>
    <w:rsid w:val="00C42A11"/>
    <w:rsid w:val="00C708E6"/>
    <w:rsid w:val="00CA117F"/>
    <w:rsid w:val="00CA4B6D"/>
    <w:rsid w:val="00CC6241"/>
    <w:rsid w:val="00D02C21"/>
    <w:rsid w:val="00D30C8A"/>
    <w:rsid w:val="00D36C9F"/>
    <w:rsid w:val="00D46141"/>
    <w:rsid w:val="00D77C20"/>
    <w:rsid w:val="00D82627"/>
    <w:rsid w:val="00D94598"/>
    <w:rsid w:val="00DA2874"/>
    <w:rsid w:val="00DB72CE"/>
    <w:rsid w:val="00DD0556"/>
    <w:rsid w:val="00DD4DD1"/>
    <w:rsid w:val="00E1005E"/>
    <w:rsid w:val="00E10CA9"/>
    <w:rsid w:val="00E12F55"/>
    <w:rsid w:val="00E24C4E"/>
    <w:rsid w:val="00E35FAA"/>
    <w:rsid w:val="00E451EC"/>
    <w:rsid w:val="00E675DF"/>
    <w:rsid w:val="00E81A81"/>
    <w:rsid w:val="00E95344"/>
    <w:rsid w:val="00ED7335"/>
    <w:rsid w:val="00EE4FA0"/>
    <w:rsid w:val="00F21301"/>
    <w:rsid w:val="00F75AD2"/>
    <w:rsid w:val="00F87C4B"/>
    <w:rsid w:val="024944CF"/>
    <w:rsid w:val="036B2B35"/>
    <w:rsid w:val="03FC1441"/>
    <w:rsid w:val="072F5C10"/>
    <w:rsid w:val="09620346"/>
    <w:rsid w:val="10567F79"/>
    <w:rsid w:val="138819DA"/>
    <w:rsid w:val="18551A8A"/>
    <w:rsid w:val="1F013746"/>
    <w:rsid w:val="239D080C"/>
    <w:rsid w:val="26BA5CA1"/>
    <w:rsid w:val="36DB4C3B"/>
    <w:rsid w:val="373D1960"/>
    <w:rsid w:val="3A704061"/>
    <w:rsid w:val="567E7F88"/>
    <w:rsid w:val="5F9D14BF"/>
    <w:rsid w:val="62183A74"/>
    <w:rsid w:val="6A977C84"/>
    <w:rsid w:val="6E6F00B8"/>
    <w:rsid w:val="70867057"/>
    <w:rsid w:val="753570DF"/>
    <w:rsid w:val="77D965A0"/>
    <w:rsid w:val="7B27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240" w:after="120"/>
      <w:outlineLvl w:val="0"/>
    </w:pPr>
    <w:rPr>
      <w:rFonts w:ascii="Times New Roman" w:hAnsi="Times New Roman"/>
      <w:b/>
      <w:bCs/>
      <w:kern w:val="44"/>
      <w:sz w:val="24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pPr>
      <w:spacing w:line="480" w:lineRule="auto"/>
    </w:pPr>
    <w:rPr>
      <w:rFonts w:ascii="Times New Roman" w:hAnsi="Times New Roman" w:eastAsia="Times New Roman" w:cstheme="majorBidi"/>
      <w:sz w:val="24"/>
      <w:szCs w:val="20"/>
    </w:rPr>
  </w:style>
  <w:style w:type="paragraph" w:styleId="4">
    <w:name w:val="annotation text"/>
    <w:basedOn w:val="1"/>
    <w:link w:val="28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pPr>
      <w:tabs>
        <w:tab w:val="right" w:leader="dot" w:pos="8296"/>
      </w:tabs>
      <w:spacing w:line="480" w:lineRule="auto"/>
    </w:pPr>
    <w:rPr>
      <w:rFonts w:ascii="Times New Roman" w:hAnsi="Times New Roman" w:cs="Times New Roman"/>
      <w:sz w:val="22"/>
    </w:rPr>
  </w:style>
  <w:style w:type="paragraph" w:styleId="9">
    <w:name w:val="footnote text"/>
    <w:basedOn w:val="1"/>
    <w:link w:val="29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0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1">
    <w:name w:val="Normal (Web)"/>
    <w:basedOn w:val="1"/>
    <w:semiHidden/>
    <w:unhideWhenUsed/>
    <w:qFormat/>
    <w:uiPriority w:val="99"/>
    <w:rPr>
      <w:sz w:val="24"/>
    </w:rPr>
  </w:style>
  <w:style w:type="table" w:styleId="13">
    <w:name w:val="Table Grid"/>
    <w:basedOn w:val="12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styleId="17">
    <w:name w:val="footnote reference"/>
    <w:basedOn w:val="14"/>
    <w:semiHidden/>
    <w:unhideWhenUsed/>
    <w:qFormat/>
    <w:uiPriority w:val="99"/>
    <w:rPr>
      <w:vertAlign w:val="superscript"/>
    </w:rPr>
  </w:style>
  <w:style w:type="character" w:customStyle="1" w:styleId="18">
    <w:name w:val="标题 1 Char"/>
    <w:basedOn w:val="14"/>
    <w:link w:val="2"/>
    <w:qFormat/>
    <w:uiPriority w:val="9"/>
    <w:rPr>
      <w:rFonts w:ascii="Times New Roman" w:hAnsi="Times New Roman"/>
      <w:b/>
      <w:bCs/>
      <w:kern w:val="44"/>
      <w:sz w:val="24"/>
      <w:szCs w:val="28"/>
    </w:rPr>
  </w:style>
  <w:style w:type="character" w:customStyle="1" w:styleId="19">
    <w:name w:val="页脚 Char"/>
    <w:basedOn w:val="14"/>
    <w:link w:val="6"/>
    <w:qFormat/>
    <w:uiPriority w:val="99"/>
    <w:rPr>
      <w:sz w:val="18"/>
      <w:szCs w:val="18"/>
    </w:rPr>
  </w:style>
  <w:style w:type="character" w:customStyle="1" w:styleId="20">
    <w:name w:val="页眉 Char"/>
    <w:basedOn w:val="14"/>
    <w:link w:val="7"/>
    <w:qFormat/>
    <w:uiPriority w:val="0"/>
    <w:rPr>
      <w:sz w:val="18"/>
      <w:szCs w:val="18"/>
    </w:rPr>
  </w:style>
  <w:style w:type="character" w:customStyle="1" w:styleId="21">
    <w:name w:val="批注框文本 Char"/>
    <w:basedOn w:val="14"/>
    <w:link w:val="5"/>
    <w:semiHidden/>
    <w:qFormat/>
    <w:uiPriority w:val="99"/>
    <w:rPr>
      <w:sz w:val="18"/>
      <w:szCs w:val="18"/>
    </w:rPr>
  </w:style>
  <w:style w:type="paragraph" w:customStyle="1" w:styleId="22">
    <w:name w:val="EndNote Bibliography Title"/>
    <w:basedOn w:val="1"/>
    <w:link w:val="23"/>
    <w:qFormat/>
    <w:uiPriority w:val="0"/>
    <w:pPr>
      <w:jc w:val="center"/>
    </w:pPr>
    <w:rPr>
      <w:rFonts w:ascii="Times New Roman" w:hAnsi="Times New Roman" w:cs="Times New Roman"/>
      <w:sz w:val="20"/>
    </w:rPr>
  </w:style>
  <w:style w:type="character" w:customStyle="1" w:styleId="23">
    <w:name w:val="EndNote Bibliography Title Char"/>
    <w:basedOn w:val="14"/>
    <w:link w:val="22"/>
    <w:qFormat/>
    <w:uiPriority w:val="0"/>
    <w:rPr>
      <w:rFonts w:ascii="Times New Roman" w:hAnsi="Times New Roman" w:cs="Times New Roman"/>
      <w:sz w:val="20"/>
    </w:rPr>
  </w:style>
  <w:style w:type="paragraph" w:customStyle="1" w:styleId="24">
    <w:name w:val="EndNote Bibliography"/>
    <w:basedOn w:val="1"/>
    <w:link w:val="25"/>
    <w:qFormat/>
    <w:uiPriority w:val="0"/>
    <w:rPr>
      <w:rFonts w:ascii="Times New Roman" w:hAnsi="Times New Roman" w:cs="Times New Roman"/>
      <w:sz w:val="20"/>
    </w:rPr>
  </w:style>
  <w:style w:type="character" w:customStyle="1" w:styleId="25">
    <w:name w:val="EndNote Bibliography Char"/>
    <w:basedOn w:val="14"/>
    <w:link w:val="24"/>
    <w:qFormat/>
    <w:uiPriority w:val="0"/>
    <w:rPr>
      <w:rFonts w:ascii="Times New Roman" w:hAnsi="Times New Roman" w:cs="Times New Roman"/>
      <w:sz w:val="20"/>
    </w:rPr>
  </w:style>
  <w:style w:type="character" w:customStyle="1" w:styleId="26">
    <w:name w:val="未处理的提及1"/>
    <w:basedOn w:val="1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7">
    <w:name w:val="TA_Main_Text"/>
    <w:basedOn w:val="1"/>
    <w:qFormat/>
    <w:uiPriority w:val="0"/>
    <w:pPr>
      <w:widowControl/>
      <w:spacing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</w:rPr>
  </w:style>
  <w:style w:type="character" w:customStyle="1" w:styleId="28">
    <w:name w:val="批注文字 Char"/>
    <w:basedOn w:val="14"/>
    <w:link w:val="4"/>
    <w:semiHidden/>
    <w:qFormat/>
    <w:uiPriority w:val="99"/>
  </w:style>
  <w:style w:type="character" w:customStyle="1" w:styleId="29">
    <w:name w:val="脚注文本 Char"/>
    <w:basedOn w:val="14"/>
    <w:link w:val="9"/>
    <w:semiHidden/>
    <w:qFormat/>
    <w:uiPriority w:val="99"/>
    <w:rPr>
      <w:sz w:val="18"/>
      <w:szCs w:val="18"/>
    </w:rPr>
  </w:style>
  <w:style w:type="paragraph" w:customStyle="1" w:styleId="30">
    <w:name w:val="Table of contents"/>
    <w:basedOn w:val="1"/>
    <w:qFormat/>
    <w:uiPriority w:val="0"/>
    <w:pPr>
      <w:widowControl/>
      <w:spacing w:line="360" w:lineRule="auto"/>
      <w:jc w:val="center"/>
    </w:pPr>
    <w:rPr>
      <w:rFonts w:ascii="Times New Roman" w:hAnsi="Times New Roman" w:eastAsia="MS Mincho" w:cs="Times New Roman"/>
      <w:kern w:val="0"/>
      <w:sz w:val="24"/>
      <w:szCs w:val="24"/>
      <w:lang w:eastAsia="ja-JP"/>
    </w:rPr>
  </w:style>
  <w:style w:type="paragraph" w:customStyle="1" w:styleId="31">
    <w:name w:val="Dedication"/>
    <w:basedOn w:val="1"/>
    <w:qFormat/>
    <w:uiPriority w:val="0"/>
    <w:pPr>
      <w:widowControl/>
    </w:pPr>
    <w:rPr>
      <w:rFonts w:ascii="Times New Roman" w:hAnsi="Times New Roman" w:eastAsia="MS Mincho" w:cs="Times New Roman"/>
      <w:b/>
      <w:bCs/>
      <w:iCs/>
      <w:kern w:val="0"/>
      <w:sz w:val="24"/>
      <w:szCs w:val="24"/>
      <w:lang w:val="de-DE" w:eastAsia="ja-JP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paragraph" w:customStyle="1" w:styleId="33">
    <w:name w:val="Addresses"/>
    <w:basedOn w:val="1"/>
    <w:qFormat/>
    <w:uiPriority w:val="0"/>
    <w:pPr>
      <w:widowControl/>
      <w:jc w:val="left"/>
    </w:pPr>
    <w:rPr>
      <w:rFonts w:ascii="Times New Roman" w:hAnsi="Times New Roman" w:eastAsia="MS Mincho" w:cs="Times New Roman"/>
      <w:kern w:val="0"/>
      <w:sz w:val="24"/>
      <w:szCs w:val="24"/>
      <w:lang w:eastAsia="ja-JP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FC81F-E51B-4B1A-B994-0732206B6D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1221</Words>
  <Characters>6698</Characters>
  <Lines>58</Lines>
  <Paragraphs>16</Paragraphs>
  <TotalTime>6</TotalTime>
  <ScaleCrop>false</ScaleCrop>
  <LinksUpToDate>false</LinksUpToDate>
  <CharactersWithSpaces>7874</CharactersWithSpaces>
  <Application>WPS Office_11.1.0.12116_F1E327BC-269C-435d-A152-05C5408002CA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2022-02-07T02:14:00Z</dcterms:created>
  <dc:creator>许丽华</dc:creator>
  <cp:lastModifiedBy>许丽华</cp:lastModifiedBy>
  <dcterms:modified xsi:type="dcterms:W3CDTF">2022-08-10T08:03:21Z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2052-11.1.0.12116</vt:lpwstr>
  </property>
  <property fmtid="{D5CDD505-2E9C-101B-9397-08002B2CF9AE}" pid="3" name="ICV">
    <vt:lpwstr>7AB5AE08E9BE4BF18DA1462A5272D505</vt:lpwstr>
  </property>
</Properties>
</file>