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5C5E4" w14:textId="04393E32" w:rsidR="0024405D" w:rsidRPr="00E60FA0" w:rsidRDefault="00A976B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Additional file</w:t>
      </w:r>
    </w:p>
    <w:p w14:paraId="0C3CA91C" w14:textId="77777777" w:rsidR="00C869E0" w:rsidRPr="00E60FA0" w:rsidRDefault="00C869E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771FAD3" w14:textId="10BB4E39" w:rsidR="007334ED" w:rsidRPr="00E60FA0" w:rsidRDefault="007334ED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60FA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M</w:t>
      </w:r>
      <w:r w:rsidRPr="00E60F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aterials and Methods</w:t>
      </w:r>
    </w:p>
    <w:p w14:paraId="5354CC58" w14:textId="5D92A712" w:rsidR="001E0631" w:rsidRPr="00E60FA0" w:rsidRDefault="001E0631" w:rsidP="00114F60">
      <w:pPr>
        <w:spacing w:line="360" w:lineRule="auto"/>
        <w:rPr>
          <w:rStyle w:val="fontstyle01"/>
          <w:rFonts w:ascii="Times New Roman" w:hAnsi="Times New Roman" w:cs="Times New Roman"/>
          <w:b/>
          <w:bCs/>
          <w:color w:val="000000" w:themeColor="text1"/>
        </w:rPr>
      </w:pPr>
      <w:r w:rsidRPr="00E60FA0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1</w:t>
      </w:r>
      <w:r w:rsidRPr="00E60FA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E60FA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In vitro</w:t>
      </w: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60FA0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hydrogel degradation</w:t>
      </w:r>
    </w:p>
    <w:p w14:paraId="0E7D587C" w14:textId="7FE2A885" w:rsidR="001E0631" w:rsidRPr="00E60FA0" w:rsidRDefault="001E0631" w:rsidP="00114F60">
      <w:pPr>
        <w:spacing w:line="360" w:lineRule="auto"/>
        <w:rPr>
          <w:rStyle w:val="fontstyle01"/>
          <w:rFonts w:ascii="Times New Roman" w:hAnsi="Times New Roman" w:cs="Times New Roman"/>
          <w:color w:val="000000" w:themeColor="text1"/>
        </w:rPr>
      </w:pP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The </w:t>
      </w:r>
      <w:r w:rsidRPr="00E60FA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 vitro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 degradation of hydrogels was determined by performing a weight remaining (%) experiment, as described by previous literature </w:t>
      </w:r>
      <w:r w:rsidR="000C7439" w:rsidRPr="00E60FA0">
        <w:rPr>
          <w:rStyle w:val="fontstyle01"/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PEVuZE5vdGU+PENpdGU+PEF1dGhvcj5MdW88L0F1dGhvcj48WWVhcj4yMDIxPC9ZZWFyPjxSZWNO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==
</w:fldData>
        </w:fldChar>
      </w:r>
      <w:r w:rsidR="001A63E2" w:rsidRPr="00E60FA0">
        <w:rPr>
          <w:rStyle w:val="fontstyle01"/>
          <w:rFonts w:ascii="Times New Roman" w:hAnsi="Times New Roman" w:cs="Times New Roman"/>
          <w:color w:val="000000" w:themeColor="text1"/>
        </w:rPr>
        <w:instrText xml:space="preserve"> ADDIN EN.CITE </w:instrText>
      </w:r>
      <w:r w:rsidR="001A63E2" w:rsidRPr="00E60FA0">
        <w:rPr>
          <w:rStyle w:val="fontstyle01"/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PEVuZE5vdGU+PENpdGU+PEF1dGhvcj5MdW88L0F1dGhvcj48WWVhcj4yMDIxPC9ZZWFyPjxSZWNO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==
</w:fldData>
        </w:fldChar>
      </w:r>
      <w:r w:rsidR="001A63E2" w:rsidRPr="00E60FA0">
        <w:rPr>
          <w:rStyle w:val="fontstyle01"/>
          <w:rFonts w:ascii="Times New Roman" w:hAnsi="Times New Roman" w:cs="Times New Roman"/>
          <w:color w:val="000000" w:themeColor="text1"/>
        </w:rPr>
        <w:instrText xml:space="preserve"> ADDIN EN.CITE.DATA </w:instrText>
      </w:r>
      <w:r w:rsidR="001A63E2" w:rsidRPr="00E60FA0">
        <w:rPr>
          <w:rStyle w:val="fontstyle01"/>
          <w:rFonts w:ascii="Times New Roman" w:hAnsi="Times New Roman" w:cs="Times New Roman"/>
          <w:color w:val="000000" w:themeColor="text1"/>
        </w:rPr>
      </w:r>
      <w:r w:rsidR="001A63E2" w:rsidRPr="00E60FA0">
        <w:rPr>
          <w:rStyle w:val="fontstyle01"/>
          <w:rFonts w:ascii="Times New Roman" w:hAnsi="Times New Roman" w:cs="Times New Roman"/>
          <w:color w:val="000000" w:themeColor="text1"/>
        </w:rPr>
        <w:fldChar w:fldCharType="end"/>
      </w:r>
      <w:r w:rsidR="000C7439" w:rsidRPr="00E60FA0">
        <w:rPr>
          <w:rStyle w:val="fontstyle01"/>
          <w:rFonts w:ascii="Times New Roman" w:hAnsi="Times New Roman" w:cs="Times New Roman"/>
          <w:color w:val="000000" w:themeColor="text1"/>
        </w:rPr>
      </w:r>
      <w:r w:rsidR="000C7439" w:rsidRPr="00E60FA0">
        <w:rPr>
          <w:rStyle w:val="fontstyle01"/>
          <w:rFonts w:ascii="Times New Roman" w:hAnsi="Times New Roman" w:cs="Times New Roman"/>
          <w:color w:val="000000" w:themeColor="text1"/>
        </w:rPr>
        <w:fldChar w:fldCharType="separate"/>
      </w:r>
      <w:r w:rsidR="000C7439" w:rsidRPr="00E60FA0">
        <w:rPr>
          <w:rStyle w:val="fontstyle01"/>
          <w:rFonts w:ascii="Times New Roman" w:hAnsi="Times New Roman" w:cs="Times New Roman"/>
          <w:noProof/>
          <w:color w:val="000000" w:themeColor="text1"/>
        </w:rPr>
        <w:t>[1]</w:t>
      </w:r>
      <w:r w:rsidR="000C7439" w:rsidRPr="00E60FA0">
        <w:rPr>
          <w:rStyle w:val="fontstyle01"/>
          <w:rFonts w:ascii="Times New Roman" w:hAnsi="Times New Roman" w:cs="Times New Roman"/>
          <w:color w:val="000000" w:themeColor="text1"/>
        </w:rPr>
        <w:fldChar w:fldCharType="end"/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. Briefly, samples of 500 μL </w:t>
      </w:r>
      <w:r w:rsidRPr="008D2EEE">
        <w:rPr>
          <w:rStyle w:val="fontstyle01"/>
          <w:rFonts w:ascii="Times New Roman" w:hAnsi="Times New Roman" w:cs="Times New Roman"/>
          <w:color w:val="000000" w:themeColor="text1"/>
        </w:rPr>
        <w:t>of PFR</w:t>
      </w:r>
      <w:r w:rsidR="00C67177" w:rsidRPr="008D2EEE">
        <w:rPr>
          <w:rStyle w:val="fontstyle01"/>
          <w:rFonts w:ascii="Times New Roman" w:hAnsi="Times New Roman" w:cs="Times New Roman"/>
          <w:color w:val="000000" w:themeColor="text1"/>
        </w:rPr>
        <w:t>M</w:t>
      </w:r>
      <w:r w:rsidRPr="008D2EEE">
        <w:rPr>
          <w:rStyle w:val="fontstyle01"/>
          <w:rFonts w:ascii="Times New Roman" w:hAnsi="Times New Roman" w:cs="Times New Roman"/>
          <w:color w:val="000000" w:themeColor="text1"/>
        </w:rPr>
        <w:t xml:space="preserve"> hydrogel for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mulations were added into glass </w:t>
      </w:r>
      <w:r w:rsidRPr="00E60FA0">
        <w:rPr>
          <w:rStyle w:val="fontstyle01"/>
          <w:rFonts w:ascii="Times New Roman" w:hAnsi="Times New Roman" w:cs="Times New Roman" w:hint="eastAsia"/>
          <w:color w:val="000000" w:themeColor="text1"/>
        </w:rPr>
        <w:t>vials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 and </w:t>
      </w:r>
      <w:r w:rsidR="00114F60" w:rsidRPr="00E60FA0">
        <w:rPr>
          <w:rStyle w:val="fontstyle01"/>
          <w:rFonts w:ascii="Times New Roman" w:hAnsi="Times New Roman" w:cs="Times New Roman"/>
          <w:color w:val="000000" w:themeColor="text1"/>
        </w:rPr>
        <w:t>placed at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 37 °C. After gelation, the original weight of each hydrogel formulation was recorded as W0. 1 mL of pre-equilibrated PBS (pH 7.4) was gently laid over the surface of the hydrogels and incubated in a metal bath at 37 °C. The weight of the remaining hydrogel samples (Wt) was recorded at regular time intervals (1, 3, 6, 9, 12, 24, 36, and 48 h) after removing the supernatant. The </w:t>
      </w:r>
      <w:r w:rsidRPr="00E60FA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 vitro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 degradation assay was performed in triplicate. The weight remaining (%) was calculated as:</w:t>
      </w:r>
    </w:p>
    <w:p w14:paraId="2DC0D8A5" w14:textId="4A7005FE" w:rsidR="001E0631" w:rsidRPr="00E60FA0" w:rsidRDefault="001E0631" w:rsidP="00114F60">
      <w:pPr>
        <w:spacing w:line="360" w:lineRule="auto"/>
        <w:rPr>
          <w:rStyle w:val="fontstyle01"/>
          <w:rFonts w:ascii="Times New Roman" w:hAnsi="Times New Roman" w:cs="Times New Roman"/>
          <w:color w:val="000000" w:themeColor="text1"/>
        </w:rPr>
      </w:pPr>
      <w:r w:rsidRPr="00E60FA0">
        <w:rPr>
          <w:rStyle w:val="fontstyle01"/>
          <w:rFonts w:ascii="Cambria Math" w:hAnsi="Cambria Math" w:cs="Cambria Math"/>
          <w:color w:val="000000" w:themeColor="text1"/>
        </w:rPr>
        <w:t>𝑊𝑒𝑖𝑔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>ℎ</w:t>
      </w:r>
      <w:r w:rsidRPr="00E60FA0">
        <w:rPr>
          <w:rStyle w:val="fontstyle01"/>
          <w:rFonts w:ascii="Cambria Math" w:hAnsi="Cambria Math" w:cs="Cambria Math"/>
          <w:color w:val="000000" w:themeColor="text1"/>
        </w:rPr>
        <w:t>𝑡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 </w:t>
      </w:r>
      <w:r w:rsidRPr="00E60FA0">
        <w:rPr>
          <w:rStyle w:val="fontstyle01"/>
          <w:rFonts w:ascii="Cambria Math" w:hAnsi="Cambria Math" w:cs="Cambria Math"/>
          <w:color w:val="000000" w:themeColor="text1"/>
        </w:rPr>
        <w:t>𝑟𝑒𝑚𝑎𝑖𝑛𝑖𝑛𝑔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 (%) =</w:t>
      </w:r>
      <w:r w:rsidRPr="00E60FA0">
        <w:rPr>
          <w:rStyle w:val="fontstyle01"/>
          <w:rFonts w:ascii="Cambria Math" w:hAnsi="Cambria Math" w:cs="Cambria Math"/>
          <w:color w:val="000000" w:themeColor="text1"/>
        </w:rPr>
        <w:t xml:space="preserve"> 𝑊𝑡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 </w:t>
      </w:r>
      <w:r w:rsidRPr="00E60FA0">
        <w:rPr>
          <w:rStyle w:val="fontstyle01"/>
          <w:rFonts w:ascii="Cambria Math" w:hAnsi="Cambria Math" w:cs="Cambria Math"/>
          <w:color w:val="000000" w:themeColor="text1"/>
        </w:rPr>
        <w:t>/ 𝑊</w:t>
      </w:r>
      <w:r w:rsidRPr="00E60FA0">
        <w:rPr>
          <w:rStyle w:val="fontstyle01"/>
          <w:rFonts w:ascii="Times New Roman" w:hAnsi="Times New Roman" w:cs="Times New Roman"/>
          <w:color w:val="000000" w:themeColor="text1"/>
        </w:rPr>
        <w:t xml:space="preserve">0 × 100%  </w:t>
      </w:r>
    </w:p>
    <w:p w14:paraId="5A43FC7E" w14:textId="63DADA7A" w:rsidR="001E0631" w:rsidRPr="00E60FA0" w:rsidRDefault="00114F60" w:rsidP="00114F60">
      <w:pPr>
        <w:spacing w:line="360" w:lineRule="auto"/>
        <w:rPr>
          <w:rStyle w:val="fontstyle01"/>
          <w:rFonts w:ascii="Times New Roman" w:hAnsi="Times New Roman" w:cs="Times New Roman"/>
          <w:b/>
          <w:bCs/>
          <w:color w:val="000000" w:themeColor="text1"/>
        </w:rPr>
      </w:pPr>
      <w:r w:rsidRPr="00E60FA0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>2.</w:t>
      </w:r>
      <w:r w:rsidR="001E0631" w:rsidRPr="00E60FA0">
        <w:rPr>
          <w:rStyle w:val="fontstyle01"/>
          <w:rFonts w:ascii="Times New Roman" w:hAnsi="Times New Roman" w:cs="Times New Roman"/>
          <w:b/>
          <w:bCs/>
          <w:color w:val="000000" w:themeColor="text1"/>
        </w:rPr>
        <w:t xml:space="preserve"> Degradation of hydrogel </w:t>
      </w:r>
      <w:r w:rsidR="001E0631" w:rsidRPr="00E60FA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in vi</w:t>
      </w:r>
      <w:r w:rsidR="001E0631" w:rsidRPr="00E60FA0">
        <w:rPr>
          <w:rFonts w:ascii="Times New Roman" w:hAnsi="Times New Roman" w:cs="Times New Roman" w:hint="eastAsia"/>
          <w:b/>
          <w:bCs/>
          <w:i/>
          <w:iCs/>
          <w:color w:val="000000" w:themeColor="text1"/>
          <w:sz w:val="24"/>
          <w:szCs w:val="24"/>
        </w:rPr>
        <w:t>vo</w:t>
      </w:r>
    </w:p>
    <w:p w14:paraId="7D3A63B5" w14:textId="35680548" w:rsidR="001E0631" w:rsidRPr="00E60FA0" w:rsidRDefault="001E0631" w:rsidP="00114F60">
      <w:pPr>
        <w:spacing w:line="360" w:lineRule="auto"/>
        <w:rPr>
          <w:rStyle w:val="fontstyle01"/>
          <w:rFonts w:ascii="Times New Roman" w:hAnsi="Times New Roman" w:cs="Times New Roman"/>
          <w:color w:val="000000" w:themeColor="text1"/>
        </w:rPr>
      </w:pPr>
      <w:r w:rsidRPr="008D2EEE">
        <w:rPr>
          <w:rFonts w:ascii="TimesNewRomanPSMT" w:hAnsi="TimesNewRomanPSMT"/>
          <w:color w:val="000000" w:themeColor="text1"/>
          <w:sz w:val="24"/>
          <w:szCs w:val="24"/>
        </w:rPr>
        <w:t xml:space="preserve">150 </w:t>
      </w:r>
      <w:r w:rsidRPr="008D2EEE">
        <w:rPr>
          <w:rFonts w:ascii="Times New Roman" w:hAnsi="Times New Roman" w:cs="Times New Roman"/>
          <w:color w:val="000000" w:themeColor="text1"/>
          <w:sz w:val="24"/>
          <w:szCs w:val="24"/>
        </w:rPr>
        <w:t>μL</w:t>
      </w:r>
      <w:r w:rsidRPr="008D2EEE">
        <w:rPr>
          <w:rFonts w:ascii="TimesNewRomanPSMT" w:hAnsi="TimesNewRomanPSMT"/>
          <w:color w:val="000000" w:themeColor="text1"/>
          <w:sz w:val="24"/>
          <w:szCs w:val="24"/>
        </w:rPr>
        <w:t xml:space="preserve"> of PFR</w:t>
      </w:r>
      <w:r w:rsidR="00C67177" w:rsidRPr="008D2EEE">
        <w:rPr>
          <w:rFonts w:ascii="TimesNewRomanPSMT" w:hAnsi="TimesNewRomanPSMT"/>
          <w:color w:val="000000" w:themeColor="text1"/>
          <w:sz w:val="24"/>
          <w:szCs w:val="24"/>
        </w:rPr>
        <w:t>M</w:t>
      </w:r>
      <w:r w:rsidRPr="008D2EEE">
        <w:rPr>
          <w:rFonts w:ascii="TimesNewRomanPSMT" w:hAnsi="TimesNewRomanPSMT"/>
          <w:color w:val="000000" w:themeColor="text1"/>
          <w:sz w:val="24"/>
          <w:szCs w:val="24"/>
        </w:rPr>
        <w:t xml:space="preserve"> </w:t>
      </w:r>
      <w:r w:rsidRPr="008D2EEE">
        <w:rPr>
          <w:rFonts w:ascii="TimesNewRomanPSMT" w:hAnsi="TimesNewRomanPSMT" w:hint="eastAsia"/>
          <w:color w:val="000000" w:themeColor="text1"/>
          <w:sz w:val="24"/>
          <w:szCs w:val="24"/>
        </w:rPr>
        <w:t>hydroge</w:t>
      </w:r>
      <w:r w:rsidRPr="00E60FA0">
        <w:rPr>
          <w:rFonts w:ascii="TimesNewRomanPSMT" w:hAnsi="TimesNewRomanPSMT" w:hint="eastAsia"/>
          <w:color w:val="000000" w:themeColor="text1"/>
          <w:sz w:val="24"/>
          <w:szCs w:val="24"/>
        </w:rPr>
        <w:t>l</w:t>
      </w:r>
      <w:bookmarkStart w:id="0" w:name="_Hlk124020703"/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 subcutaneously injected </w:t>
      </w:r>
      <w:bookmarkEnd w:id="0"/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into the </w:t>
      </w:r>
      <w:r w:rsidRPr="00E60FA0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right breast pad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 of </w:t>
      </w:r>
      <w:r w:rsidRPr="00E60FA0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BALB/c mice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. At </w:t>
      </w:r>
      <w:r w:rsidR="00114F60" w:rsidRPr="00E60FA0">
        <w:rPr>
          <w:rFonts w:ascii="TimesNewRomanPSMT" w:hAnsi="TimesNewRomanPSMT"/>
          <w:color w:val="000000" w:themeColor="text1"/>
          <w:sz w:val="24"/>
          <w:szCs w:val="24"/>
        </w:rPr>
        <w:t>indicated timepoints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, the </w:t>
      </w:r>
      <w:r w:rsidRPr="00E60FA0">
        <w:rPr>
          <w:rFonts w:ascii="TimesNewRomanPSMT" w:hAnsi="TimesNewRomanPSMT" w:hint="eastAsia"/>
          <w:color w:val="000000" w:themeColor="text1"/>
          <w:sz w:val="24"/>
          <w:szCs w:val="24"/>
        </w:rPr>
        <w:t>mice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 were sacrificed, and the residual hydrogel in the subcutaneous layer was photographed. </w:t>
      </w:r>
    </w:p>
    <w:p w14:paraId="4FCFCEBB" w14:textId="77777777" w:rsidR="00114F60" w:rsidRPr="00E60FA0" w:rsidRDefault="00114F60" w:rsidP="00114F60">
      <w:pPr>
        <w:spacing w:line="360" w:lineRule="auto"/>
        <w:rPr>
          <w:rStyle w:val="fontstyle01"/>
          <w:rFonts w:ascii="Times New Roman" w:hAnsi="Times New Roman"/>
          <w:b/>
          <w:bCs/>
          <w:color w:val="000000" w:themeColor="text1"/>
        </w:rPr>
      </w:pPr>
      <w:r w:rsidRPr="00E60FA0">
        <w:rPr>
          <w:rStyle w:val="fontstyle01"/>
          <w:rFonts w:ascii="Times New Roman" w:hAnsi="Times New Roman" w:hint="eastAsia"/>
          <w:b/>
          <w:bCs/>
          <w:color w:val="000000" w:themeColor="text1"/>
        </w:rPr>
        <w:t>3</w:t>
      </w:r>
      <w:r w:rsidRPr="00E60FA0">
        <w:rPr>
          <w:rStyle w:val="fontstyle01"/>
          <w:rFonts w:ascii="Times New Roman" w:hAnsi="Times New Roman"/>
          <w:b/>
          <w:bCs/>
          <w:color w:val="000000" w:themeColor="text1"/>
        </w:rPr>
        <w:t>. Near-infrared fluorescence imaging</w:t>
      </w:r>
    </w:p>
    <w:p w14:paraId="7CB48DBC" w14:textId="3BEC7777" w:rsidR="001E0631" w:rsidRPr="00E60FA0" w:rsidRDefault="00114F60" w:rsidP="00114F60">
      <w:pPr>
        <w:spacing w:line="360" w:lineRule="auto"/>
        <w:rPr>
          <w:rFonts w:ascii="TimesNewRomanPSMT" w:hAnsi="TimesNewRomanPSMT" w:hint="eastAsia"/>
          <w:color w:val="000000" w:themeColor="text1"/>
          <w:sz w:val="24"/>
          <w:szCs w:val="24"/>
        </w:rPr>
      </w:pPr>
      <w:r w:rsidRPr="00E60FA0">
        <w:rPr>
          <w:rFonts w:ascii="TimesNewRomanPSMT" w:hAnsi="TimesNewRomanPSMT"/>
          <w:color w:val="000000" w:themeColor="text1"/>
          <w:sz w:val="24"/>
          <w:szCs w:val="24"/>
        </w:rPr>
        <w:t>ICG-</w:t>
      </w:r>
      <w:r w:rsidR="001A63E2" w:rsidRPr="00E60FA0">
        <w:rPr>
          <w:rFonts w:ascii="TimesNewRomanPSMT" w:hAnsi="TimesNewRomanPSMT" w:hint="eastAsia"/>
          <w:color w:val="000000" w:themeColor="text1"/>
          <w:sz w:val="24"/>
          <w:szCs w:val="24"/>
        </w:rPr>
        <w:t>loaded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 PF</w:t>
      </w:r>
      <w:r w:rsidR="001A63E2" w:rsidRPr="00E60FA0">
        <w:rPr>
          <w:rFonts w:ascii="TimesNewRomanPSMT" w:hAnsi="TimesNewRomanPSMT"/>
          <w:color w:val="000000" w:themeColor="text1"/>
          <w:sz w:val="24"/>
          <w:szCs w:val="24"/>
        </w:rPr>
        <w:t>127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 hydrogel was subcutaneously injected. </w:t>
      </w:r>
      <w:r w:rsidR="00D96362" w:rsidRPr="00E60FA0">
        <w:rPr>
          <w:rFonts w:ascii="TimesNewRomanPSMT" w:hAnsi="TimesNewRomanPSMT"/>
          <w:color w:val="000000" w:themeColor="text1"/>
          <w:sz w:val="24"/>
          <w:szCs w:val="24"/>
        </w:rPr>
        <w:t>M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>ice were anesthetized by isoflurane</w:t>
      </w:r>
      <w:r w:rsidR="00D96362" w:rsidRPr="00E60FA0">
        <w:rPr>
          <w:rFonts w:ascii="TimesNewRomanPSMT" w:hAnsi="TimesNewRomanPSMT"/>
          <w:color w:val="000000" w:themeColor="text1"/>
          <w:sz w:val="24"/>
          <w:szCs w:val="24"/>
        </w:rPr>
        <w:t>, and t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>hen fluorescen</w:t>
      </w:r>
      <w:r w:rsidR="00E60FA0" w:rsidRPr="00E60FA0">
        <w:rPr>
          <w:rFonts w:ascii="TimesNewRomanPSMT" w:hAnsi="TimesNewRomanPSMT"/>
          <w:color w:val="000000" w:themeColor="text1"/>
          <w:sz w:val="24"/>
          <w:szCs w:val="24"/>
        </w:rPr>
        <w:t>t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 images </w:t>
      </w:r>
      <w:r w:rsidR="00E60FA0"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of mice 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were collected </w:t>
      </w:r>
      <w:r w:rsidR="00E60FA0" w:rsidRPr="00E60FA0">
        <w:rPr>
          <w:rFonts w:ascii="TimesNewRomanPSMT" w:hAnsi="TimesNewRomanPSMT"/>
          <w:color w:val="000000" w:themeColor="text1"/>
          <w:sz w:val="24"/>
          <w:szCs w:val="24"/>
        </w:rPr>
        <w:t>using an IVIS® Spectrum system (Caliper, Hopkington, MA, USA) at</w:t>
      </w:r>
      <w:r w:rsidR="00D96362" w:rsidRPr="00E60FA0">
        <w:rPr>
          <w:rFonts w:ascii="TimesNewRomanPSMT" w:hAnsi="TimesNewRomanPSMT"/>
          <w:color w:val="000000" w:themeColor="text1"/>
          <w:sz w:val="24"/>
          <w:szCs w:val="24"/>
        </w:rPr>
        <w:t xml:space="preserve"> the indicated time points</w:t>
      </w:r>
      <w:r w:rsidRPr="00E60FA0">
        <w:rPr>
          <w:rFonts w:ascii="TimesNewRomanPSMT" w:hAnsi="TimesNewRomanPSMT"/>
          <w:color w:val="000000" w:themeColor="text1"/>
          <w:sz w:val="24"/>
          <w:szCs w:val="24"/>
        </w:rPr>
        <w:t>.</w:t>
      </w:r>
    </w:p>
    <w:p w14:paraId="15F4FEE8" w14:textId="3E39F310" w:rsidR="00114F60" w:rsidRPr="00E60FA0" w:rsidRDefault="00114F60" w:rsidP="00114F60">
      <w:pPr>
        <w:spacing w:line="360" w:lineRule="auto"/>
        <w:rPr>
          <w:rFonts w:ascii="TimesNewRomanPSMT" w:hAnsi="TimesNewRomanPSMT" w:hint="eastAsia"/>
          <w:b/>
          <w:bCs/>
          <w:color w:val="000000" w:themeColor="text1"/>
          <w:sz w:val="24"/>
          <w:szCs w:val="24"/>
        </w:rPr>
      </w:pPr>
      <w:r w:rsidRPr="00E60FA0">
        <w:rPr>
          <w:rFonts w:ascii="TimesNewRomanPSMT" w:hAnsi="TimesNewRomanPSMT" w:hint="eastAsia"/>
          <w:b/>
          <w:bCs/>
          <w:color w:val="000000" w:themeColor="text1"/>
          <w:sz w:val="24"/>
          <w:szCs w:val="24"/>
        </w:rPr>
        <w:t>4</w:t>
      </w:r>
      <w:r w:rsidRPr="00E60FA0">
        <w:rPr>
          <w:rFonts w:ascii="TimesNewRomanPSMT" w:hAnsi="TimesNewRomanPSMT"/>
          <w:b/>
          <w:bCs/>
          <w:color w:val="000000" w:themeColor="text1"/>
          <w:sz w:val="24"/>
          <w:szCs w:val="24"/>
        </w:rPr>
        <w:t>. Determination of ropivacaine contents in vivo</w:t>
      </w:r>
    </w:p>
    <w:p w14:paraId="211B8072" w14:textId="11519D81" w:rsidR="00A97389" w:rsidRPr="00E60FA0" w:rsidRDefault="00A97389" w:rsidP="00114F60">
      <w:pPr>
        <w:spacing w:line="360" w:lineRule="auto"/>
        <w:rPr>
          <w:rFonts w:ascii="Times-Roman" w:hAnsi="Times-Roman" w:hint="eastAsia"/>
          <w:color w:val="000000" w:themeColor="text1"/>
          <w:sz w:val="24"/>
          <w:szCs w:val="24"/>
        </w:rPr>
      </w:pPr>
      <w:r w:rsidRPr="00E60FA0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4T1 cells (8 × 10</w:t>
      </w:r>
      <w:r w:rsidRPr="00E60FA0">
        <w:rPr>
          <w:rFonts w:ascii="Times New Roman" w:eastAsiaTheme="minorHAnsi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E60FA0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>, 100 μL)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were inoculated into the right breast pad of the BALB/c mice a</w:t>
      </w:r>
      <w:r w:rsidRPr="008D2E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nd </w:t>
      </w:r>
      <w:r w:rsidRPr="008D2EEE"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t xml:space="preserve">50 μL of </w:t>
      </w:r>
      <w:r w:rsidRPr="008D2E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PFR</w:t>
      </w:r>
      <w:r w:rsidR="00860BB9" w:rsidRPr="008D2E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D2E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was intratu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morally injected when the tumor volume reached approximately 150 mm</w:t>
      </w:r>
      <w:r w:rsidRPr="008D2E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3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At 2, 6, 12 and 48 hours after the injection, mice were killed and the tumor were collected.</w:t>
      </w:r>
      <w:r w:rsidRPr="00E60FA0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tissues were added to three volumes PBS per tissue weight, homogenized, and stored at -20℃ until being analyzed. HPLC analysis was performed on a Shimadzu HPLC system, equipped with LC-20AP binary pump, SPD-20A UV-V</w:t>
      </w:r>
      <w:r w:rsidR="00C869E0" w:rsidRPr="00E60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detector, and Symmetry C18 column. </w:t>
      </w:r>
    </w:p>
    <w:p w14:paraId="6B9F3FBA" w14:textId="77777777" w:rsidR="00A97389" w:rsidRPr="00E60FA0" w:rsidRDefault="00A9738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C98F8D" w14:textId="18423737" w:rsidR="0024405D" w:rsidRPr="00E60FA0" w:rsidRDefault="0024405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</w:t>
      </w:r>
      <w:r w:rsidR="007F2F96"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E60FA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1</w:t>
      </w: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F4CE81C" w14:textId="180BF601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noProof/>
          <w:color w:val="000000" w:themeColor="text1"/>
          <w:lang w:eastAsia="en-US"/>
        </w:rPr>
        <w:drawing>
          <wp:inline distT="0" distB="0" distL="0" distR="0" wp14:anchorId="6FC8AA97" wp14:editId="1F6E75C8">
            <wp:extent cx="5274310" cy="318706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39815" w14:textId="4C8E1620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F3A1D2" w14:textId="477B41FF" w:rsidR="00C314DE" w:rsidRPr="00E60FA0" w:rsidRDefault="00C314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Figure S1. Rheological properties of hydrogels. Temperature-dependent rheology of (A) PF and (B) PFRM aqueous dispersion. Frequency-dependent rheology of (C) PF and (D) PFRM hydrogel at 37°C. The shear-thinning behavior of (E) PF and (F) PFRM hydrogel indicated by steady-shear rheology.</w:t>
      </w:r>
    </w:p>
    <w:p w14:paraId="5E9F9F3D" w14:textId="38FC5AF8" w:rsidR="00C314DE" w:rsidRPr="00E60FA0" w:rsidRDefault="00C314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43AAB25" w14:textId="19C4761F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F44846" w14:textId="56856412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5CDAAF" w14:textId="433E44BD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DFE658" w14:textId="16949616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4E94D8" w14:textId="2AB10DEB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6FB5FA" w14:textId="09A52E36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EA80CC" w14:textId="5F5BC7E8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10F927" w14:textId="29334042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34FDD1" w14:textId="41FA0C99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C222F9" w14:textId="22C478AF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569D53" w14:textId="714F2C61" w:rsidR="00847438" w:rsidRPr="00E60FA0" w:rsidRDefault="001A63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\</w:t>
      </w:r>
    </w:p>
    <w:p w14:paraId="05666E71" w14:textId="45A7996D" w:rsidR="001A63E2" w:rsidRPr="00E60FA0" w:rsidRDefault="001A63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B5C32A" w14:textId="5D0CF08E" w:rsidR="001A63E2" w:rsidRPr="00E60FA0" w:rsidRDefault="001A63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7570AB" w14:textId="38703E57" w:rsidR="001A63E2" w:rsidRPr="00E60FA0" w:rsidRDefault="001A63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1470DD" w14:textId="77777777" w:rsidR="001A63E2" w:rsidRPr="00E60FA0" w:rsidRDefault="001A63E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76FAAB" w14:textId="7F5935F6" w:rsidR="00C314DE" w:rsidRPr="00E60FA0" w:rsidRDefault="00C314DE" w:rsidP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Figure S2 </w:t>
      </w:r>
    </w:p>
    <w:p w14:paraId="78988DF9" w14:textId="0F8B72BC" w:rsidR="00B1233E" w:rsidRPr="00E60FA0" w:rsidRDefault="00B1233E" w:rsidP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84EEED" w14:textId="25ADE418" w:rsidR="00B1233E" w:rsidRPr="00E60FA0" w:rsidRDefault="00B1233E" w:rsidP="00FA6794">
      <w:pPr>
        <w:ind w:firstLineChars="200" w:firstLine="4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noProof/>
          <w:color w:val="000000" w:themeColor="text1"/>
          <w:lang w:eastAsia="en-US"/>
        </w:rPr>
        <w:drawing>
          <wp:inline distT="0" distB="0" distL="0" distR="0" wp14:anchorId="14F98139" wp14:editId="42DF3017">
            <wp:extent cx="3088351" cy="216549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94" cy="217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7E71D" w14:textId="68F8389E" w:rsidR="00B1233E" w:rsidRPr="00E60FA0" w:rsidRDefault="00847438" w:rsidP="00C314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Figure S2. Paw withdrawal latency was measured at 0, 3, 10, 16, and 24 h after tumor resection with PBS or PF</w:t>
      </w:r>
      <w:r w:rsidR="008D2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127 </w:t>
      </w:r>
      <w:r w:rsidR="008D2EE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hydrogel</w:t>
      </w:r>
      <w:r w:rsidR="008D2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treatment (n=3).</w:t>
      </w:r>
    </w:p>
    <w:p w14:paraId="0268FA98" w14:textId="64A9F35D" w:rsidR="00B1233E" w:rsidRPr="00E60FA0" w:rsidRDefault="00B1233E" w:rsidP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EA1A96" w14:textId="77777777" w:rsidR="00847438" w:rsidRPr="00E60FA0" w:rsidRDefault="00847438" w:rsidP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064633A" w14:textId="5DD734CA" w:rsidR="00B1233E" w:rsidRPr="00E60FA0" w:rsidRDefault="00B1233E" w:rsidP="00B1233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6B2027"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3019A09" w14:textId="4BC28F9B" w:rsidR="00C314DE" w:rsidRPr="00E60FA0" w:rsidRDefault="00684BD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noProof/>
          <w:color w:val="000000" w:themeColor="text1"/>
          <w:lang w:eastAsia="en-US"/>
        </w:rPr>
        <w:drawing>
          <wp:inline distT="0" distB="0" distL="0" distR="0" wp14:anchorId="6873A8B7" wp14:editId="2BCFC9E0">
            <wp:extent cx="3096883" cy="347339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14" cy="3491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D59B8" w14:textId="7C67D037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DFCD1E" w14:textId="63DE8C4C" w:rsidR="00C314DE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Figure S3. </w:t>
      </w:r>
      <w:r w:rsidR="0000391E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 w:rsidR="00FE3A4D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="0000391E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pivacaine concentrations in tumor tissues were</w:t>
      </w:r>
      <w:r w:rsidRPr="00E60FA0">
        <w:rPr>
          <w:color w:val="000000" w:themeColor="text1"/>
        </w:rPr>
        <w:t xml:space="preserve"> 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measured at indicated time pointes. (B) Fluorescence images of mice at the indicated times after </w:t>
      </w:r>
      <w:r w:rsidR="00846DD4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subcutaneous 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injection of ICG</w:t>
      </w:r>
      <w:r w:rsidR="00846DD4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loaded PF127 hydroge</w:t>
      </w:r>
      <w:r w:rsidR="001A63E2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l.</w:t>
      </w:r>
    </w:p>
    <w:p w14:paraId="0B3CCE7B" w14:textId="36CA074C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86B470" w14:textId="6DC537FA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01656F" w14:textId="4A9D37A7" w:rsidR="00847438" w:rsidRPr="00E60FA0" w:rsidRDefault="0084743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6CE3D4" w14:textId="77777777" w:rsidR="00847438" w:rsidRPr="00E60FA0" w:rsidRDefault="0084743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04A370" w14:textId="3EC35034" w:rsidR="00C314DE" w:rsidRPr="00E60FA0" w:rsidRDefault="006B202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S4</w:t>
      </w:r>
    </w:p>
    <w:p w14:paraId="17141FE8" w14:textId="5823DBA6" w:rsidR="00C314DE" w:rsidRPr="00E60FA0" w:rsidRDefault="006B202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noProof/>
          <w:color w:val="000000" w:themeColor="text1"/>
          <w:lang w:eastAsia="en-US"/>
        </w:rPr>
        <w:drawing>
          <wp:inline distT="0" distB="0" distL="0" distR="0" wp14:anchorId="72AE6670" wp14:editId="279CCF8C">
            <wp:extent cx="2863766" cy="2992946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48" cy="299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A5614" w14:textId="5DB5F686" w:rsidR="00C314DE" w:rsidRPr="00E60FA0" w:rsidRDefault="00846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Figure S4. (A) Degradation kinetics of PFR</w:t>
      </w:r>
      <w:r w:rsidR="0082009F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hydrogel formulations incubated at 37 °C measured by weight remaining (%). (B) </w:t>
      </w:r>
      <w:r w:rsidR="00E60FA0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egradation of PFR</w:t>
      </w:r>
      <w:r w:rsidR="0082009F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hydrogel</w:t>
      </w:r>
      <w:r w:rsidR="00E60FA0" w:rsidRPr="00E60FA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in vivo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. The PFRM hydrogel was injected into mice subcutaneously and photos around the hydrogels were taken at 5 minutes, 12 hours and 48 hours after injection.</w:t>
      </w:r>
    </w:p>
    <w:p w14:paraId="4269E36B" w14:textId="73464C5F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5984D11" w14:textId="33E7025F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BE9D8A" w14:textId="7D12C355" w:rsidR="00C314DE" w:rsidRPr="00E60FA0" w:rsidRDefault="00C314DE" w:rsidP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B1233E"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02608094" w14:textId="68C33E9D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noProof/>
          <w:color w:val="000000" w:themeColor="text1"/>
          <w:lang w:eastAsia="en-US"/>
        </w:rPr>
        <w:drawing>
          <wp:inline distT="0" distB="0" distL="0" distR="0" wp14:anchorId="0FB875CA" wp14:editId="10ED670F">
            <wp:extent cx="5274310" cy="188023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99A6F" w14:textId="28D04078" w:rsidR="00C314DE" w:rsidRPr="00E60FA0" w:rsidRDefault="00846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Figure S5. (A) Image of exfoliated tumors after PBS or PF treatments. (B) Average tumor growth curves under PBS or PF treatment (n=3). PF: PF127 hydrogel</w:t>
      </w:r>
      <w:r w:rsidR="00571F95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0C8600" w14:textId="0F7D6AEC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7B86B2" w14:textId="72EB45E2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E4EC88" w14:textId="5752F9F1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4B78E8" w14:textId="764C8284" w:rsidR="00C314DE" w:rsidRPr="00E60FA0" w:rsidRDefault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38073F" w14:textId="307B017C" w:rsidR="00846DD4" w:rsidRPr="00E60FA0" w:rsidRDefault="00846DD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F4C6CA" w14:textId="3E7B1DEE" w:rsidR="00846DD4" w:rsidRPr="00E60FA0" w:rsidRDefault="00846DD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3818B1" w14:textId="471800FD" w:rsidR="00846DD4" w:rsidRPr="00E60FA0" w:rsidRDefault="00846DD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EAB6B5" w14:textId="0D7044EE" w:rsidR="00846DD4" w:rsidRPr="00E60FA0" w:rsidRDefault="00846DD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DBCEA5" w14:textId="511290D3" w:rsidR="00C314DE" w:rsidRPr="00E60FA0" w:rsidRDefault="00C314DE" w:rsidP="00C314D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B1233E"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91D96B1" w14:textId="65ECDAE3" w:rsidR="002A43FB" w:rsidRPr="00E60FA0" w:rsidRDefault="0024405D" w:rsidP="00BC1431">
      <w:pPr>
        <w:ind w:firstLineChars="100" w:firstLine="210"/>
        <w:rPr>
          <w:color w:val="000000" w:themeColor="text1"/>
        </w:rPr>
      </w:pPr>
      <w:r w:rsidRPr="00E60FA0">
        <w:rPr>
          <w:noProof/>
          <w:color w:val="000000" w:themeColor="text1"/>
          <w:lang w:eastAsia="en-US"/>
        </w:rPr>
        <w:drawing>
          <wp:inline distT="0" distB="0" distL="0" distR="0" wp14:anchorId="1E1A762B" wp14:editId="54147EC5">
            <wp:extent cx="3316865" cy="201306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161" cy="201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611F4" w14:textId="475E7ABF" w:rsidR="0024405D" w:rsidRPr="00E60FA0" w:rsidRDefault="007F2F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Figure S</w:t>
      </w:r>
      <w:r w:rsidR="0082009F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4405D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Body weight changes of mice under different treatments.</w:t>
      </w:r>
    </w:p>
    <w:p w14:paraId="59DBD869" w14:textId="5845F42A" w:rsidR="007F2F96" w:rsidRPr="00E60FA0" w:rsidRDefault="007F2F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B4CE6C" w14:textId="77777777" w:rsidR="00571F95" w:rsidRPr="00E60FA0" w:rsidRDefault="00571F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8C083D" w14:textId="7501CBBA" w:rsidR="002B43B2" w:rsidRPr="00E60FA0" w:rsidRDefault="002B43B2" w:rsidP="002B43B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B1233E"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</w:p>
    <w:p w14:paraId="08C0219E" w14:textId="5F7781E9" w:rsidR="007F2F96" w:rsidRPr="00E60FA0" w:rsidRDefault="002B43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drawing>
          <wp:inline distT="0" distB="0" distL="0" distR="0" wp14:anchorId="6E5396A2" wp14:editId="4C08C38B">
            <wp:extent cx="5172870" cy="3201067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47" cy="320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43155E" w14:textId="230FFF7F" w:rsidR="00C314DE" w:rsidRPr="00E60FA0" w:rsidRDefault="002B43B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E60F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igure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82009F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 staining of </w:t>
      </w:r>
      <w:r w:rsidR="00EA6506" w:rsidRPr="00E60FA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main</w: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organs after different treatments.</w:t>
      </w:r>
    </w:p>
    <w:p w14:paraId="3A8DC38C" w14:textId="4DC97718" w:rsidR="00C314DE" w:rsidRPr="00E60FA0" w:rsidRDefault="00C314D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8B2958" w14:textId="77777777" w:rsidR="007334ED" w:rsidRPr="00E60FA0" w:rsidRDefault="007334ED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3A2477" w14:textId="77777777" w:rsidR="007334ED" w:rsidRPr="00E60FA0" w:rsidRDefault="007334ED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6C44BD" w14:textId="77777777" w:rsidR="00571F95" w:rsidRPr="00E60FA0" w:rsidRDefault="00571F95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114662" w14:textId="77777777" w:rsidR="00571F95" w:rsidRPr="00E60FA0" w:rsidRDefault="00571F95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E3B08B" w14:textId="77777777" w:rsidR="00571F95" w:rsidRPr="00E60FA0" w:rsidRDefault="00571F95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07FE829" w14:textId="77777777" w:rsidR="00571F95" w:rsidRPr="00E60FA0" w:rsidRDefault="00571F95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FD6F0D5" w14:textId="77777777" w:rsidR="00571F95" w:rsidRPr="00E60FA0" w:rsidRDefault="00571F95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CBD4BB5" w14:textId="77777777" w:rsidR="00571F95" w:rsidRPr="00E60FA0" w:rsidRDefault="00571F95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C748E4" w14:textId="77777777" w:rsidR="00571F95" w:rsidRPr="00E60FA0" w:rsidRDefault="00571F95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CC7CB5B" w14:textId="23F06E61" w:rsidR="007334ED" w:rsidRPr="00E60FA0" w:rsidRDefault="007334ED" w:rsidP="007334E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Figure S</w:t>
      </w:r>
      <w:r w:rsidR="00B1233E"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1C6535BC" w14:textId="4D4441DF" w:rsidR="00C314DE" w:rsidRPr="00E60FA0" w:rsidRDefault="007334E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noProof/>
          <w:color w:val="000000" w:themeColor="text1"/>
          <w:lang w:eastAsia="en-US"/>
        </w:rPr>
        <w:drawing>
          <wp:inline distT="0" distB="0" distL="0" distR="0" wp14:anchorId="29F75905" wp14:editId="0C7A6035">
            <wp:extent cx="5274310" cy="350647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A0B40" w14:textId="77777777" w:rsidR="000C7439" w:rsidRPr="00E60FA0" w:rsidRDefault="00571F9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Figure S8. (A) Flow cyto</w:t>
      </w:r>
      <w:bookmarkStart w:id="1" w:name="_GoBack"/>
      <w:bookmarkEnd w:id="1"/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metry analysis of Tregs. (B) Flow cytometry analysis of MDSCs. </w:t>
      </w:r>
    </w:p>
    <w:p w14:paraId="2DECCADA" w14:textId="6BB92B47" w:rsidR="000C7439" w:rsidRPr="00E60FA0" w:rsidRDefault="000C74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0B2A8B" w14:textId="1A7930BE" w:rsidR="001A63E2" w:rsidRPr="00E60FA0" w:rsidRDefault="001A63E2" w:rsidP="00E60FA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References</w:t>
      </w:r>
    </w:p>
    <w:p w14:paraId="107377E5" w14:textId="2C3F0A32" w:rsidR="001A63E2" w:rsidRPr="00E60FA0" w:rsidRDefault="000C7439" w:rsidP="00E60FA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EN.REFLIST </w:instrText>
      </w: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1A63E2"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t>1. Luo G, Sun Y, Zhang J, Xu Z, Lu W, Wang H, Zhang Y, Li H, Mao Z, Ye S, et al: Nanodefensin-encased hydrogel with dual bactericidal and pro-regenerative functions for advanced wound therapy. Theranostics 2021, 11:3642-3660.</w:t>
      </w:r>
    </w:p>
    <w:p w14:paraId="4E9FE931" w14:textId="6AD1FF2B" w:rsidR="00571F95" w:rsidRPr="00E60FA0" w:rsidRDefault="000C743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60FA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571F95" w:rsidRPr="00E60F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0470A0" w14:textId="77777777" w:rsidR="005E6163" w:rsidRDefault="005E6163" w:rsidP="0024405D">
      <w:r>
        <w:separator/>
      </w:r>
    </w:p>
  </w:endnote>
  <w:endnote w:type="continuationSeparator" w:id="0">
    <w:p w14:paraId="0699E3AB" w14:textId="77777777" w:rsidR="005E6163" w:rsidRDefault="005E6163" w:rsidP="00244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CC7B7" w14:textId="77777777" w:rsidR="005E6163" w:rsidRDefault="005E6163" w:rsidP="0024405D">
      <w:r>
        <w:separator/>
      </w:r>
    </w:p>
  </w:footnote>
  <w:footnote w:type="continuationSeparator" w:id="0">
    <w:p w14:paraId="58DD5CD3" w14:textId="77777777" w:rsidR="005E6163" w:rsidRDefault="005E6163" w:rsidP="00244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7E7B59"/>
    <w:multiLevelType w:val="hybridMultilevel"/>
    <w:tmpl w:val="5D284100"/>
    <w:lvl w:ilvl="0" w:tplc="08586EB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anobiotechn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pa2vvzdsv5voefprrvrfxevaf0zt2p20as&quot;&gt;My EndNote Library&lt;record-ids&gt;&lt;item&gt;2696&lt;/item&gt;&lt;/record-ids&gt;&lt;/item&gt;&lt;/Libraries&gt;"/>
  </w:docVars>
  <w:rsids>
    <w:rsidRoot w:val="002A43FB"/>
    <w:rsid w:val="0000391E"/>
    <w:rsid w:val="000604E2"/>
    <w:rsid w:val="00061B7B"/>
    <w:rsid w:val="00071E3B"/>
    <w:rsid w:val="00086060"/>
    <w:rsid w:val="000C7439"/>
    <w:rsid w:val="000C76E3"/>
    <w:rsid w:val="00114F60"/>
    <w:rsid w:val="00171D18"/>
    <w:rsid w:val="00173F3D"/>
    <w:rsid w:val="001A63E2"/>
    <w:rsid w:val="001E0631"/>
    <w:rsid w:val="001E67CD"/>
    <w:rsid w:val="0024405D"/>
    <w:rsid w:val="00254628"/>
    <w:rsid w:val="00261833"/>
    <w:rsid w:val="00271F02"/>
    <w:rsid w:val="002A1BA6"/>
    <w:rsid w:val="002A43FB"/>
    <w:rsid w:val="002B43B2"/>
    <w:rsid w:val="002D5FAE"/>
    <w:rsid w:val="002D7474"/>
    <w:rsid w:val="002F6768"/>
    <w:rsid w:val="00314E21"/>
    <w:rsid w:val="00315772"/>
    <w:rsid w:val="00315F4C"/>
    <w:rsid w:val="00331823"/>
    <w:rsid w:val="00376954"/>
    <w:rsid w:val="00446ECF"/>
    <w:rsid w:val="00571F95"/>
    <w:rsid w:val="005E6163"/>
    <w:rsid w:val="005F1B22"/>
    <w:rsid w:val="005F4CCD"/>
    <w:rsid w:val="0062190F"/>
    <w:rsid w:val="00653113"/>
    <w:rsid w:val="00684BD9"/>
    <w:rsid w:val="006B2027"/>
    <w:rsid w:val="006B3490"/>
    <w:rsid w:val="007334ED"/>
    <w:rsid w:val="00750FC0"/>
    <w:rsid w:val="007F2F96"/>
    <w:rsid w:val="00816F7F"/>
    <w:rsid w:val="0082009F"/>
    <w:rsid w:val="00846DD4"/>
    <w:rsid w:val="00847438"/>
    <w:rsid w:val="00860BB9"/>
    <w:rsid w:val="008D2EEE"/>
    <w:rsid w:val="008E0223"/>
    <w:rsid w:val="0095127F"/>
    <w:rsid w:val="009729A4"/>
    <w:rsid w:val="009D59A3"/>
    <w:rsid w:val="009E1B86"/>
    <w:rsid w:val="00A3472F"/>
    <w:rsid w:val="00A7308F"/>
    <w:rsid w:val="00A97389"/>
    <w:rsid w:val="00A976BC"/>
    <w:rsid w:val="00AC529C"/>
    <w:rsid w:val="00B1233E"/>
    <w:rsid w:val="00BC1431"/>
    <w:rsid w:val="00C314DE"/>
    <w:rsid w:val="00C35D1B"/>
    <w:rsid w:val="00C67177"/>
    <w:rsid w:val="00C869E0"/>
    <w:rsid w:val="00CC6FA2"/>
    <w:rsid w:val="00D96362"/>
    <w:rsid w:val="00E167E1"/>
    <w:rsid w:val="00E60FA0"/>
    <w:rsid w:val="00EA6506"/>
    <w:rsid w:val="00EC085A"/>
    <w:rsid w:val="00EE6F59"/>
    <w:rsid w:val="00F331FC"/>
    <w:rsid w:val="00FA6794"/>
    <w:rsid w:val="00FE3A4D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C74A67"/>
  <w14:defaultImageDpi w14:val="32767"/>
  <w15:chartTrackingRefBased/>
  <w15:docId w15:val="{7AED65A8-94CC-41C7-BAF3-3E6F7D82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4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405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440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405D"/>
    <w:rPr>
      <w:sz w:val="18"/>
      <w:szCs w:val="18"/>
    </w:rPr>
  </w:style>
  <w:style w:type="character" w:customStyle="1" w:styleId="fontstyle01">
    <w:name w:val="fontstyle01"/>
    <w:basedOn w:val="DefaultParagraphFont"/>
    <w:rsid w:val="00A9738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97389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0C7439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0C7439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0C7439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0C7439"/>
    <w:rPr>
      <w:rFonts w:ascii="DengXian" w:eastAsia="DengXian" w:hAnsi="DengXian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jiqian</dc:creator>
  <cp:keywords/>
  <dc:description/>
  <cp:lastModifiedBy>Sowmiya Subramani</cp:lastModifiedBy>
  <cp:revision>71</cp:revision>
  <dcterms:created xsi:type="dcterms:W3CDTF">2022-05-09T09:29:00Z</dcterms:created>
  <dcterms:modified xsi:type="dcterms:W3CDTF">2023-02-03T06:44:00Z</dcterms:modified>
</cp:coreProperties>
</file>