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C184DB">
      <w:pPr>
        <w:rPr>
          <w:rFonts w:eastAsiaTheme="minorEastAsia"/>
          <w:lang w:eastAsia="zh-CN"/>
        </w:rPr>
      </w:pPr>
      <w:r>
        <w:t xml:space="preserve">Additional file </w:t>
      </w:r>
      <w:r>
        <w:rPr>
          <w:rFonts w:eastAsiaTheme="minorEastAsia"/>
          <w:lang w:eastAsia="zh-CN"/>
        </w:rPr>
        <w:t>information</w:t>
      </w:r>
      <w:r>
        <w:t xml:space="preserve"> </w:t>
      </w:r>
      <w:r>
        <w:rPr>
          <w:rFonts w:eastAsiaTheme="minorEastAsia"/>
          <w:lang w:eastAsia="zh-CN"/>
        </w:rPr>
        <w:t>for</w:t>
      </w:r>
    </w:p>
    <w:p w14:paraId="3947913A"/>
    <w:p w14:paraId="4AC9C23E">
      <w:pPr>
        <w:jc w:val="center"/>
        <w:rPr>
          <w:b/>
          <w:vertAlign w:val="superscript"/>
        </w:rPr>
      </w:pPr>
      <w:r>
        <w:rPr>
          <w:b/>
        </w:rPr>
        <w:t>Cascade amplification of tumor starvation and chemodynamic therapy via Fe-MOF based functional nanosystem</w:t>
      </w:r>
    </w:p>
    <w:p w14:paraId="68AE3A41">
      <w:pPr>
        <w:pStyle w:val="46"/>
      </w:pPr>
      <w:r>
        <w:t>Xinmin Zheng</w:t>
      </w:r>
      <w:r>
        <w:rPr>
          <w:vertAlign w:val="superscript"/>
        </w:rPr>
        <w:t>1</w:t>
      </w:r>
      <w:r>
        <w:t>, Xiang Li</w:t>
      </w:r>
      <w:r>
        <w:rPr>
          <w:vertAlign w:val="superscript"/>
        </w:rPr>
        <w:t>1</w:t>
      </w:r>
      <w:r>
        <w:t>, Siyu Meng</w:t>
      </w:r>
      <w:r>
        <w:rPr>
          <w:vertAlign w:val="superscript"/>
        </w:rPr>
        <w:t>2</w:t>
      </w:r>
      <w:r>
        <w:t>, Guolin Shi</w:t>
      </w:r>
      <w:r>
        <w:rPr>
          <w:vertAlign w:val="superscript"/>
        </w:rPr>
        <w:t>1</w:t>
      </w:r>
      <w:r>
        <w:t>, Hui Li</w:t>
      </w:r>
      <w:r>
        <w:rPr>
          <w:vertAlign w:val="superscript"/>
        </w:rPr>
        <w:t>1</w:t>
      </w:r>
      <w:r>
        <w:t>, Huiping Du</w:t>
      </w:r>
      <w:r>
        <w:rPr>
          <w:vertAlign w:val="superscript"/>
        </w:rPr>
        <w:t>2</w:t>
      </w:r>
      <w:r>
        <w:t>, Liangliang Dai</w:t>
      </w:r>
      <w:r>
        <w:rPr>
          <w:vertAlign w:val="superscript"/>
        </w:rPr>
        <w:t>2*</w:t>
      </w:r>
      <w:r>
        <w:t xml:space="preserve"> and Hui Yang</w:t>
      </w:r>
      <w:r>
        <w:rPr>
          <w:vertAlign w:val="superscript"/>
        </w:rPr>
        <w:t>1*</w:t>
      </w:r>
    </w:p>
    <w:p w14:paraId="670C79C6">
      <w:pPr>
        <w:pStyle w:val="37"/>
        <w:spacing w:line="360" w:lineRule="auto"/>
        <w:jc w:val="both"/>
      </w:pPr>
      <w:r>
        <w:rPr>
          <w:vertAlign w:val="superscript"/>
        </w:rPr>
        <w:t>1</w:t>
      </w:r>
      <w:r>
        <w:t xml:space="preserve"> School of Life Sciences, Northwestern Polytechnical University, Xi’an 710072, China</w:t>
      </w:r>
    </w:p>
    <w:p w14:paraId="1640A862">
      <w:pPr>
        <w:pStyle w:val="37"/>
        <w:spacing w:line="360" w:lineRule="auto"/>
        <w:jc w:val="both"/>
      </w:pPr>
      <w:r>
        <w:rPr>
          <w:vertAlign w:val="superscript"/>
        </w:rPr>
        <w:t>2</w:t>
      </w:r>
      <w:r>
        <w:t xml:space="preserve"> Institute of Medical Research, Northwestern Polytechnical University, Xi’an 710072, China</w:t>
      </w:r>
    </w:p>
    <w:p w14:paraId="49888347">
      <w:pPr>
        <w:spacing w:line="480" w:lineRule="auto"/>
        <w:rPr>
          <w:rFonts w:eastAsia="宋体"/>
        </w:rPr>
      </w:pPr>
      <w:r>
        <w:t xml:space="preserve">*Corresponding author: </w:t>
      </w:r>
      <w:r>
        <w:fldChar w:fldCharType="begin"/>
      </w:r>
      <w:r>
        <w:instrText xml:space="preserve"> HYPERLINK "mailto:liangliangdai@nwpu.edu.cn" </w:instrText>
      </w:r>
      <w:r>
        <w:fldChar w:fldCharType="separate"/>
      </w:r>
      <w:r>
        <w:rPr>
          <w:rStyle w:val="18"/>
        </w:rPr>
        <w:t>liangliangdai@nwpu.edu.cn</w:t>
      </w:r>
      <w:r>
        <w:rPr>
          <w:rStyle w:val="18"/>
        </w:rPr>
        <w:fldChar w:fldCharType="end"/>
      </w:r>
      <w:r>
        <w:t xml:space="preserve"> (L.L. Dai)</w:t>
      </w:r>
    </w:p>
    <w:p w14:paraId="6DF35035">
      <w:pPr>
        <w:spacing w:line="480" w:lineRule="auto"/>
        <w:rPr>
          <w:rFonts w:eastAsia="宋体"/>
        </w:rPr>
      </w:pPr>
      <w:r>
        <w:t xml:space="preserve">*Corresponding author: </w:t>
      </w:r>
      <w:r>
        <w:rPr>
          <w:rStyle w:val="18"/>
          <w:lang w:val="pt-BR"/>
        </w:rPr>
        <w:fldChar w:fldCharType="begin"/>
      </w:r>
      <w:r>
        <w:rPr>
          <w:rStyle w:val="18"/>
          <w:lang w:val="pt-BR"/>
        </w:rPr>
        <w:instrText xml:space="preserve"> HYPERLINK "mailto:kittyyh@nwpu.edu.cn" </w:instrText>
      </w:r>
      <w:r>
        <w:rPr>
          <w:rStyle w:val="18"/>
          <w:lang w:val="pt-BR"/>
        </w:rPr>
        <w:fldChar w:fldCharType="separate"/>
      </w:r>
      <w:r>
        <w:rPr>
          <w:rStyle w:val="18"/>
          <w:lang w:val="pt-BR"/>
        </w:rPr>
        <w:t>kittyyh@nwpu.edu.cn</w:t>
      </w:r>
      <w:r>
        <w:rPr>
          <w:rStyle w:val="18"/>
          <w:lang w:val="pt-BR"/>
        </w:rPr>
        <w:fldChar w:fldCharType="end"/>
      </w:r>
      <w:r>
        <w:t xml:space="preserve"> ( H. Yang)</w:t>
      </w:r>
      <w:r>
        <w:rPr>
          <w:rFonts w:eastAsia="宋体"/>
        </w:rPr>
        <w:t xml:space="preserve"> </w:t>
      </w:r>
    </w:p>
    <w:p w14:paraId="57F583F9">
      <w:pPr>
        <w:spacing w:line="480" w:lineRule="auto"/>
      </w:pPr>
      <w:r>
        <w:br w:type="page"/>
      </w:r>
    </w:p>
    <w:sdt>
      <w:sdtPr>
        <w:rPr>
          <w:rFonts w:ascii="Times New Roman" w:hAnsi="Times New Roman" w:cs="Times New Roman" w:eastAsiaTheme="minorEastAsia"/>
          <w:color w:val="auto"/>
          <w:kern w:val="2"/>
          <w:sz w:val="24"/>
          <w:szCs w:val="24"/>
          <w:lang w:val="zh-CN" w:eastAsia="ja-JP"/>
        </w:rPr>
        <w:id w:val="-943375699"/>
        <w:docPartObj>
          <w:docPartGallery w:val="Table of Contents"/>
          <w:docPartUnique/>
        </w:docPartObj>
      </w:sdtPr>
      <w:sdtEndPr>
        <w:rPr>
          <w:rFonts w:ascii="Times New Roman" w:hAnsi="Times New Roman" w:eastAsia="MS Mincho" w:cs="Times New Roman"/>
          <w:b/>
          <w:bCs/>
          <w:color w:val="auto"/>
          <w:kern w:val="0"/>
          <w:sz w:val="24"/>
          <w:szCs w:val="24"/>
          <w:lang w:val="zh-CN" w:eastAsia="ja-JP"/>
        </w:rPr>
      </w:sdtEndPr>
      <w:sdtContent>
        <w:p w14:paraId="00D4D7B4">
          <w:pPr>
            <w:pStyle w:val="91"/>
            <w:spacing w:line="480" w:lineRule="auto"/>
            <w:jc w:val="center"/>
            <w:rPr>
              <w:rFonts w:ascii="Times New Roman" w:hAnsi="Times New Roman" w:cs="Times New Roman"/>
              <w:b/>
              <w:i/>
              <w:color w:val="000000" w:themeColor="text1"/>
              <w:sz w:val="24"/>
              <w:szCs w:val="24"/>
              <w14:textFill>
                <w14:solidFill>
                  <w14:schemeClr w14:val="tx1"/>
                </w14:solidFill>
              </w14:textFill>
            </w:rPr>
          </w:pPr>
          <w:r>
            <w:rPr>
              <w:rFonts w:ascii="Times New Roman" w:hAnsi="Times New Roman" w:cs="Times New Roman"/>
              <w:b/>
              <w:i/>
              <w:color w:val="000000" w:themeColor="text1"/>
              <w:sz w:val="24"/>
              <w:szCs w:val="24"/>
              <w:lang w:val="en-US"/>
              <w14:textFill>
                <w14:solidFill>
                  <w14:schemeClr w14:val="tx1"/>
                </w14:solidFill>
              </w14:textFill>
            </w:rPr>
            <w:t>Lift of Contents</w:t>
          </w:r>
        </w:p>
        <w:p w14:paraId="0063CB9E">
          <w:pPr>
            <w:pStyle w:val="8"/>
            <w:rPr>
              <w:rFonts w:ascii="Times New Roman" w:hAnsi="Times New Roman" w:cs="Times New Roman"/>
              <w:sz w:val="24"/>
              <w:szCs w:val="24"/>
              <w:lang w:val="en-US"/>
            </w:rPr>
          </w:pPr>
        </w:p>
        <w:p w14:paraId="48442797">
          <w:pPr>
            <w:pStyle w:val="8"/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HYPERLINK \l "_Toc127737065"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8"/>
              <w:rFonts w:eastAsia="MS Mincho"/>
              <w:b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Fig. S1</w:t>
          </w:r>
          <w:r>
            <w:rPr>
              <w:rStyle w:val="18"/>
              <w:rFonts w:eastAsia="MS Mincho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 xml:space="preserve"> Surface Zeta potential of FNP and HFNP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S4</w: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79AFB49A">
          <w:pPr>
            <w:pStyle w:val="8"/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HYPERLINK \l "_Toc127737066"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8"/>
              <w:rFonts w:eastAsia="MS Mincho"/>
              <w:b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Fig. S2</w:t>
          </w:r>
          <w:r>
            <w:rPr>
              <w:rStyle w:val="18"/>
              <w:rFonts w:eastAsia="MS Mincho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 xml:space="preserve"> XRD of FNP and HFNP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S5</w: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64B07599">
          <w:pPr>
            <w:pStyle w:val="8"/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HYPERLINK \l "_Toc127737067"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8"/>
              <w:rFonts w:eastAsia="MS Mincho"/>
              <w:b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Fig. S3</w:t>
          </w:r>
          <w:r>
            <w:rPr>
              <w:rStyle w:val="18"/>
              <w:rFonts w:eastAsia="MS Mincho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 xml:space="preserve"> H-NMR of FNP and HFNP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S6</w: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609C5FF2">
          <w:pPr>
            <w:pStyle w:val="8"/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HYPERLINK \l "_Toc127737068"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8"/>
              <w:rFonts w:eastAsia="MS Mincho"/>
              <w:b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Fig. S4</w:t>
          </w:r>
          <w:r>
            <w:rPr>
              <w:rStyle w:val="18"/>
              <w:rFonts w:eastAsia="MS Mincho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 xml:space="preserve"> FTIR of FNP and HFNP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S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PAGEREF _Toc127737068 \h </w:instrTex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7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6A19C04C">
          <w:pPr>
            <w:pStyle w:val="8"/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HYPERLINK \l "_Toc127737069"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8"/>
              <w:rFonts w:eastAsia="MS Mincho"/>
              <w:b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Fig. S5</w:t>
          </w:r>
          <w:r>
            <w:rPr>
              <w:rStyle w:val="18"/>
              <w:rFonts w:eastAsia="MS Mincho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 xml:space="preserve"> Linear relationships between the UV-vis absorbance and the concentration of GOX 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S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PAGEREF _Toc127737069 \h </w:instrTex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8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78F30756">
          <w:pPr>
            <w:pStyle w:val="8"/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HYPERLINK \l "_Toc127737070"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8"/>
              <w:rFonts w:eastAsia="MS Mincho"/>
              <w:b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 xml:space="preserve">Fig. S6 </w:t>
          </w:r>
          <w:r>
            <w:rPr>
              <w:rStyle w:val="18"/>
              <w:rFonts w:eastAsia="MS Mincho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Efflux time of pure PFC and HFNP@GOX@PFC nanoparticles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S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PAGEREF _Toc127737070 \h </w:instrTex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9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1E6D6561">
          <w:pPr>
            <w:pStyle w:val="8"/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HYPERLINK \l "_Toc127737071"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8"/>
              <w:rFonts w:eastAsia="MS Mincho" w:cs="Times New Roman"/>
              <w:b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Fi</w:t>
          </w:r>
          <w:r>
            <w:rPr>
              <w:rStyle w:val="18"/>
              <w:rFonts w:eastAsia="MS Mincho"/>
              <w:b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g. S7</w:t>
          </w:r>
          <w:r>
            <w:rPr>
              <w:rStyle w:val="18"/>
              <w:rFonts w:eastAsia="MS Mincho" w:cs="Times New Roman"/>
              <w:b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 xml:space="preserve"> </w:t>
          </w:r>
          <w:r>
            <w:rPr>
              <w:rStyle w:val="18"/>
              <w:rFonts w:eastAsia="MS Mincho" w:cs="Times New Roman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Linear relationships between the GC intensity and the concentration of PFC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S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PAGEREF _Toc127737071 \h </w:instrTex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10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65D70CE2">
          <w:pPr>
            <w:pStyle w:val="8"/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HYPERLINK \l "_Toc127737072"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8"/>
              <w:rFonts w:eastAsia="MS Mincho"/>
              <w:b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Fig. S8</w:t>
          </w:r>
          <w:r>
            <w:rPr>
              <w:rStyle w:val="18"/>
              <w:rFonts w:eastAsia="MS Mincho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 xml:space="preserve"> TEM images of FNP and HFNP after treatment with H</w:t>
          </w:r>
          <w:r>
            <w:rPr>
              <w:rStyle w:val="18"/>
              <w:rFonts w:eastAsia="MS Mincho"/>
              <w:color w:val="000000" w:themeColor="text1"/>
              <w:highlight w:val="none"/>
              <w:vertAlign w:val="subscript"/>
              <w14:textFill>
                <w14:solidFill>
                  <w14:schemeClr w14:val="tx1"/>
                </w14:solidFill>
              </w14:textFill>
            </w:rPr>
            <w:t>2</w:t>
          </w:r>
          <w:r>
            <w:rPr>
              <w:rStyle w:val="18"/>
              <w:rFonts w:eastAsia="MS Mincho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O</w:t>
          </w:r>
          <w:r>
            <w:rPr>
              <w:rStyle w:val="18"/>
              <w:rFonts w:eastAsia="MS Mincho"/>
              <w:color w:val="000000" w:themeColor="text1"/>
              <w:highlight w:val="none"/>
              <w:vertAlign w:val="subscript"/>
              <w14:textFill>
                <w14:solidFill>
                  <w14:schemeClr w14:val="tx1"/>
                </w14:solidFill>
              </w14:textFill>
            </w:rPr>
            <w:t>2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S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PAGEREF _Toc127737072 \h </w:instrTex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11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0616215B">
          <w:pPr>
            <w:pStyle w:val="8"/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HYPERLINK \l "_Toc127737073"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8"/>
              <w:rFonts w:eastAsia="MS Mincho"/>
              <w:b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Fig. S9</w:t>
          </w:r>
          <w:r>
            <w:rPr>
              <w:rStyle w:val="18"/>
              <w:rFonts w:eastAsia="MS Mincho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 xml:space="preserve"> DLS curves of FNP and HFNP after treatment with H</w:t>
          </w:r>
          <w:r>
            <w:rPr>
              <w:rStyle w:val="18"/>
              <w:rFonts w:eastAsia="MS Mincho"/>
              <w:color w:val="000000" w:themeColor="text1"/>
              <w:highlight w:val="none"/>
              <w:vertAlign w:val="subscript"/>
              <w14:textFill>
                <w14:solidFill>
                  <w14:schemeClr w14:val="tx1"/>
                </w14:solidFill>
              </w14:textFill>
            </w:rPr>
            <w:t>2</w:t>
          </w:r>
          <w:r>
            <w:rPr>
              <w:rStyle w:val="18"/>
              <w:rFonts w:eastAsia="MS Mincho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O</w:t>
          </w:r>
          <w:r>
            <w:rPr>
              <w:rStyle w:val="18"/>
              <w:rFonts w:eastAsia="MS Mincho"/>
              <w:color w:val="000000" w:themeColor="text1"/>
              <w:highlight w:val="none"/>
              <w:vertAlign w:val="subscript"/>
              <w14:textFill>
                <w14:solidFill>
                  <w14:schemeClr w14:val="tx1"/>
                </w14:solidFill>
              </w14:textFill>
            </w:rPr>
            <w:t>2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S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PAGEREF _Toc127737073 \h </w:instrTex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12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1A0A5F13">
          <w:pPr>
            <w:pStyle w:val="8"/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HYPERLINK \l "_Toc127737073"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8"/>
              <w:rFonts w:eastAsia="MS Mincho"/>
              <w:b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Fig. S10</w:t>
          </w:r>
          <w:r>
            <w:rPr>
              <w:rStyle w:val="18"/>
              <w:rFonts w:eastAsia="MS Mincho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 xml:space="preserve"> pH values and generated H</w:t>
          </w:r>
          <w:r>
            <w:rPr>
              <w:rStyle w:val="18"/>
              <w:rFonts w:eastAsia="MS Mincho"/>
              <w:color w:val="000000" w:themeColor="text1"/>
              <w:highlight w:val="none"/>
              <w:vertAlign w:val="subscript"/>
              <w14:textFill>
                <w14:solidFill>
                  <w14:schemeClr w14:val="tx1"/>
                </w14:solidFill>
              </w14:textFill>
            </w:rPr>
            <w:t>2</w:t>
          </w:r>
          <w:r>
            <w:rPr>
              <w:rStyle w:val="18"/>
              <w:rFonts w:eastAsia="MS Mincho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O</w:t>
          </w:r>
          <w:r>
            <w:rPr>
              <w:rStyle w:val="18"/>
              <w:rFonts w:eastAsia="MS Mincho"/>
              <w:color w:val="000000" w:themeColor="text1"/>
              <w:highlight w:val="none"/>
              <w:vertAlign w:val="subscript"/>
              <w14:textFill>
                <w14:solidFill>
                  <w14:schemeClr w14:val="tx1"/>
                </w14:solidFill>
              </w14:textFill>
            </w:rPr>
            <w:t>2</w:t>
          </w:r>
          <w:r>
            <w:rPr>
              <w:rStyle w:val="18"/>
              <w:rFonts w:eastAsia="MS Mincho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 xml:space="preserve"> concentrations at various time points arisen from GOX and HFNP@GOX@PFC catalyzed disintegration reaction of glucose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S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PAGEREF _Toc127737073 \h </w:instrTex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13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1AEE2C87">
          <w:pPr>
            <w:pStyle w:val="8"/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HYPERLINK \l "_Toc127737074"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8"/>
              <w:rFonts w:eastAsia="MS Mincho"/>
              <w:b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Fig. S11</w:t>
          </w:r>
          <w:r>
            <w:rPr>
              <w:rStyle w:val="18"/>
              <w:rFonts w:eastAsia="MS Mincho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 xml:space="preserve"> Biostability of HFNP@GOX@PFC in gluconic acid with or without H</w:t>
          </w:r>
          <w:r>
            <w:rPr>
              <w:rStyle w:val="18"/>
              <w:rFonts w:eastAsia="MS Mincho"/>
              <w:color w:val="000000" w:themeColor="text1"/>
              <w:highlight w:val="none"/>
              <w:vertAlign w:val="subscript"/>
              <w14:textFill>
                <w14:solidFill>
                  <w14:schemeClr w14:val="tx1"/>
                </w14:solidFill>
              </w14:textFill>
            </w:rPr>
            <w:t>2</w:t>
          </w:r>
          <w:r>
            <w:rPr>
              <w:rStyle w:val="18"/>
              <w:rFonts w:eastAsia="MS Mincho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O</w:t>
          </w:r>
          <w:r>
            <w:rPr>
              <w:rStyle w:val="18"/>
              <w:rFonts w:eastAsia="MS Mincho"/>
              <w:color w:val="000000" w:themeColor="text1"/>
              <w:highlight w:val="none"/>
              <w:vertAlign w:val="subscript"/>
              <w14:textFill>
                <w14:solidFill>
                  <w14:schemeClr w14:val="tx1"/>
                </w14:solidFill>
              </w14:textFill>
            </w:rPr>
            <w:t>2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S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PAGEREF _Toc127737074 \h </w:instrTex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14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3E2EFB9A">
          <w:pPr>
            <w:pStyle w:val="8"/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HYPERLINK \l "_Toc127737075"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8"/>
              <w:rFonts w:eastAsia="MS Mincho"/>
              <w:b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Fig. S12</w:t>
          </w:r>
          <w:r>
            <w:rPr>
              <w:rStyle w:val="18"/>
              <w:rFonts w:eastAsia="MS Mincho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 xml:space="preserve"> Intracellular ROS ﬂuorescence intensity of 4T1 cells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S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PAGEREF _Toc127737075 \h </w:instrTex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15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2B772481">
          <w:pPr>
            <w:pStyle w:val="8"/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HYPERLINK \l "_Toc127737076"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8"/>
              <w:rFonts w:eastAsia="MS Mincho" w:cs="Times New Roman"/>
              <w:b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Fig. S13</w:t>
          </w:r>
          <w:r>
            <w:rPr>
              <w:rStyle w:val="18"/>
              <w:rFonts w:eastAsia="MS Mincho" w:cs="Times New Roman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 xml:space="preserve"> Corresponding quantitative MFI analysis of CD47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S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PAGEREF _Toc127737076 \h </w:instrTex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16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14C02F60">
          <w:pPr>
            <w:pStyle w:val="8"/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HYPERLINK \l "_Toc127737077"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8"/>
              <w:rFonts w:eastAsia="MS Mincho" w:cs="Times New Roman"/>
              <w:b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Fig. S14</w:t>
          </w:r>
          <w:r>
            <w:rPr>
              <w:rStyle w:val="18"/>
              <w:rFonts w:eastAsia="MS Mincho" w:cs="Times New Roman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 xml:space="preserve"> Bcl-2, BAX, CytC and Casp3 relative mRNA expressions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S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PAGEREF _Toc127737077 \h </w:instrTex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17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2BE6266E">
          <w:pPr>
            <w:pStyle w:val="8"/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HYPERLINK \l "_Toc127737078"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8"/>
              <w:rFonts w:eastAsia="MS Mincho"/>
              <w:b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Fig. S15</w:t>
          </w:r>
          <w:r>
            <w:rPr>
              <w:rStyle w:val="18"/>
              <w:rFonts w:eastAsia="MS Mincho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 xml:space="preserve"> Gate strategy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S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PAGEREF _Toc127737078 \h </w:instrTex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18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375D1869">
          <w:pPr>
            <w:pStyle w:val="8"/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HYPERLINK \l "_Toc127737079"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8"/>
              <w:rFonts w:eastAsia="MS Mincho"/>
              <w:b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Fig. S16</w:t>
          </w:r>
          <w:r>
            <w:rPr>
              <w:rStyle w:val="18"/>
              <w:rFonts w:eastAsia="MS Mincho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 xml:space="preserve"> Wound healing rate of 4T1 cells 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S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PAGEREF _Toc127737079 \h </w:instrTex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19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097E54CE">
          <w:pPr>
            <w:pStyle w:val="8"/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HYPERLINK \l "_Toc127737080"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8"/>
              <w:rFonts w:eastAsia="MS Mincho" w:cs="Times New Roman"/>
              <w:b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Fig. S17</w:t>
          </w:r>
          <w:r>
            <w:rPr>
              <w:rStyle w:val="18"/>
              <w:rFonts w:eastAsia="MS Mincho" w:cs="Times New Roman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 xml:space="preserve"> Migration rate of 4T1 cells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S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PAGEREF _Toc127737080 \h </w:instrTex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20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4E882273">
          <w:pPr>
            <w:pStyle w:val="8"/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HYPERLINK \l "_Toc127737081"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8"/>
              <w:rFonts w:eastAsia="MS Mincho" w:cs="Times New Roman"/>
              <w:b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Fig. S18</w:t>
          </w:r>
          <w:r>
            <w:rPr>
              <w:rStyle w:val="18"/>
              <w:rFonts w:eastAsia="MS Mincho" w:cs="Times New Roman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 xml:space="preserve"> Invasion rate of 4T1 cells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S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PAGEREF _Toc127737081 \h </w:instrTex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21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579E77C8">
          <w:pPr>
            <w:pStyle w:val="8"/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HYPERLINK \l "_Toc127737082"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8"/>
              <w:rFonts w:eastAsia="MS Mincho" w:cs="Times New Roman"/>
              <w:b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Fig. S19</w:t>
          </w:r>
          <w:r>
            <w:rPr>
              <w:rStyle w:val="18"/>
              <w:rFonts w:eastAsia="MS Mincho" w:cs="Times New Roman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 xml:space="preserve"> Body weight of tumor-bearing mice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S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PAGEREF _Toc127737082 \h </w:instrTex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22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756623F9">
          <w:pPr>
            <w:pStyle w:val="8"/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HYPERLINK \l "_Toc127737083"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8"/>
              <w:rFonts w:eastAsia="MS Mincho" w:cs="Times New Roman"/>
              <w:b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Fig. S20</w:t>
          </w:r>
          <w:r>
            <w:rPr>
              <w:rStyle w:val="18"/>
              <w:rFonts w:eastAsia="MS Mincho" w:cs="Times New Roman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 xml:space="preserve"> The quantitative IFC intensity analysis of CD47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S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PAGEREF _Toc127737083 \h </w:instrTex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23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6A7EEC02">
          <w:pPr>
            <w:pStyle w:val="8"/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HYPERLINK \l "_Toc127737084"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8"/>
              <w:rFonts w:eastAsia="MS Mincho"/>
              <w:b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Fig. S21</w:t>
          </w:r>
          <w:r>
            <w:rPr>
              <w:rStyle w:val="18"/>
              <w:rFonts w:eastAsia="MS Mincho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 xml:space="preserve"> The quantitative IFC intensity analysis of CD86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S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PAGEREF _Toc127737084 \h </w:instrTex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24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2230FFF1">
          <w:pPr>
            <w:pStyle w:val="8"/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HYPERLINK \l "_Toc127737085"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8"/>
              <w:rFonts w:eastAsia="MS Mincho"/>
              <w:b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Fig. S22</w:t>
          </w:r>
          <w:r>
            <w:rPr>
              <w:rStyle w:val="18"/>
              <w:rFonts w:eastAsia="MS Mincho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 xml:space="preserve"> Biomedical blood index of tumor-bearing BALB/c mice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S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PAGEREF _Toc127737085 \h </w:instrTex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25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4CD773A7">
          <w:pPr>
            <w:pStyle w:val="8"/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HYPERLINK \l "_Toc127737086"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8"/>
              <w:rFonts w:eastAsia="MS Mincho"/>
              <w:b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Fig. S23</w:t>
          </w:r>
          <w:r>
            <w:rPr>
              <w:rStyle w:val="18"/>
              <w:rFonts w:eastAsia="MS Mincho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 xml:space="preserve"> H&amp;E staining for major tissues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S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PAGEREF _Toc127737086 \h </w:instrTex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26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007CA2DE">
          <w:pPr>
            <w:pStyle w:val="8"/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</w:pP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HYPERLINK \l "_Toc127737087"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</w:instrText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rStyle w:val="18"/>
              <w:rFonts w:eastAsia="MS Mincho"/>
              <w:b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Table S1.</w:t>
          </w:r>
          <w:r>
            <w:rPr>
              <w:rStyle w:val="18"/>
              <w:rFonts w:eastAsia="MS Mincho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 xml:space="preserve"> Primer sequences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ab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S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begin"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instrText xml:space="preserve"> PAGEREF _Toc127737087 \h </w:instrTex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separate"/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t>27</w:t>
          </w:r>
          <w:r>
            <w:rPr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end"/>
          </w:r>
          <w:r>
            <w:rPr>
              <w:rStyle w:val="18"/>
              <w:color w:val="000000" w:themeColor="text1"/>
              <w:highlight w:val="none"/>
              <w14:textFill>
                <w14:solidFill>
                  <w14:schemeClr w14:val="tx1"/>
                </w14:solidFill>
              </w14:textFill>
            </w:rPr>
            <w:fldChar w:fldCharType="end"/>
          </w:r>
        </w:p>
        <w:p w14:paraId="45B127D9">
          <w:pPr>
            <w:spacing w:line="480" w:lineRule="auto"/>
          </w:pPr>
        </w:p>
      </w:sdtContent>
    </w:sdt>
    <w:p w14:paraId="0E4F66BA">
      <w:pPr>
        <w:spacing w:line="480" w:lineRule="auto"/>
        <w:sectPr>
          <w:headerReference r:id="rId3" w:type="default"/>
          <w:footerReference r:id="rId4" w:type="default"/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8527B6F">
      <w:pPr>
        <w:spacing w:line="480" w:lineRule="auto"/>
      </w:pPr>
    </w:p>
    <w:p w14:paraId="4F5635BA">
      <w:pPr>
        <w:spacing w:line="480" w:lineRule="auto"/>
      </w:pPr>
    </w:p>
    <w:p w14:paraId="395809B2">
      <w:pPr>
        <w:spacing w:line="480" w:lineRule="auto"/>
        <w:jc w:val="center"/>
      </w:pPr>
    </w:p>
    <w:p w14:paraId="0178C570">
      <w:pPr>
        <w:spacing w:line="480" w:lineRule="auto"/>
        <w:jc w:val="center"/>
      </w:pPr>
    </w:p>
    <w:p w14:paraId="113B1004">
      <w:pPr>
        <w:spacing w:line="480" w:lineRule="auto"/>
        <w:jc w:val="center"/>
      </w:pPr>
    </w:p>
    <w:p w14:paraId="35A67939">
      <w:pPr>
        <w:spacing w:line="480" w:lineRule="auto"/>
        <w:jc w:val="center"/>
        <w:rPr>
          <w:b/>
        </w:rPr>
      </w:pPr>
      <w:r>
        <w:rPr>
          <w:lang w:val="en-US" w:eastAsia="zh-CN"/>
        </w:rPr>
        <w:drawing>
          <wp:inline distT="0" distB="0" distL="0" distR="0">
            <wp:extent cx="3596640" cy="2722880"/>
            <wp:effectExtent l="0" t="0" r="3810" b="127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96640" cy="272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Toc113910200"/>
    </w:p>
    <w:p w14:paraId="5433CA78">
      <w:pPr>
        <w:spacing w:line="480" w:lineRule="auto"/>
        <w:jc w:val="center"/>
        <w:rPr>
          <w:b/>
        </w:rPr>
      </w:pPr>
    </w:p>
    <w:p w14:paraId="392E6A44">
      <w:pPr>
        <w:spacing w:line="480" w:lineRule="auto"/>
        <w:jc w:val="center"/>
      </w:pPr>
      <w:r>
        <w:rPr>
          <w:b/>
        </w:rPr>
        <w:t>Fig. S1</w:t>
      </w:r>
      <w:r>
        <w:t xml:space="preserve"> Surface Zeta potential of FNP and HFNP measured using DLS. Error bars present as mean ± SD (n = 6).</w:t>
      </w:r>
      <w:bookmarkEnd w:id="0"/>
    </w:p>
    <w:p w14:paraId="44AF7264">
      <w:pPr>
        <w:spacing w:line="480" w:lineRule="auto"/>
        <w:jc w:val="center"/>
      </w:pPr>
    </w:p>
    <w:p w14:paraId="19C44F4E">
      <w:pPr>
        <w:spacing w:line="480" w:lineRule="auto"/>
        <w:jc w:val="center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B23292C">
      <w:pPr>
        <w:spacing w:line="480" w:lineRule="auto"/>
        <w:jc w:val="center"/>
      </w:pPr>
    </w:p>
    <w:p w14:paraId="2EEF3B8D">
      <w:pPr>
        <w:spacing w:line="480" w:lineRule="auto"/>
        <w:jc w:val="center"/>
      </w:pPr>
    </w:p>
    <w:p w14:paraId="2ACC5D67">
      <w:pPr>
        <w:spacing w:line="480" w:lineRule="auto"/>
        <w:jc w:val="center"/>
      </w:pPr>
    </w:p>
    <w:p w14:paraId="7D27EF56">
      <w:pPr>
        <w:spacing w:line="480" w:lineRule="auto"/>
        <w:jc w:val="center"/>
      </w:pPr>
    </w:p>
    <w:p w14:paraId="0015BBEB">
      <w:pPr>
        <w:spacing w:line="480" w:lineRule="auto"/>
        <w:jc w:val="center"/>
      </w:pPr>
    </w:p>
    <w:p w14:paraId="410F3D7A">
      <w:pPr>
        <w:spacing w:line="480" w:lineRule="auto"/>
        <w:jc w:val="center"/>
        <w:rPr>
          <w:b/>
        </w:rPr>
      </w:pPr>
      <w:r>
        <w:rPr>
          <w:lang w:val="en-US" w:eastAsia="zh-CN"/>
        </w:rPr>
        <w:drawing>
          <wp:inline distT="0" distB="0" distL="0" distR="0">
            <wp:extent cx="3606800" cy="2550160"/>
            <wp:effectExtent l="0" t="0" r="0" b="254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255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Toc113910201"/>
    </w:p>
    <w:p w14:paraId="197ADAD3">
      <w:pPr>
        <w:spacing w:line="480" w:lineRule="auto"/>
        <w:jc w:val="center"/>
        <w:rPr>
          <w:b/>
        </w:rPr>
      </w:pPr>
    </w:p>
    <w:p w14:paraId="0B9EB22C">
      <w:pPr>
        <w:spacing w:line="480" w:lineRule="auto"/>
        <w:jc w:val="center"/>
      </w:pPr>
      <w:r>
        <w:rPr>
          <w:b/>
        </w:rPr>
        <w:t>Fig. S2</w:t>
      </w:r>
      <w:r>
        <w:t xml:space="preserve"> XRD of FNP and HFNP.</w:t>
      </w:r>
      <w:bookmarkEnd w:id="1"/>
    </w:p>
    <w:p w14:paraId="6225F0F6">
      <w:pPr>
        <w:spacing w:line="480" w:lineRule="auto"/>
        <w:jc w:val="center"/>
      </w:pPr>
    </w:p>
    <w:p w14:paraId="44FB965B">
      <w:pPr>
        <w:spacing w:line="480" w:lineRule="auto"/>
        <w:jc w:val="center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FB26941">
      <w:pPr>
        <w:spacing w:line="480" w:lineRule="auto"/>
        <w:jc w:val="center"/>
      </w:pPr>
    </w:p>
    <w:p w14:paraId="02C40C5C">
      <w:pPr>
        <w:spacing w:line="480" w:lineRule="auto"/>
        <w:jc w:val="center"/>
      </w:pPr>
    </w:p>
    <w:p w14:paraId="703D882D">
      <w:pPr>
        <w:spacing w:line="480" w:lineRule="auto"/>
        <w:jc w:val="center"/>
      </w:pPr>
    </w:p>
    <w:p w14:paraId="361ADD18">
      <w:pPr>
        <w:spacing w:line="480" w:lineRule="auto"/>
        <w:jc w:val="center"/>
      </w:pPr>
      <w:r>
        <w:rPr>
          <w:lang w:val="en-US" w:eastAsia="zh-CN"/>
        </w:rPr>
        <w:drawing>
          <wp:inline distT="0" distB="0" distL="0" distR="0">
            <wp:extent cx="4319905" cy="3816985"/>
            <wp:effectExtent l="0" t="0" r="444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81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0B9FD">
      <w:pPr>
        <w:spacing w:line="480" w:lineRule="auto"/>
        <w:jc w:val="center"/>
      </w:pPr>
    </w:p>
    <w:p w14:paraId="140BE858">
      <w:pPr>
        <w:spacing w:line="480" w:lineRule="auto"/>
        <w:jc w:val="center"/>
        <w:rPr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</w:pPr>
      <w:bookmarkStart w:id="2" w:name="_Toc127737068"/>
      <w:r>
        <w:rPr>
          <w:rStyle w:val="90"/>
          <w:rFonts w:ascii="Times New Roman" w:hAnsi="Times New Roman" w:eastAsia="MS Mincho" w:cs="Times New Roman"/>
          <w:b/>
          <w:color w:val="000000" w:themeColor="text1"/>
          <w:sz w:val="24"/>
          <w:szCs w:val="24"/>
          <w:highlight w:val="none"/>
          <w:u w:val="none"/>
          <w14:textFill>
            <w14:solidFill>
              <w14:schemeClr w14:val="tx1"/>
            </w14:solidFill>
          </w14:textFill>
        </w:rPr>
        <w:t>Fig. S3</w:t>
      </w:r>
      <w:r>
        <w:rPr>
          <w:rStyle w:val="90"/>
          <w:rFonts w:eastAsia="MS Mincho"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  <w:t>H-NMR of FNP and HFNP</w:t>
      </w:r>
      <w:bookmarkEnd w:id="2"/>
      <w:r>
        <w:rPr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  <w:t>.</w:t>
      </w:r>
    </w:p>
    <w:p w14:paraId="385784E0">
      <w:pPr>
        <w:spacing w:line="480" w:lineRule="auto"/>
        <w:jc w:val="center"/>
      </w:pPr>
    </w:p>
    <w:p w14:paraId="1A7C9471">
      <w:pPr>
        <w:spacing w:line="480" w:lineRule="auto"/>
        <w:jc w:val="center"/>
      </w:pPr>
    </w:p>
    <w:p w14:paraId="649A094C">
      <w:pPr>
        <w:spacing w:line="480" w:lineRule="auto"/>
        <w:jc w:val="center"/>
      </w:pPr>
    </w:p>
    <w:p w14:paraId="04639316">
      <w:pPr>
        <w:spacing w:line="480" w:lineRule="auto"/>
        <w:jc w:val="center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B0E6ABC">
      <w:pPr>
        <w:spacing w:line="480" w:lineRule="auto"/>
        <w:jc w:val="center"/>
      </w:pPr>
    </w:p>
    <w:p w14:paraId="7321B3E4">
      <w:pPr>
        <w:spacing w:line="480" w:lineRule="auto"/>
        <w:jc w:val="center"/>
      </w:pPr>
    </w:p>
    <w:p w14:paraId="039E2940">
      <w:pPr>
        <w:spacing w:line="480" w:lineRule="auto"/>
        <w:jc w:val="center"/>
      </w:pPr>
    </w:p>
    <w:p w14:paraId="15697C8A">
      <w:pPr>
        <w:spacing w:line="480" w:lineRule="auto"/>
        <w:jc w:val="center"/>
      </w:pPr>
    </w:p>
    <w:p w14:paraId="0ADB71BC">
      <w:pPr>
        <w:spacing w:line="480" w:lineRule="auto"/>
        <w:jc w:val="center"/>
      </w:pPr>
    </w:p>
    <w:p w14:paraId="60F27B95">
      <w:pPr>
        <w:spacing w:line="480" w:lineRule="auto"/>
        <w:jc w:val="center"/>
        <w:rPr>
          <w:b/>
        </w:rPr>
      </w:pPr>
      <w:bookmarkStart w:id="3" w:name="_Toc113910202"/>
      <w:r>
        <w:rPr>
          <w:b/>
          <w:lang w:val="en-US" w:eastAsia="zh-CN"/>
        </w:rPr>
        <w:drawing>
          <wp:inline distT="0" distB="0" distL="0" distR="0">
            <wp:extent cx="3599815" cy="3132455"/>
            <wp:effectExtent l="0" t="0" r="63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132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24413">
      <w:pPr>
        <w:spacing w:line="480" w:lineRule="auto"/>
        <w:jc w:val="center"/>
        <w:rPr>
          <w:b/>
        </w:rPr>
      </w:pPr>
    </w:p>
    <w:p w14:paraId="57117ACC">
      <w:pPr>
        <w:spacing w:line="480" w:lineRule="auto"/>
        <w:jc w:val="center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Fig. S4</w:t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 FTIR of FNP and HFNP.</w:t>
      </w:r>
      <w:bookmarkEnd w:id="3"/>
    </w:p>
    <w:p w14:paraId="54A0D45A">
      <w:pPr>
        <w:spacing w:line="480" w:lineRule="auto"/>
        <w:jc w:val="center"/>
      </w:pPr>
    </w:p>
    <w:p w14:paraId="38FF5E48">
      <w:pPr>
        <w:spacing w:line="480" w:lineRule="auto"/>
        <w:jc w:val="center"/>
      </w:pPr>
    </w:p>
    <w:p w14:paraId="37D0C4FA">
      <w:pPr>
        <w:spacing w:line="480" w:lineRule="auto"/>
        <w:jc w:val="center"/>
      </w:pPr>
    </w:p>
    <w:p w14:paraId="5F2175F9">
      <w:pPr>
        <w:spacing w:line="480" w:lineRule="auto"/>
        <w:jc w:val="center"/>
      </w:pPr>
    </w:p>
    <w:p w14:paraId="21B7B26B">
      <w:pPr>
        <w:spacing w:line="480" w:lineRule="auto"/>
        <w:jc w:val="center"/>
      </w:pPr>
    </w:p>
    <w:p w14:paraId="1F4467FF">
      <w:pPr>
        <w:spacing w:line="480" w:lineRule="auto"/>
        <w:jc w:val="center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E567329">
      <w:pPr>
        <w:spacing w:line="480" w:lineRule="auto"/>
        <w:jc w:val="center"/>
      </w:pPr>
    </w:p>
    <w:p w14:paraId="758CB758">
      <w:pPr>
        <w:spacing w:line="480" w:lineRule="auto"/>
        <w:jc w:val="center"/>
      </w:pPr>
    </w:p>
    <w:p w14:paraId="3262A7CD">
      <w:pPr>
        <w:spacing w:line="480" w:lineRule="auto"/>
        <w:jc w:val="center"/>
      </w:pPr>
    </w:p>
    <w:p w14:paraId="65A13C50">
      <w:pPr>
        <w:spacing w:line="480" w:lineRule="auto"/>
        <w:jc w:val="center"/>
      </w:pPr>
    </w:p>
    <w:p w14:paraId="553BAE1E">
      <w:pPr>
        <w:spacing w:line="480" w:lineRule="auto"/>
        <w:jc w:val="center"/>
      </w:pPr>
    </w:p>
    <w:p w14:paraId="76342A07">
      <w:pPr>
        <w:spacing w:line="480" w:lineRule="auto"/>
        <w:jc w:val="center"/>
        <w:rPr>
          <w:b/>
        </w:rPr>
      </w:pPr>
      <w:r>
        <w:rPr>
          <w:lang w:val="en-US" w:eastAsia="zh-CN"/>
        </w:rPr>
        <w:drawing>
          <wp:inline distT="0" distB="0" distL="0" distR="0">
            <wp:extent cx="3606800" cy="3027680"/>
            <wp:effectExtent l="0" t="0" r="0" b="127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302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" w:name="_Toc113910203"/>
    </w:p>
    <w:p w14:paraId="2B64D9C2">
      <w:pPr>
        <w:spacing w:line="480" w:lineRule="auto"/>
        <w:jc w:val="center"/>
        <w:rPr>
          <w:b/>
        </w:rPr>
      </w:pPr>
    </w:p>
    <w:p w14:paraId="4F9B888F">
      <w:pPr>
        <w:spacing w:line="480" w:lineRule="auto"/>
        <w:jc w:val="center"/>
      </w:pPr>
      <w:r>
        <w:rPr>
          <w:b/>
          <w:highlight w:val="none"/>
        </w:rPr>
        <w:t>Fig. S5</w:t>
      </w:r>
      <w:r>
        <w:rPr>
          <w:highlight w:val="none"/>
        </w:rPr>
        <w:t xml:space="preserve"> Linear relationships between the UV-vis absorbance and the concentration of </w:t>
      </w:r>
      <w:r>
        <w:t>GOX.</w:t>
      </w:r>
      <w:bookmarkEnd w:id="4"/>
    </w:p>
    <w:p w14:paraId="1CD2A84C">
      <w:pPr>
        <w:spacing w:line="480" w:lineRule="auto"/>
        <w:jc w:val="center"/>
      </w:pPr>
      <w:r>
        <w:br w:type="page"/>
      </w:r>
    </w:p>
    <w:p w14:paraId="588F36FC">
      <w:pPr>
        <w:spacing w:line="480" w:lineRule="auto"/>
        <w:jc w:val="center"/>
      </w:pPr>
    </w:p>
    <w:p w14:paraId="093D576A">
      <w:pPr>
        <w:spacing w:line="480" w:lineRule="auto"/>
        <w:jc w:val="center"/>
      </w:pPr>
    </w:p>
    <w:p w14:paraId="4F8AA201">
      <w:pPr>
        <w:spacing w:line="480" w:lineRule="auto"/>
        <w:jc w:val="center"/>
      </w:pPr>
    </w:p>
    <w:p w14:paraId="42DAE85E">
      <w:pPr>
        <w:spacing w:line="480" w:lineRule="auto"/>
        <w:jc w:val="center"/>
      </w:pPr>
    </w:p>
    <w:p w14:paraId="285862AB">
      <w:pPr>
        <w:spacing w:line="480" w:lineRule="auto"/>
      </w:pPr>
    </w:p>
    <w:p w14:paraId="7593AE83">
      <w:pPr>
        <w:spacing w:line="480" w:lineRule="auto"/>
      </w:pPr>
    </w:p>
    <w:p w14:paraId="61CDFEAE">
      <w:pPr>
        <w:spacing w:line="480" w:lineRule="auto"/>
        <w:jc w:val="center"/>
      </w:pP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4008120</wp:posOffset>
                </wp:positionH>
                <wp:positionV relativeFrom="paragraph">
                  <wp:posOffset>1905000</wp:posOffset>
                </wp:positionV>
                <wp:extent cx="393700" cy="293370"/>
                <wp:effectExtent l="0" t="0" r="635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00" cy="2934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49B2E7">
                            <w: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5.6pt;margin-top:150pt;height:23.1pt;width:31pt;z-index:251660288;mso-width-relative:page;mso-height-relative:page;" fillcolor="#FFFFFF [3201]" filled="t" stroked="f" coordsize="21600,21600" o:gfxdata="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Z6lNO1QAAAAsBAAAP&#10;AAAAAAAAAAEAIAAAACIAAABkcnMvZG93bnJldi54bWxQSwECFAAUAAAACACHTuJAmakn6lQCAACc&#10;BAAADgAAAAAAAAABACAAAAAkAQAAZHJzL2Uyb0RvYy54bWxQSwUGAAAAAAYABgBZAQAA6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2E49B2E7">
                      <w:r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1912620</wp:posOffset>
                </wp:positionV>
                <wp:extent cx="1120140" cy="293370"/>
                <wp:effectExtent l="0" t="0" r="381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293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30CE79">
                            <w:pPr>
                              <w:jc w:val="center"/>
                            </w:pPr>
                            <w: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8pt;margin-top:150.6pt;height:23.1pt;width:88.2pt;z-index:251659264;mso-width-relative:page;mso-height-relative:page;" fillcolor="#FFFFFF [3201]" filled="t" stroked="f" coordsize="21600,21600" o:gfxdata="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NDhxl/WAAAACwEA&#10;AA8AAAAAAAAAAQAgAAAAIgAAAGRycy9kb3ducmV2LnhtbFBLAQIUABQAAAAIAIdO4kBZtKgUVQIA&#10;AJ0EAAAOAAAAAAAAAAEAIAAAACUBAABkcnMvZTJvRG9jLnhtbFBLBQYAAAAABgAGAFkBAADsBQAA&#10;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1430CE79">
                      <w:pPr>
                        <w:jc w:val="center"/>
                      </w:pPr>
                      <w: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w:drawing>
          <wp:inline distT="0" distB="0" distL="0" distR="0">
            <wp:extent cx="2519680" cy="188976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lang w:val="en-US" w:eastAsia="zh-CN"/>
        </w:rPr>
        <w:drawing>
          <wp:inline distT="0" distB="0" distL="0" distR="0">
            <wp:extent cx="2519680" cy="188976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03AC5">
      <w:pPr>
        <w:spacing w:line="480" w:lineRule="auto"/>
        <w:jc w:val="center"/>
      </w:pPr>
    </w:p>
    <w:p w14:paraId="21CB5E13">
      <w:pPr>
        <w:spacing w:line="480" w:lineRule="auto"/>
        <w:jc w:val="center"/>
      </w:pPr>
      <w:bookmarkStart w:id="5" w:name="_Toc113910204"/>
      <w:r>
        <w:rPr>
          <w:rStyle w:val="90"/>
          <w:rFonts w:ascii="Times New Roman" w:hAnsi="Times New Roman" w:cs="Times New Roman"/>
          <w:b/>
          <w:sz w:val="24"/>
          <w:szCs w:val="24"/>
          <w:highlight w:val="none"/>
        </w:rPr>
        <w:t xml:space="preserve">Fig. </w:t>
      </w:r>
      <w:bookmarkEnd w:id="5"/>
      <w:r>
        <w:rPr>
          <w:rStyle w:val="90"/>
          <w:rFonts w:ascii="Times New Roman" w:hAnsi="Times New Roman" w:cs="Times New Roman"/>
          <w:b/>
          <w:sz w:val="24"/>
          <w:szCs w:val="24"/>
          <w:highlight w:val="none"/>
        </w:rPr>
        <w:t>S6</w:t>
      </w:r>
      <w:r>
        <w:rPr>
          <w:highlight w:val="none"/>
        </w:rPr>
        <w:t xml:space="preserve"> </w:t>
      </w:r>
      <w:r>
        <w:rPr>
          <w:rStyle w:val="90"/>
          <w:rFonts w:ascii="Times New Roman" w:hAnsi="Times New Roman" w:cs="Times New Roman"/>
          <w:sz w:val="24"/>
          <w:szCs w:val="24"/>
          <w:highlight w:val="none"/>
        </w:rPr>
        <w:t>Efflux time of</w:t>
      </w:r>
      <w:r>
        <w:rPr>
          <w:highlight w:val="none"/>
        </w:rPr>
        <w:t xml:space="preserve"> (a) </w:t>
      </w:r>
      <w:r>
        <w:rPr>
          <w:rStyle w:val="90"/>
          <w:rFonts w:ascii="Times New Roman" w:hAnsi="Times New Roman" w:cs="Times New Roman"/>
          <w:sz w:val="24"/>
          <w:szCs w:val="24"/>
          <w:highlight w:val="none"/>
        </w:rPr>
        <w:t>pure PFC and</w:t>
      </w:r>
      <w:r>
        <w:rPr>
          <w:highlight w:val="none"/>
        </w:rPr>
        <w:t xml:space="preserve"> (b) </w:t>
      </w:r>
      <w:r>
        <w:rPr>
          <w:rStyle w:val="90"/>
          <w:rFonts w:ascii="Times New Roman" w:hAnsi="Times New Roman" w:cs="Times New Roman"/>
          <w:sz w:val="24"/>
          <w:szCs w:val="24"/>
          <w:highlight w:val="none"/>
        </w:rPr>
        <w:t>HFNP@GOX@PFC nanoparticles</w:t>
      </w:r>
      <w:r>
        <w:rPr>
          <w:highlight w:val="none"/>
        </w:rPr>
        <w:t xml:space="preserve"> </w:t>
      </w:r>
      <w:r>
        <w:t>measured by GC. The samples were extracted by acetonitrile and pentafluorobutane before GC-MS measurement following a literature protocol.</w:t>
      </w:r>
    </w:p>
    <w:p w14:paraId="11E4D5D3">
      <w:pPr>
        <w:spacing w:line="480" w:lineRule="auto"/>
        <w:jc w:val="center"/>
      </w:pPr>
      <w:r>
        <w:br w:type="page"/>
      </w:r>
    </w:p>
    <w:p w14:paraId="12EBA7BE">
      <w:pPr>
        <w:spacing w:line="480" w:lineRule="auto"/>
        <w:jc w:val="center"/>
      </w:pPr>
    </w:p>
    <w:p w14:paraId="758EDE51">
      <w:pPr>
        <w:spacing w:line="480" w:lineRule="auto"/>
        <w:jc w:val="center"/>
      </w:pPr>
    </w:p>
    <w:p w14:paraId="04F3AF68">
      <w:pPr>
        <w:spacing w:line="480" w:lineRule="auto"/>
        <w:jc w:val="center"/>
      </w:pPr>
    </w:p>
    <w:p w14:paraId="04F6D36D">
      <w:pPr>
        <w:spacing w:line="480" w:lineRule="auto"/>
        <w:jc w:val="center"/>
      </w:pPr>
    </w:p>
    <w:p w14:paraId="0C19B6AC">
      <w:pPr>
        <w:spacing w:line="480" w:lineRule="auto"/>
        <w:jc w:val="center"/>
      </w:pPr>
    </w:p>
    <w:p w14:paraId="4AFEFD36">
      <w:pPr>
        <w:spacing w:line="480" w:lineRule="auto"/>
        <w:jc w:val="center"/>
        <w:rPr>
          <w:b/>
        </w:rPr>
      </w:pPr>
      <w:r>
        <w:rPr>
          <w:lang w:val="en-US" w:eastAsia="zh-CN"/>
        </w:rPr>
        <w:drawing>
          <wp:inline distT="0" distB="0" distL="0" distR="0">
            <wp:extent cx="3606800" cy="276352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276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6" w:name="_Toc113910205"/>
    </w:p>
    <w:p w14:paraId="76746A08">
      <w:pPr>
        <w:spacing w:line="480" w:lineRule="auto"/>
        <w:jc w:val="center"/>
        <w:rPr>
          <w:b/>
        </w:rPr>
      </w:pPr>
    </w:p>
    <w:p w14:paraId="725F392B">
      <w:pPr>
        <w:spacing w:line="480" w:lineRule="auto"/>
        <w:jc w:val="distribute"/>
        <w:rPr>
          <w:highlight w:val="none"/>
        </w:rPr>
      </w:pPr>
      <w:r>
        <w:rPr>
          <w:b/>
          <w:highlight w:val="none"/>
        </w:rPr>
        <w:t>Fig. S7</w:t>
      </w:r>
      <w:r>
        <w:rPr>
          <w:highlight w:val="none"/>
        </w:rPr>
        <w:t xml:space="preserve"> Linear relationships between the GC intensity and the concentration of PFC.</w:t>
      </w:r>
      <w:bookmarkEnd w:id="6"/>
    </w:p>
    <w:p w14:paraId="724EBBAE">
      <w:pPr>
        <w:spacing w:line="480" w:lineRule="auto"/>
        <w:jc w:val="center"/>
      </w:pPr>
    </w:p>
    <w:p w14:paraId="42B825FF">
      <w:pPr>
        <w:spacing w:line="480" w:lineRule="auto"/>
        <w:jc w:val="center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182EA5C">
      <w:pPr>
        <w:spacing w:line="480" w:lineRule="auto"/>
        <w:jc w:val="center"/>
      </w:pPr>
    </w:p>
    <w:p w14:paraId="3D9AD58B">
      <w:pPr>
        <w:spacing w:line="480" w:lineRule="auto"/>
        <w:jc w:val="center"/>
      </w:pPr>
    </w:p>
    <w:p w14:paraId="4124519A">
      <w:pPr>
        <w:spacing w:line="480" w:lineRule="auto"/>
        <w:jc w:val="both"/>
      </w:pPr>
    </w:p>
    <w:p w14:paraId="078614EA">
      <w:pPr>
        <w:spacing w:line="480" w:lineRule="auto"/>
        <w:jc w:val="center"/>
      </w:pPr>
      <w:bookmarkStart w:id="21" w:name="_GoBack"/>
      <w:bookmarkEnd w:id="21"/>
    </w:p>
    <w:p w14:paraId="7B7BD157">
      <w:pPr>
        <w:spacing w:line="480" w:lineRule="auto"/>
        <w:jc w:val="center"/>
      </w:pPr>
      <w:r>
        <w:drawing>
          <wp:inline distT="0" distB="0" distL="114300" distR="114300">
            <wp:extent cx="4448175" cy="3695700"/>
            <wp:effectExtent l="0" t="0" r="9525" b="0"/>
            <wp:docPr id="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D36C8">
      <w:pPr>
        <w:spacing w:line="480" w:lineRule="auto"/>
        <w:jc w:val="center"/>
        <w:rPr>
          <w:highlight w:val="none"/>
        </w:rPr>
      </w:pPr>
      <w:bookmarkStart w:id="7" w:name="_Toc127737074"/>
      <w:r>
        <w:rPr>
          <w:rStyle w:val="90"/>
          <w:rFonts w:ascii="Times New Roman" w:hAnsi="Times New Roman" w:eastAsia="MS Mincho" w:cs="Times New Roman"/>
          <w:b/>
          <w:sz w:val="24"/>
          <w:szCs w:val="24"/>
          <w:highlight w:val="none"/>
        </w:rPr>
        <w:t>Fig. S8</w:t>
      </w:r>
      <w:r>
        <w:rPr>
          <w:rStyle w:val="90"/>
          <w:rFonts w:eastAsia="MS Mincho"/>
          <w:highlight w:val="none"/>
        </w:rPr>
        <w:t xml:space="preserve"> </w:t>
      </w:r>
      <w:r>
        <w:rPr>
          <w:highlight w:val="none"/>
        </w:rPr>
        <w:t>TEM images of FNP and HFNP after treatment with H</w:t>
      </w:r>
      <w:r>
        <w:rPr>
          <w:highlight w:val="none"/>
          <w:vertAlign w:val="subscript"/>
        </w:rPr>
        <w:t>2</w:t>
      </w:r>
      <w:r>
        <w:rPr>
          <w:highlight w:val="none"/>
        </w:rPr>
        <w:t>O</w:t>
      </w:r>
      <w:r>
        <w:rPr>
          <w:highlight w:val="none"/>
          <w:vertAlign w:val="subscript"/>
        </w:rPr>
        <w:t>2</w:t>
      </w:r>
      <w:bookmarkEnd w:id="7"/>
      <w:r>
        <w:rPr>
          <w:highlight w:val="none"/>
        </w:rPr>
        <w:t>. Scale bar: 200 nm</w:t>
      </w:r>
      <w:r>
        <w:rPr>
          <w:rFonts w:hint="eastAsia" w:eastAsia="宋体"/>
          <w:highlight w:val="none"/>
          <w:lang w:val="en-US" w:eastAsia="zh-CN"/>
        </w:rPr>
        <w:t xml:space="preserve"> for left figures and 100 nm for right figures</w:t>
      </w:r>
      <w:r>
        <w:rPr>
          <w:highlight w:val="none"/>
        </w:rPr>
        <w:t>.</w:t>
      </w:r>
    </w:p>
    <w:p w14:paraId="3E1B4FFA">
      <w:pPr>
        <w:spacing w:line="480" w:lineRule="auto"/>
        <w:jc w:val="center"/>
      </w:pPr>
    </w:p>
    <w:p w14:paraId="78CFC80F">
      <w:pPr>
        <w:spacing w:line="480" w:lineRule="auto"/>
        <w:jc w:val="center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7FF1C5F">
      <w:pPr>
        <w:spacing w:line="480" w:lineRule="auto"/>
        <w:jc w:val="center"/>
      </w:pPr>
    </w:p>
    <w:p w14:paraId="7DDED3AA">
      <w:pPr>
        <w:spacing w:line="480" w:lineRule="auto"/>
        <w:jc w:val="center"/>
      </w:pPr>
    </w:p>
    <w:p w14:paraId="3E60895D">
      <w:pPr>
        <w:spacing w:line="480" w:lineRule="auto"/>
        <w:jc w:val="center"/>
      </w:pPr>
    </w:p>
    <w:p w14:paraId="2E6558F3">
      <w:pPr>
        <w:spacing w:line="480" w:lineRule="auto"/>
        <w:jc w:val="center"/>
      </w:pPr>
    </w:p>
    <w:p w14:paraId="18829BE4">
      <w:pPr>
        <w:spacing w:line="480" w:lineRule="auto"/>
        <w:jc w:val="center"/>
      </w:pPr>
    </w:p>
    <w:p w14:paraId="65A32AE7">
      <w:pPr>
        <w:spacing w:line="480" w:lineRule="auto"/>
        <w:jc w:val="center"/>
      </w:pPr>
      <w:r>
        <w:rPr>
          <w:lang w:val="en-US" w:eastAsia="zh-CN"/>
        </w:rPr>
        <w:drawing>
          <wp:inline distT="0" distB="0" distL="0" distR="0">
            <wp:extent cx="3599815" cy="2842260"/>
            <wp:effectExtent l="0" t="0" r="635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42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1DF26">
      <w:pPr>
        <w:spacing w:line="480" w:lineRule="auto"/>
        <w:jc w:val="center"/>
      </w:pPr>
    </w:p>
    <w:p w14:paraId="25CA789E">
      <w:pPr>
        <w:spacing w:line="480" w:lineRule="auto"/>
        <w:jc w:val="center"/>
        <w:rPr>
          <w:highlight w:val="none"/>
        </w:rPr>
      </w:pPr>
      <w:bookmarkStart w:id="8" w:name="_Toc127737075"/>
      <w:r>
        <w:rPr>
          <w:rStyle w:val="90"/>
          <w:rFonts w:ascii="Times New Roman" w:hAnsi="Times New Roman" w:eastAsia="MS Mincho" w:cs="Times New Roman"/>
          <w:b/>
          <w:sz w:val="24"/>
          <w:szCs w:val="24"/>
          <w:highlight w:val="none"/>
        </w:rPr>
        <w:t>Fig. S9</w:t>
      </w:r>
      <w:r>
        <w:rPr>
          <w:rStyle w:val="90"/>
          <w:rFonts w:eastAsia="MS Mincho"/>
          <w:highlight w:val="none"/>
        </w:rPr>
        <w:t xml:space="preserve"> </w:t>
      </w:r>
      <w:r>
        <w:rPr>
          <w:highlight w:val="none"/>
        </w:rPr>
        <w:t>DLS curves of FNP and HFNP after treatment with H</w:t>
      </w:r>
      <w:r>
        <w:rPr>
          <w:highlight w:val="none"/>
          <w:vertAlign w:val="subscript"/>
        </w:rPr>
        <w:t>2</w:t>
      </w:r>
      <w:r>
        <w:rPr>
          <w:highlight w:val="none"/>
        </w:rPr>
        <w:t>O</w:t>
      </w:r>
      <w:r>
        <w:rPr>
          <w:highlight w:val="none"/>
          <w:vertAlign w:val="subscript"/>
        </w:rPr>
        <w:t>2</w:t>
      </w:r>
      <w:bookmarkEnd w:id="8"/>
      <w:r>
        <w:rPr>
          <w:highlight w:val="none"/>
        </w:rPr>
        <w:t>.</w:t>
      </w:r>
    </w:p>
    <w:p w14:paraId="638207A2">
      <w:pPr>
        <w:spacing w:line="480" w:lineRule="auto"/>
        <w:jc w:val="center"/>
      </w:pPr>
    </w:p>
    <w:p w14:paraId="0E6BC193">
      <w:pPr>
        <w:spacing w:line="480" w:lineRule="auto"/>
        <w:jc w:val="center"/>
      </w:pPr>
    </w:p>
    <w:p w14:paraId="3276C9A2">
      <w:pPr>
        <w:spacing w:line="480" w:lineRule="auto"/>
        <w:jc w:val="center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6EDD135">
      <w:pPr>
        <w:spacing w:line="480" w:lineRule="auto"/>
        <w:jc w:val="center"/>
      </w:pPr>
    </w:p>
    <w:p w14:paraId="10F0516A">
      <w:pPr>
        <w:spacing w:line="480" w:lineRule="auto"/>
        <w:jc w:val="center"/>
      </w:pPr>
    </w:p>
    <w:p w14:paraId="12221F7A">
      <w:pPr>
        <w:spacing w:line="480" w:lineRule="auto"/>
        <w:jc w:val="center"/>
      </w:pPr>
    </w:p>
    <w:p w14:paraId="421E3F35">
      <w:pPr>
        <w:spacing w:line="480" w:lineRule="auto"/>
        <w:jc w:val="center"/>
      </w:pPr>
    </w:p>
    <w:p w14:paraId="2665B7D8">
      <w:pPr>
        <w:spacing w:line="480" w:lineRule="auto"/>
        <w:jc w:val="center"/>
      </w:pPr>
    </w:p>
    <w:p w14:paraId="35120E62">
      <w:pPr>
        <w:spacing w:line="480" w:lineRule="auto"/>
        <w:jc w:val="center"/>
      </w:pPr>
    </w:p>
    <w:p w14:paraId="6A539803">
      <w:pPr>
        <w:spacing w:line="480" w:lineRule="auto"/>
        <w:jc w:val="center"/>
      </w:pPr>
      <w:r>
        <w:rPr>
          <w:rFonts w:hint="eastAsia" w:eastAsiaTheme="minorEastAsia"/>
          <w:lang w:val="en-US" w:eastAsia="zh-CN"/>
        </w:rPr>
        <w:drawing>
          <wp:inline distT="0" distB="0" distL="0" distR="0">
            <wp:extent cx="2159635" cy="1536065"/>
            <wp:effectExtent l="0" t="0" r="0" b="698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536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t xml:space="preserve"> </w:t>
      </w:r>
      <w:r>
        <w:rPr>
          <w:rFonts w:eastAsiaTheme="minorEastAsia"/>
          <w:lang w:eastAsia="zh-CN"/>
        </w:rPr>
        <w:t xml:space="preserve">   </w:t>
      </w:r>
      <w:r>
        <w:rPr>
          <w:lang w:val="en-US" w:eastAsia="zh-CN"/>
        </w:rPr>
        <w:drawing>
          <wp:inline distT="0" distB="0" distL="0" distR="0">
            <wp:extent cx="2159635" cy="1536065"/>
            <wp:effectExtent l="0" t="0" r="0" b="698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536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B921E">
      <w:pPr>
        <w:spacing w:line="480" w:lineRule="auto"/>
        <w:jc w:val="center"/>
      </w:pP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3296920</wp:posOffset>
                </wp:positionH>
                <wp:positionV relativeFrom="paragraph">
                  <wp:posOffset>6350</wp:posOffset>
                </wp:positionV>
                <wp:extent cx="788035" cy="321310"/>
                <wp:effectExtent l="0" t="0" r="0" b="254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8276" cy="3216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211171">
                            <w:pPr>
                              <w:jc w:val="center"/>
                              <w:rPr>
                                <w:rFonts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t>(</w:t>
                            </w:r>
                            <w:r>
                              <w:rPr>
                                <w:rFonts w:eastAsiaTheme="minorEastAsia"/>
                                <w:lang w:eastAsia="zh-CN"/>
                              </w:rPr>
                              <w:t>b</w:t>
                            </w: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9.6pt;margin-top:0.5pt;height:25.3pt;width:62.05pt;z-index:251662336;mso-width-relative:page;mso-height-relative:page;" fillcolor="#FFFFFF [3201]" filled="t" stroked="f" coordsize="21600,21600" o:gfxdata="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B6LkADSAAAACAEAAA8A&#10;AAAAAAAAAQAgAAAAIgAAAGRycy9kb3ducmV2LnhtbFBLAQIUABQAAAAIAIdO4kAhwAA0VgIAAJ4E&#10;AAAOAAAAAAAAAAEAIAAAACEBAABkcnMvZTJvRG9jLnhtbFBLBQYAAAAABgAGAFkBAADp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01211171">
                      <w:pPr>
                        <w:jc w:val="center"/>
                        <w:rPr>
                          <w:rFonts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t>(</w:t>
                      </w:r>
                      <w:r>
                        <w:rPr>
                          <w:rFonts w:eastAsiaTheme="minorEastAsia"/>
                          <w:lang w:eastAsia="zh-CN"/>
                        </w:rPr>
                        <w:t>b</w:t>
                      </w:r>
                      <w:r>
                        <w:rPr>
                          <w:rFonts w:hint="eastAsia" w:eastAsiaTheme="minorEastAsia"/>
                          <w:lang w:eastAsia="zh-CN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1038860</wp:posOffset>
                </wp:positionH>
                <wp:positionV relativeFrom="paragraph">
                  <wp:posOffset>5715</wp:posOffset>
                </wp:positionV>
                <wp:extent cx="788035" cy="321310"/>
                <wp:effectExtent l="0" t="0" r="0" b="254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8276" cy="3216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D63CEA">
                            <w:pPr>
                              <w:jc w:val="center"/>
                              <w:rPr>
                                <w:rFonts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1.8pt;margin-top:0.45pt;height:25.3pt;width:62.05pt;z-index:251661312;mso-width-relative:page;mso-height-relative:page;" fillcolor="#FFFFFF [3201]" filled="t" stroked="f" coordsize="21600,21600" o:gfxdata="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C8Qr010wAAAAcB&#10;AAAPAAAAAAAAAAEAIAAAACIAAABkcnMvZG93bnJldi54bWxQSwECFAAUAAAACACHTuJA1VUmO1kC&#10;AACeBAAADgAAAAAAAAABACAAAAAiAQAAZHJzL2Uyb0RvYy54bWxQSwUGAAAAAAYABgBZAQAA7QUA&#10;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9D63CEA">
                      <w:pPr>
                        <w:jc w:val="center"/>
                        <w:rPr>
                          <w:rFonts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</w:p>
    <w:p w14:paraId="7BAC4257">
      <w:pPr>
        <w:spacing w:line="480" w:lineRule="auto"/>
        <w:jc w:val="center"/>
        <w:rPr>
          <w:highlight w:val="none"/>
        </w:rPr>
      </w:pPr>
      <w:r>
        <w:rPr>
          <w:rStyle w:val="90"/>
          <w:rFonts w:ascii="Times New Roman" w:hAnsi="Times New Roman" w:eastAsia="MS Mincho" w:cs="Times New Roman"/>
          <w:b/>
          <w:sz w:val="24"/>
          <w:szCs w:val="24"/>
          <w:highlight w:val="none"/>
        </w:rPr>
        <w:t>Fig. S10</w:t>
      </w:r>
      <w:r>
        <w:rPr>
          <w:rStyle w:val="90"/>
          <w:rFonts w:eastAsia="MS Mincho"/>
          <w:highlight w:val="none"/>
        </w:rPr>
        <w:t xml:space="preserve"> </w:t>
      </w:r>
      <w:r>
        <w:rPr>
          <w:highlight w:val="none"/>
        </w:rPr>
        <w:t>pH values and generated H</w:t>
      </w:r>
      <w:r>
        <w:rPr>
          <w:highlight w:val="none"/>
          <w:vertAlign w:val="subscript"/>
        </w:rPr>
        <w:t>2</w:t>
      </w:r>
      <w:r>
        <w:rPr>
          <w:highlight w:val="none"/>
        </w:rPr>
        <w:t>O</w:t>
      </w:r>
      <w:r>
        <w:rPr>
          <w:highlight w:val="none"/>
          <w:vertAlign w:val="subscript"/>
        </w:rPr>
        <w:t>2</w:t>
      </w:r>
      <w:r>
        <w:rPr>
          <w:highlight w:val="none"/>
        </w:rPr>
        <w:t xml:space="preserve"> concentrations at various time points arisen from (a) GOX and (b) HFNP@GOX@PFC catalyzed disintegration reaction of glucose. Error bars present as mean ± SD (n = 3).</w:t>
      </w:r>
    </w:p>
    <w:p w14:paraId="05215960">
      <w:pPr>
        <w:spacing w:line="480" w:lineRule="auto"/>
        <w:jc w:val="center"/>
      </w:pPr>
    </w:p>
    <w:p w14:paraId="7C8ECA94">
      <w:pPr>
        <w:spacing w:line="480" w:lineRule="auto"/>
        <w:jc w:val="center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B6E6E7F">
      <w:pPr>
        <w:spacing w:line="480" w:lineRule="auto"/>
        <w:jc w:val="center"/>
      </w:pPr>
    </w:p>
    <w:p w14:paraId="7CFC6488">
      <w:pPr>
        <w:spacing w:line="480" w:lineRule="auto"/>
        <w:jc w:val="center"/>
      </w:pPr>
    </w:p>
    <w:p w14:paraId="76BCCE96">
      <w:pPr>
        <w:spacing w:line="480" w:lineRule="auto"/>
        <w:jc w:val="center"/>
      </w:pPr>
    </w:p>
    <w:p w14:paraId="6E700E5F">
      <w:pPr>
        <w:spacing w:line="480" w:lineRule="auto"/>
        <w:jc w:val="center"/>
      </w:pPr>
    </w:p>
    <w:p w14:paraId="610A9C56">
      <w:pPr>
        <w:spacing w:line="480" w:lineRule="auto"/>
        <w:jc w:val="center"/>
      </w:pPr>
    </w:p>
    <w:p w14:paraId="6F1C8866">
      <w:pPr>
        <w:spacing w:line="480" w:lineRule="auto"/>
        <w:jc w:val="center"/>
      </w:pPr>
      <w:r>
        <w:rPr>
          <w:lang w:val="en-US" w:eastAsia="zh-CN"/>
        </w:rPr>
        <w:drawing>
          <wp:inline distT="0" distB="0" distL="0" distR="0">
            <wp:extent cx="3599815" cy="2864485"/>
            <wp:effectExtent l="0" t="0" r="635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64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9A63E">
      <w:pPr>
        <w:spacing w:line="480" w:lineRule="auto"/>
        <w:jc w:val="center"/>
      </w:pPr>
    </w:p>
    <w:p w14:paraId="79A99E3A">
      <w:pPr>
        <w:spacing w:line="480" w:lineRule="auto"/>
        <w:jc w:val="center"/>
        <w:rPr>
          <w:highlight w:val="none"/>
        </w:rPr>
      </w:pPr>
      <w:r>
        <w:rPr>
          <w:rStyle w:val="90"/>
          <w:rFonts w:ascii="Times New Roman" w:hAnsi="Times New Roman" w:eastAsia="MS Mincho" w:cs="Times New Roman"/>
          <w:b/>
          <w:sz w:val="24"/>
          <w:szCs w:val="24"/>
          <w:highlight w:val="none"/>
        </w:rPr>
        <w:t>Fig. S11</w:t>
      </w:r>
      <w:r>
        <w:rPr>
          <w:rStyle w:val="90"/>
          <w:rFonts w:eastAsia="MS Mincho"/>
          <w:highlight w:val="none"/>
        </w:rPr>
        <w:t xml:space="preserve"> </w:t>
      </w:r>
      <w:r>
        <w:rPr>
          <w:highlight w:val="none"/>
        </w:rPr>
        <w:t>Biostability of HFNP@GOX@PFC in gluconic acid with or without H</w:t>
      </w:r>
      <w:r>
        <w:rPr>
          <w:highlight w:val="none"/>
          <w:vertAlign w:val="subscript"/>
        </w:rPr>
        <w:t>2</w:t>
      </w:r>
      <w:r>
        <w:rPr>
          <w:highlight w:val="none"/>
        </w:rPr>
        <w:t>O</w:t>
      </w:r>
      <w:r>
        <w:rPr>
          <w:highlight w:val="none"/>
          <w:vertAlign w:val="subscript"/>
        </w:rPr>
        <w:t>2</w:t>
      </w:r>
      <w:r>
        <w:rPr>
          <w:highlight w:val="none"/>
        </w:rPr>
        <w:t>. Error bars present as mean ± SD (n = 3).</w:t>
      </w:r>
    </w:p>
    <w:p w14:paraId="7B281BC4">
      <w:pPr>
        <w:spacing w:line="480" w:lineRule="auto"/>
        <w:jc w:val="center"/>
      </w:pPr>
    </w:p>
    <w:p w14:paraId="444E54AA">
      <w:pPr>
        <w:spacing w:line="480" w:lineRule="auto"/>
        <w:jc w:val="center"/>
      </w:pPr>
    </w:p>
    <w:p w14:paraId="4E2D4197">
      <w:pPr>
        <w:spacing w:line="480" w:lineRule="auto"/>
        <w:jc w:val="center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6D95A5C">
      <w:pPr>
        <w:spacing w:line="480" w:lineRule="auto"/>
        <w:jc w:val="center"/>
      </w:pPr>
    </w:p>
    <w:p w14:paraId="0B6C8033">
      <w:pPr>
        <w:spacing w:line="480" w:lineRule="auto"/>
        <w:jc w:val="center"/>
      </w:pPr>
    </w:p>
    <w:p w14:paraId="2486D64E">
      <w:pPr>
        <w:spacing w:line="480" w:lineRule="auto"/>
        <w:jc w:val="center"/>
      </w:pPr>
    </w:p>
    <w:p w14:paraId="63D8227C">
      <w:pPr>
        <w:spacing w:line="480" w:lineRule="auto"/>
        <w:jc w:val="center"/>
      </w:pPr>
    </w:p>
    <w:p w14:paraId="75AFD911">
      <w:pPr>
        <w:spacing w:line="480" w:lineRule="auto"/>
        <w:jc w:val="center"/>
      </w:pPr>
    </w:p>
    <w:p w14:paraId="5C7ED2E8">
      <w:pPr>
        <w:spacing w:line="480" w:lineRule="auto"/>
        <w:jc w:val="center"/>
      </w:pPr>
      <w:r>
        <w:rPr>
          <w:lang w:val="en-US" w:eastAsia="zh-CN"/>
        </w:rPr>
        <w:drawing>
          <wp:inline distT="0" distB="0" distL="0" distR="0">
            <wp:extent cx="3616960" cy="2936240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16960" cy="293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2E37B">
      <w:pPr>
        <w:spacing w:line="480" w:lineRule="auto"/>
        <w:jc w:val="center"/>
        <w:rPr>
          <w:rStyle w:val="90"/>
          <w:rFonts w:ascii="Times New Roman" w:hAnsi="Times New Roman" w:cs="Times New Roman"/>
          <w:b/>
          <w:sz w:val="24"/>
          <w:szCs w:val="24"/>
        </w:rPr>
      </w:pPr>
      <w:bookmarkStart w:id="9" w:name="_Toc113910206"/>
    </w:p>
    <w:p w14:paraId="086DF8D5">
      <w:pPr>
        <w:spacing w:line="480" w:lineRule="auto"/>
        <w:jc w:val="center"/>
      </w:pPr>
      <w:r>
        <w:rPr>
          <w:rStyle w:val="90"/>
          <w:rFonts w:ascii="Times New Roman" w:hAnsi="Times New Roman" w:cs="Times New Roman"/>
          <w:b/>
          <w:sz w:val="24"/>
          <w:szCs w:val="24"/>
          <w:highlight w:val="none"/>
        </w:rPr>
        <w:t>Fig. S12</w:t>
      </w:r>
      <w:r>
        <w:rPr>
          <w:rStyle w:val="90"/>
          <w:rFonts w:ascii="Times New Roman" w:hAnsi="Times New Roman" w:cs="Times New Roman"/>
          <w:sz w:val="24"/>
          <w:szCs w:val="24"/>
          <w:highlight w:val="none"/>
        </w:rPr>
        <w:t xml:space="preserve"> Intracellular ROS ﬂuorescence intensity of 4T1 cells.</w:t>
      </w:r>
      <w:bookmarkEnd w:id="9"/>
      <w:r>
        <w:rPr>
          <w:highlight w:val="none"/>
        </w:rPr>
        <w:t xml:space="preserve"> Error bars present as </w:t>
      </w:r>
      <w:r>
        <w:t>mean ± SD (n = 6).</w:t>
      </w:r>
    </w:p>
    <w:p w14:paraId="7DEFC217">
      <w:pPr>
        <w:spacing w:line="480" w:lineRule="auto"/>
        <w:jc w:val="center"/>
      </w:pPr>
    </w:p>
    <w:p w14:paraId="71F5EDD4">
      <w:pPr>
        <w:spacing w:line="480" w:lineRule="auto"/>
        <w:jc w:val="center"/>
      </w:pPr>
    </w:p>
    <w:p w14:paraId="02B1D96D">
      <w:pPr>
        <w:spacing w:line="480" w:lineRule="auto"/>
        <w:jc w:val="center"/>
      </w:pPr>
    </w:p>
    <w:p w14:paraId="7BEEE45D">
      <w:pPr>
        <w:spacing w:line="480" w:lineRule="auto"/>
        <w:jc w:val="center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6BBC5B7">
      <w:pPr>
        <w:spacing w:line="480" w:lineRule="auto"/>
        <w:jc w:val="center"/>
      </w:pPr>
    </w:p>
    <w:p w14:paraId="657F132B">
      <w:pPr>
        <w:spacing w:line="480" w:lineRule="auto"/>
        <w:jc w:val="center"/>
      </w:pPr>
    </w:p>
    <w:p w14:paraId="02ADD86B">
      <w:pPr>
        <w:spacing w:line="480" w:lineRule="auto"/>
        <w:jc w:val="center"/>
      </w:pPr>
    </w:p>
    <w:p w14:paraId="570F5287">
      <w:pPr>
        <w:spacing w:line="480" w:lineRule="auto"/>
        <w:jc w:val="center"/>
      </w:pPr>
    </w:p>
    <w:p w14:paraId="01DDF331">
      <w:pPr>
        <w:spacing w:line="480" w:lineRule="auto"/>
        <w:jc w:val="center"/>
      </w:pPr>
    </w:p>
    <w:p w14:paraId="3AC752BA">
      <w:pPr>
        <w:spacing w:line="480" w:lineRule="auto"/>
        <w:jc w:val="center"/>
        <w:rPr>
          <w:rStyle w:val="90"/>
          <w:rFonts w:ascii="Times New Roman" w:hAnsi="Times New Roman" w:cs="Times New Roman"/>
          <w:bCs w:val="0"/>
          <w:kern w:val="2"/>
          <w:sz w:val="24"/>
          <w:szCs w:val="24"/>
        </w:rPr>
      </w:pPr>
      <w:r>
        <w:rPr>
          <w:lang w:val="en-US" w:eastAsia="zh-CN"/>
        </w:rPr>
        <w:drawing>
          <wp:inline distT="0" distB="0" distL="0" distR="0">
            <wp:extent cx="3606800" cy="2722880"/>
            <wp:effectExtent l="0" t="0" r="0" b="127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272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760F5">
      <w:pPr>
        <w:spacing w:line="480" w:lineRule="auto"/>
        <w:jc w:val="center"/>
        <w:rPr>
          <w:rStyle w:val="90"/>
          <w:rFonts w:ascii="Times New Roman" w:hAnsi="Times New Roman" w:cs="Times New Roman"/>
          <w:b/>
          <w:sz w:val="24"/>
          <w:szCs w:val="24"/>
        </w:rPr>
      </w:pPr>
      <w:bookmarkStart w:id="10" w:name="_Toc113910207"/>
    </w:p>
    <w:p w14:paraId="0BBD7EB2">
      <w:pPr>
        <w:spacing w:line="480" w:lineRule="auto"/>
        <w:jc w:val="center"/>
      </w:pPr>
      <w:r>
        <w:rPr>
          <w:rStyle w:val="90"/>
          <w:rFonts w:ascii="Times New Roman" w:hAnsi="Times New Roman" w:cs="Times New Roman"/>
          <w:b/>
          <w:sz w:val="24"/>
          <w:szCs w:val="24"/>
          <w:highlight w:val="none"/>
        </w:rPr>
        <w:t>Fig. S13</w:t>
      </w:r>
      <w:r>
        <w:rPr>
          <w:rStyle w:val="90"/>
          <w:rFonts w:ascii="Times New Roman" w:hAnsi="Times New Roman" w:cs="Times New Roman"/>
          <w:sz w:val="24"/>
          <w:szCs w:val="24"/>
          <w:highlight w:val="none"/>
        </w:rPr>
        <w:t xml:space="preserve"> Corresponding quantitative MFI analysis of CD47</w:t>
      </w:r>
      <w:r>
        <w:rPr>
          <w:highlight w:val="none"/>
        </w:rPr>
        <w:t xml:space="preserve"> </w:t>
      </w:r>
      <w:r>
        <w:rPr>
          <w:rStyle w:val="90"/>
          <w:rFonts w:ascii="Times New Roman" w:hAnsi="Times New Roman" w:cs="Times New Roman"/>
          <w:sz w:val="24"/>
          <w:szCs w:val="24"/>
          <w:highlight w:val="none"/>
        </w:rPr>
        <w:t xml:space="preserve">expression in 4T1 cells </w:t>
      </w:r>
      <w:r>
        <w:rPr>
          <w:rStyle w:val="90"/>
          <w:rFonts w:ascii="Times New Roman" w:hAnsi="Times New Roman" w:cs="Times New Roman"/>
          <w:sz w:val="24"/>
          <w:szCs w:val="24"/>
        </w:rPr>
        <w:t>after treatment with PBS, HFNP, HFNP@GOX &amp; HFNP@GOX@PFC for 24 h based on Fig. 4D.</w:t>
      </w:r>
      <w:bookmarkEnd w:id="10"/>
      <w:r>
        <w:t xml:space="preserve"> Error bars present as mean ± SD (n = 6).</w:t>
      </w:r>
    </w:p>
    <w:p w14:paraId="7FB223F7">
      <w:pPr>
        <w:spacing w:line="480" w:lineRule="auto"/>
        <w:jc w:val="center"/>
      </w:pPr>
      <w:r>
        <w:br w:type="page"/>
      </w:r>
    </w:p>
    <w:p w14:paraId="427DE45E">
      <w:pPr>
        <w:spacing w:line="480" w:lineRule="auto"/>
        <w:jc w:val="center"/>
      </w:pPr>
    </w:p>
    <w:p w14:paraId="72AED225">
      <w:pPr>
        <w:spacing w:line="480" w:lineRule="auto"/>
        <w:jc w:val="center"/>
      </w:pPr>
    </w:p>
    <w:p w14:paraId="37C0DA24">
      <w:pPr>
        <w:spacing w:line="480" w:lineRule="auto"/>
        <w:jc w:val="center"/>
      </w:pPr>
    </w:p>
    <w:p w14:paraId="7C7D64ED">
      <w:pPr>
        <w:spacing w:line="480" w:lineRule="auto"/>
        <w:jc w:val="center"/>
        <w:rPr>
          <w:rStyle w:val="90"/>
          <w:rFonts w:ascii="Times New Roman" w:hAnsi="Times New Roman" w:cs="Times New Roman"/>
          <w:b/>
          <w:sz w:val="24"/>
          <w:szCs w:val="24"/>
        </w:rPr>
      </w:pPr>
      <w:r>
        <w:rPr>
          <w:rFonts w:eastAsiaTheme="minorEastAsia"/>
          <w:b/>
          <w:bCs/>
          <w:kern w:val="44"/>
          <w:lang w:val="en-US" w:eastAsia="zh-CN"/>
        </w:rPr>
        <w:drawing>
          <wp:inline distT="0" distB="0" distL="0" distR="0">
            <wp:extent cx="5039995" cy="4128770"/>
            <wp:effectExtent l="0" t="0" r="8255" b="508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129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DDF84">
      <w:pPr>
        <w:spacing w:line="480" w:lineRule="auto"/>
        <w:jc w:val="center"/>
        <w:rPr>
          <w:rStyle w:val="90"/>
          <w:rFonts w:ascii="Times New Roman" w:hAnsi="Times New Roman" w:cs="Times New Roman"/>
          <w:b/>
          <w:sz w:val="24"/>
          <w:szCs w:val="24"/>
        </w:rPr>
      </w:pPr>
      <w:bookmarkStart w:id="11" w:name="_Toc113910208"/>
    </w:p>
    <w:p w14:paraId="7195CDBB">
      <w:pPr>
        <w:spacing w:line="480" w:lineRule="auto"/>
        <w:jc w:val="center"/>
      </w:pPr>
      <w:r>
        <w:rPr>
          <w:rStyle w:val="90"/>
          <w:rFonts w:ascii="Times New Roman" w:hAnsi="Times New Roman" w:cs="Times New Roman"/>
          <w:b/>
          <w:sz w:val="24"/>
          <w:szCs w:val="24"/>
          <w:highlight w:val="none"/>
        </w:rPr>
        <w:t xml:space="preserve">Fig. </w:t>
      </w:r>
      <w:bookmarkEnd w:id="11"/>
      <w:r>
        <w:rPr>
          <w:rStyle w:val="90"/>
          <w:rFonts w:ascii="Times New Roman" w:hAnsi="Times New Roman" w:cs="Times New Roman"/>
          <w:b/>
          <w:sz w:val="24"/>
          <w:szCs w:val="24"/>
          <w:highlight w:val="none"/>
        </w:rPr>
        <w:t>S14</w:t>
      </w:r>
      <w:r>
        <w:rPr>
          <w:highlight w:val="none"/>
        </w:rPr>
        <w:t xml:space="preserve"> (a) Bcl-2, (b) BAX, (c) CytC and (d) Casp3 relative mRNA expressions </w:t>
      </w:r>
      <w:r>
        <w:t>analysis of 4T1 cells</w:t>
      </w:r>
      <w:r>
        <w:rPr>
          <w:rStyle w:val="90"/>
          <w:rFonts w:ascii="Times New Roman" w:hAnsi="Times New Roman" w:eastAsia="MS Mincho" w:cs="Times New Roman"/>
          <w:bCs w:val="0"/>
          <w:kern w:val="0"/>
          <w:sz w:val="24"/>
          <w:szCs w:val="24"/>
          <w:lang w:val="de-DE" w:eastAsia="ja-JP"/>
        </w:rPr>
        <w:t xml:space="preserve"> </w:t>
      </w:r>
      <w:r>
        <w:rPr>
          <w:rStyle w:val="90"/>
          <w:rFonts w:ascii="Times New Roman" w:hAnsi="Times New Roman" w:cs="Times New Roman"/>
          <w:sz w:val="24"/>
          <w:szCs w:val="24"/>
        </w:rPr>
        <w:t>treated with PBS, HFNP &amp; HFNP@GOX@PFC. Error bars present as mean ± SD (n = 6).</w:t>
      </w:r>
    </w:p>
    <w:p w14:paraId="1B028608">
      <w:pPr>
        <w:spacing w:line="480" w:lineRule="auto"/>
        <w:jc w:val="center"/>
      </w:pPr>
      <w:r>
        <w:br w:type="page"/>
      </w:r>
    </w:p>
    <w:p w14:paraId="4ADCA790">
      <w:pPr>
        <w:spacing w:line="480" w:lineRule="auto"/>
        <w:jc w:val="center"/>
      </w:pPr>
    </w:p>
    <w:p w14:paraId="0E15242B">
      <w:pPr>
        <w:spacing w:line="480" w:lineRule="auto"/>
        <w:jc w:val="center"/>
      </w:pPr>
    </w:p>
    <w:p w14:paraId="5C194BD4">
      <w:pPr>
        <w:spacing w:line="480" w:lineRule="auto"/>
        <w:jc w:val="center"/>
      </w:pPr>
    </w:p>
    <w:p w14:paraId="517EE56C">
      <w:pPr>
        <w:spacing w:line="480" w:lineRule="auto"/>
        <w:jc w:val="center"/>
      </w:pPr>
    </w:p>
    <w:p w14:paraId="0C343F2C">
      <w:pPr>
        <w:spacing w:line="480" w:lineRule="auto"/>
        <w:jc w:val="center"/>
      </w:pPr>
    </w:p>
    <w:p w14:paraId="4B6833C8">
      <w:pPr>
        <w:spacing w:line="480" w:lineRule="auto"/>
        <w:jc w:val="center"/>
      </w:pPr>
    </w:p>
    <w:p w14:paraId="21D823AC">
      <w:pPr>
        <w:spacing w:line="480" w:lineRule="auto"/>
        <w:jc w:val="center"/>
        <w:rPr>
          <w:b/>
        </w:rPr>
      </w:pPr>
      <w:r>
        <w:rPr>
          <w:lang w:val="en-US" w:eastAsia="zh-CN"/>
        </w:rPr>
        <w:drawing>
          <wp:inline distT="0" distB="0" distL="0" distR="0">
            <wp:extent cx="5049520" cy="2184400"/>
            <wp:effectExtent l="0" t="0" r="0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9520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2" w:name="_Toc113910209"/>
    </w:p>
    <w:p w14:paraId="6A0C7010">
      <w:pPr>
        <w:spacing w:line="480" w:lineRule="auto"/>
        <w:jc w:val="center"/>
        <w:rPr>
          <w:b/>
        </w:rPr>
      </w:pPr>
    </w:p>
    <w:p w14:paraId="027F83C3">
      <w:pPr>
        <w:spacing w:line="480" w:lineRule="auto"/>
        <w:jc w:val="center"/>
      </w:pPr>
      <w:r>
        <w:rPr>
          <w:b/>
          <w:highlight w:val="none"/>
        </w:rPr>
        <w:t>Fig. S15</w:t>
      </w:r>
      <w:r>
        <w:rPr>
          <w:highlight w:val="none"/>
        </w:rPr>
        <w:t xml:space="preserve"> Gate strategy for assessing TAMs polarization by following the indicated </w:t>
      </w:r>
      <w:r>
        <w:t>treatments.</w:t>
      </w:r>
      <w:bookmarkEnd w:id="12"/>
    </w:p>
    <w:p w14:paraId="70EE924C"/>
    <w:p w14:paraId="0B6F723D"/>
    <w:p w14:paraId="4D7E45AE">
      <w:pPr>
        <w:jc w:val="center"/>
      </w:pPr>
      <w:r>
        <w:br w:type="page"/>
      </w:r>
    </w:p>
    <w:p w14:paraId="004414E8">
      <w:pPr>
        <w:jc w:val="center"/>
      </w:pPr>
    </w:p>
    <w:p w14:paraId="4EE2C2F3">
      <w:pPr>
        <w:jc w:val="center"/>
      </w:pPr>
    </w:p>
    <w:p w14:paraId="6C5DC6BB">
      <w:pPr>
        <w:jc w:val="center"/>
      </w:pPr>
    </w:p>
    <w:p w14:paraId="649DF615">
      <w:pPr>
        <w:jc w:val="center"/>
      </w:pPr>
    </w:p>
    <w:p w14:paraId="1AF6711A">
      <w:pPr>
        <w:jc w:val="center"/>
      </w:pPr>
    </w:p>
    <w:p w14:paraId="7B5DB461">
      <w:pPr>
        <w:jc w:val="center"/>
      </w:pPr>
    </w:p>
    <w:p w14:paraId="54DDE772">
      <w:pPr>
        <w:jc w:val="center"/>
      </w:pPr>
    </w:p>
    <w:p w14:paraId="6004E424">
      <w:pPr>
        <w:jc w:val="center"/>
      </w:pPr>
    </w:p>
    <w:p w14:paraId="36B13037">
      <w:pPr>
        <w:jc w:val="center"/>
      </w:pPr>
    </w:p>
    <w:p w14:paraId="4693807A">
      <w:pPr>
        <w:jc w:val="center"/>
      </w:pPr>
    </w:p>
    <w:p w14:paraId="23B4A1A3">
      <w:pPr>
        <w:jc w:val="center"/>
      </w:pPr>
    </w:p>
    <w:p w14:paraId="63A9B178">
      <w:pPr>
        <w:jc w:val="center"/>
      </w:pPr>
    </w:p>
    <w:p w14:paraId="000A3ED6">
      <w:pPr>
        <w:jc w:val="center"/>
        <w:rPr>
          <w:rStyle w:val="90"/>
          <w:rFonts w:ascii="Times New Roman" w:hAnsi="Times New Roman" w:cs="Times New Roman"/>
          <w:bCs w:val="0"/>
          <w:kern w:val="2"/>
          <w:sz w:val="24"/>
          <w:szCs w:val="24"/>
        </w:rPr>
      </w:pPr>
      <w:r>
        <w:rPr>
          <w:lang w:val="en-US" w:eastAsia="zh-CN"/>
        </w:rPr>
        <w:drawing>
          <wp:inline distT="0" distB="0" distL="0" distR="0">
            <wp:extent cx="3606800" cy="251968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76CFF">
      <w:pPr>
        <w:jc w:val="center"/>
        <w:rPr>
          <w:rStyle w:val="90"/>
          <w:rFonts w:ascii="Times New Roman" w:hAnsi="Times New Roman" w:cs="Times New Roman"/>
          <w:b/>
          <w:sz w:val="24"/>
          <w:szCs w:val="24"/>
        </w:rPr>
      </w:pPr>
      <w:bookmarkStart w:id="13" w:name="_Toc113910210"/>
    </w:p>
    <w:p w14:paraId="24193CFC">
      <w:pPr>
        <w:spacing w:line="480" w:lineRule="auto"/>
        <w:jc w:val="center"/>
      </w:pPr>
      <w:r>
        <w:rPr>
          <w:rStyle w:val="90"/>
          <w:rFonts w:ascii="Times New Roman" w:hAnsi="Times New Roman" w:cs="Times New Roman"/>
          <w:b/>
          <w:sz w:val="24"/>
          <w:szCs w:val="24"/>
          <w:highlight w:val="none"/>
        </w:rPr>
        <w:t>Fig. S16</w:t>
      </w:r>
      <w:r>
        <w:rPr>
          <w:rStyle w:val="90"/>
          <w:rFonts w:ascii="Times New Roman" w:hAnsi="Times New Roman" w:cs="Times New Roman"/>
          <w:sz w:val="24"/>
          <w:szCs w:val="24"/>
          <w:highlight w:val="none"/>
        </w:rPr>
        <w:t xml:space="preserve"> Wound healing rate of 4T1 cells after various treatments.</w:t>
      </w:r>
      <w:bookmarkEnd w:id="13"/>
      <w:r>
        <w:rPr>
          <w:highlight w:val="none"/>
        </w:rPr>
        <w:t xml:space="preserve"> Error bars present </w:t>
      </w:r>
      <w:r>
        <w:t>as mean ± SD (n = 6).</w:t>
      </w:r>
    </w:p>
    <w:p w14:paraId="77454D96"/>
    <w:p w14:paraId="38BE6A41"/>
    <w:p w14:paraId="7BFF15B4"/>
    <w:p w14:paraId="03F08F48"/>
    <w:p w14:paraId="3EB57E6B">
      <w:r>
        <w:br w:type="page"/>
      </w:r>
    </w:p>
    <w:p w14:paraId="53BFB0BA">
      <w:pPr>
        <w:jc w:val="center"/>
      </w:pPr>
    </w:p>
    <w:p w14:paraId="7BEBB1F3">
      <w:pPr>
        <w:jc w:val="center"/>
      </w:pPr>
    </w:p>
    <w:p w14:paraId="1C16A413">
      <w:pPr>
        <w:jc w:val="center"/>
      </w:pPr>
    </w:p>
    <w:p w14:paraId="2BA13CDA">
      <w:pPr>
        <w:jc w:val="center"/>
      </w:pPr>
    </w:p>
    <w:p w14:paraId="63A849C4">
      <w:pPr>
        <w:jc w:val="center"/>
      </w:pPr>
    </w:p>
    <w:p w14:paraId="4A22C47C">
      <w:pPr>
        <w:jc w:val="center"/>
      </w:pPr>
    </w:p>
    <w:p w14:paraId="32D8B28C">
      <w:pPr>
        <w:jc w:val="center"/>
      </w:pPr>
    </w:p>
    <w:p w14:paraId="3E46751C">
      <w:pPr>
        <w:jc w:val="center"/>
      </w:pPr>
    </w:p>
    <w:p w14:paraId="30077B41">
      <w:pPr>
        <w:jc w:val="center"/>
      </w:pPr>
    </w:p>
    <w:p w14:paraId="2A103C6A">
      <w:pPr>
        <w:jc w:val="center"/>
      </w:pPr>
    </w:p>
    <w:p w14:paraId="4BEA7324">
      <w:pPr>
        <w:jc w:val="center"/>
      </w:pPr>
    </w:p>
    <w:p w14:paraId="7C50149A">
      <w:pPr>
        <w:jc w:val="center"/>
      </w:pPr>
    </w:p>
    <w:p w14:paraId="273340B2">
      <w:pPr>
        <w:jc w:val="center"/>
        <w:rPr>
          <w:rStyle w:val="90"/>
          <w:rFonts w:ascii="Times New Roman" w:hAnsi="Times New Roman" w:cs="Times New Roman"/>
          <w:bCs w:val="0"/>
          <w:kern w:val="2"/>
          <w:sz w:val="24"/>
          <w:szCs w:val="24"/>
        </w:rPr>
      </w:pPr>
      <w:r>
        <w:rPr>
          <w:lang w:val="en-US" w:eastAsia="zh-CN"/>
        </w:rPr>
        <w:drawing>
          <wp:inline distT="0" distB="0" distL="0" distR="0">
            <wp:extent cx="3606800" cy="251968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3F3D8">
      <w:pPr>
        <w:spacing w:line="480" w:lineRule="auto"/>
        <w:jc w:val="center"/>
        <w:rPr>
          <w:rStyle w:val="90"/>
          <w:rFonts w:ascii="Times New Roman" w:hAnsi="Times New Roman" w:cs="Times New Roman"/>
          <w:b/>
          <w:sz w:val="24"/>
          <w:szCs w:val="24"/>
        </w:rPr>
      </w:pPr>
      <w:bookmarkStart w:id="14" w:name="_Toc113910211"/>
    </w:p>
    <w:p w14:paraId="7445C41A">
      <w:pPr>
        <w:spacing w:line="480" w:lineRule="auto"/>
        <w:jc w:val="center"/>
      </w:pPr>
      <w:r>
        <w:rPr>
          <w:rStyle w:val="90"/>
          <w:rFonts w:ascii="Times New Roman" w:hAnsi="Times New Roman" w:cs="Times New Roman"/>
          <w:b/>
          <w:sz w:val="24"/>
          <w:szCs w:val="24"/>
          <w:highlight w:val="none"/>
        </w:rPr>
        <w:t>Fig. S17</w:t>
      </w:r>
      <w:r>
        <w:rPr>
          <w:rStyle w:val="90"/>
          <w:rFonts w:ascii="Times New Roman" w:hAnsi="Times New Roman" w:cs="Times New Roman"/>
          <w:sz w:val="24"/>
          <w:szCs w:val="24"/>
          <w:highlight w:val="none"/>
        </w:rPr>
        <w:t xml:space="preserve"> Migration rate of 4T1 cells after various treatments.</w:t>
      </w:r>
      <w:bookmarkEnd w:id="14"/>
      <w:r>
        <w:rPr>
          <w:highlight w:val="none"/>
        </w:rPr>
        <w:t xml:space="preserve"> Error bars present as </w:t>
      </w:r>
      <w:r>
        <w:t>mean ± SD (n = 6).</w:t>
      </w:r>
    </w:p>
    <w:p w14:paraId="338118AD">
      <w:r>
        <w:br w:type="page"/>
      </w:r>
    </w:p>
    <w:p w14:paraId="7A9C68CE">
      <w:pPr>
        <w:jc w:val="center"/>
      </w:pPr>
    </w:p>
    <w:p w14:paraId="5D6D9D5F">
      <w:pPr>
        <w:jc w:val="center"/>
      </w:pPr>
    </w:p>
    <w:p w14:paraId="513B2D23">
      <w:pPr>
        <w:jc w:val="center"/>
      </w:pPr>
    </w:p>
    <w:p w14:paraId="663F7992">
      <w:pPr>
        <w:jc w:val="center"/>
      </w:pPr>
    </w:p>
    <w:p w14:paraId="2C27B86C">
      <w:pPr>
        <w:jc w:val="center"/>
      </w:pPr>
    </w:p>
    <w:p w14:paraId="0ADACDAC">
      <w:pPr>
        <w:jc w:val="center"/>
      </w:pPr>
    </w:p>
    <w:p w14:paraId="0710E913">
      <w:pPr>
        <w:jc w:val="center"/>
      </w:pPr>
    </w:p>
    <w:p w14:paraId="2ECA2A1D">
      <w:pPr>
        <w:jc w:val="center"/>
      </w:pPr>
    </w:p>
    <w:p w14:paraId="1CBE5475">
      <w:pPr>
        <w:jc w:val="center"/>
      </w:pPr>
    </w:p>
    <w:p w14:paraId="4CBACFA4">
      <w:pPr>
        <w:jc w:val="center"/>
      </w:pPr>
    </w:p>
    <w:p w14:paraId="35BC96D4">
      <w:pPr>
        <w:jc w:val="center"/>
      </w:pPr>
    </w:p>
    <w:p w14:paraId="1EF30B19">
      <w:pPr>
        <w:jc w:val="center"/>
      </w:pPr>
    </w:p>
    <w:p w14:paraId="6CFD8DE1">
      <w:pPr>
        <w:jc w:val="center"/>
        <w:rPr>
          <w:rStyle w:val="90"/>
          <w:rFonts w:ascii="Times New Roman" w:hAnsi="Times New Roman" w:cs="Times New Roman"/>
          <w:bCs w:val="0"/>
          <w:kern w:val="2"/>
          <w:sz w:val="21"/>
          <w:szCs w:val="22"/>
        </w:rPr>
      </w:pPr>
      <w:r>
        <w:rPr>
          <w:lang w:val="en-US" w:eastAsia="zh-CN"/>
        </w:rPr>
        <w:drawing>
          <wp:inline distT="0" distB="0" distL="0" distR="0">
            <wp:extent cx="3606800" cy="251968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EA419">
      <w:pPr>
        <w:spacing w:line="480" w:lineRule="auto"/>
        <w:jc w:val="center"/>
        <w:rPr>
          <w:rStyle w:val="90"/>
          <w:rFonts w:ascii="Times New Roman" w:hAnsi="Times New Roman" w:cs="Times New Roman"/>
          <w:b/>
          <w:sz w:val="24"/>
          <w:szCs w:val="24"/>
        </w:rPr>
      </w:pPr>
      <w:bookmarkStart w:id="15" w:name="_Toc113910212"/>
    </w:p>
    <w:p w14:paraId="5638DBBC">
      <w:pPr>
        <w:spacing w:line="480" w:lineRule="auto"/>
        <w:jc w:val="center"/>
      </w:pPr>
      <w:r>
        <w:rPr>
          <w:rStyle w:val="90"/>
          <w:rFonts w:ascii="Times New Roman" w:hAnsi="Times New Roman" w:cs="Times New Roman"/>
          <w:b/>
          <w:sz w:val="24"/>
          <w:szCs w:val="24"/>
          <w:highlight w:val="none"/>
        </w:rPr>
        <w:t>Fig. S18</w:t>
      </w:r>
      <w:r>
        <w:rPr>
          <w:rStyle w:val="90"/>
          <w:rFonts w:ascii="Times New Roman" w:hAnsi="Times New Roman" w:cs="Times New Roman"/>
          <w:sz w:val="24"/>
          <w:szCs w:val="24"/>
          <w:highlight w:val="none"/>
        </w:rPr>
        <w:t xml:space="preserve"> Invasion rate of 4T1 cells after various treatments.</w:t>
      </w:r>
      <w:bookmarkEnd w:id="15"/>
      <w:r>
        <w:rPr>
          <w:highlight w:val="none"/>
        </w:rPr>
        <w:t xml:space="preserve"> Error bars present as </w:t>
      </w:r>
      <w:r>
        <w:t>mean ± SD (n = 6).</w:t>
      </w:r>
    </w:p>
    <w:p w14:paraId="5E52A3D2">
      <w:pPr>
        <w:spacing w:line="480" w:lineRule="auto"/>
        <w:jc w:val="center"/>
        <w:rPr>
          <w:sz w:val="32"/>
        </w:rPr>
      </w:pPr>
    </w:p>
    <w:p w14:paraId="2363980A">
      <w:pPr>
        <w:spacing w:line="480" w:lineRule="auto"/>
        <w:jc w:val="center"/>
        <w:rPr>
          <w:sz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ECC8EED">
      <w:pPr>
        <w:spacing w:line="480" w:lineRule="auto"/>
        <w:jc w:val="center"/>
        <w:rPr>
          <w:sz w:val="32"/>
        </w:rPr>
      </w:pPr>
    </w:p>
    <w:p w14:paraId="4893E507">
      <w:pPr>
        <w:spacing w:line="480" w:lineRule="auto"/>
        <w:jc w:val="center"/>
        <w:rPr>
          <w:sz w:val="32"/>
        </w:rPr>
      </w:pPr>
    </w:p>
    <w:p w14:paraId="6CC60998">
      <w:pPr>
        <w:spacing w:line="480" w:lineRule="auto"/>
        <w:jc w:val="center"/>
        <w:rPr>
          <w:sz w:val="32"/>
        </w:rPr>
      </w:pPr>
    </w:p>
    <w:p w14:paraId="046AF413">
      <w:pPr>
        <w:spacing w:line="480" w:lineRule="auto"/>
        <w:jc w:val="center"/>
        <w:rPr>
          <w:sz w:val="32"/>
        </w:rPr>
      </w:pPr>
    </w:p>
    <w:p w14:paraId="16222717">
      <w:pPr>
        <w:spacing w:line="480" w:lineRule="auto"/>
        <w:jc w:val="center"/>
        <w:rPr>
          <w:sz w:val="32"/>
        </w:rPr>
      </w:pPr>
    </w:p>
    <w:p w14:paraId="37425AF3">
      <w:pPr>
        <w:spacing w:line="480" w:lineRule="auto"/>
        <w:jc w:val="center"/>
        <w:rPr>
          <w:sz w:val="32"/>
        </w:rPr>
      </w:pPr>
    </w:p>
    <w:p w14:paraId="07A7DB98">
      <w:pPr>
        <w:spacing w:line="480" w:lineRule="auto"/>
        <w:jc w:val="center"/>
        <w:rPr>
          <w:sz w:val="32"/>
        </w:rPr>
      </w:pPr>
      <w:r>
        <w:rPr>
          <w:sz w:val="32"/>
          <w:lang w:val="en-US" w:eastAsia="zh-CN"/>
        </w:rPr>
        <w:drawing>
          <wp:inline distT="0" distB="0" distL="0" distR="0">
            <wp:extent cx="3606800" cy="3007360"/>
            <wp:effectExtent l="0" t="0" r="0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300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A2C05">
      <w:pPr>
        <w:spacing w:line="480" w:lineRule="auto"/>
        <w:jc w:val="center"/>
        <w:rPr>
          <w:rStyle w:val="90"/>
          <w:rFonts w:ascii="Times New Roman" w:hAnsi="Times New Roman" w:cs="Times New Roman"/>
          <w:b/>
          <w:sz w:val="24"/>
          <w:szCs w:val="24"/>
        </w:rPr>
      </w:pPr>
      <w:bookmarkStart w:id="16" w:name="_Toc113910213"/>
    </w:p>
    <w:p w14:paraId="4DA01C5A">
      <w:pPr>
        <w:spacing w:line="480" w:lineRule="auto"/>
        <w:jc w:val="center"/>
      </w:pPr>
      <w:r>
        <w:rPr>
          <w:rStyle w:val="90"/>
          <w:rFonts w:ascii="Times New Roman" w:hAnsi="Times New Roman" w:cs="Times New Roman"/>
          <w:b/>
          <w:sz w:val="24"/>
          <w:szCs w:val="24"/>
          <w:highlight w:val="none"/>
        </w:rPr>
        <w:t>Fig. S19</w:t>
      </w:r>
      <w:r>
        <w:rPr>
          <w:rStyle w:val="90"/>
          <w:rFonts w:ascii="Times New Roman" w:hAnsi="Times New Roman" w:cs="Times New Roman"/>
          <w:sz w:val="24"/>
          <w:szCs w:val="24"/>
          <w:highlight w:val="none"/>
        </w:rPr>
        <w:t xml:space="preserve"> Body weight</w:t>
      </w:r>
      <w:bookmarkEnd w:id="16"/>
      <w:r>
        <w:rPr>
          <w:highlight w:val="none"/>
        </w:rPr>
        <w:t xml:space="preserve"> </w:t>
      </w:r>
      <w:r>
        <w:rPr>
          <w:rStyle w:val="90"/>
          <w:rFonts w:ascii="Times New Roman" w:hAnsi="Times New Roman" w:cs="Times New Roman"/>
          <w:sz w:val="24"/>
          <w:szCs w:val="24"/>
          <w:highlight w:val="none"/>
        </w:rPr>
        <w:t>of tumor-bearing mice after various treatments for 18 days.</w:t>
      </w:r>
      <w:r>
        <w:rPr>
          <w:highlight w:val="none"/>
        </w:rPr>
        <w:t xml:space="preserve"> </w:t>
      </w:r>
      <w:r>
        <w:t>Error bars present as mean ± SD (n = 6).</w:t>
      </w:r>
    </w:p>
    <w:p w14:paraId="126C8323">
      <w:pPr>
        <w:spacing w:line="480" w:lineRule="auto"/>
        <w:jc w:val="center"/>
        <w:rPr>
          <w:sz w:val="32"/>
        </w:rPr>
      </w:pPr>
    </w:p>
    <w:p w14:paraId="67EF9268">
      <w:pPr>
        <w:spacing w:line="480" w:lineRule="auto"/>
        <w:jc w:val="center"/>
        <w:rPr>
          <w:sz w:val="32"/>
        </w:rPr>
      </w:pPr>
    </w:p>
    <w:p w14:paraId="6CD07E90">
      <w:pPr>
        <w:spacing w:line="480" w:lineRule="auto"/>
        <w:jc w:val="center"/>
        <w:rPr>
          <w:sz w:val="32"/>
        </w:rPr>
      </w:pPr>
    </w:p>
    <w:p w14:paraId="159451E7">
      <w:pPr>
        <w:spacing w:line="480" w:lineRule="auto"/>
        <w:jc w:val="center"/>
        <w:rPr>
          <w:sz w:val="32"/>
        </w:rPr>
      </w:pPr>
      <w:r>
        <w:rPr>
          <w:sz w:val="32"/>
        </w:rPr>
        <w:br w:type="page"/>
      </w:r>
    </w:p>
    <w:p w14:paraId="7616BA7F">
      <w:pPr>
        <w:spacing w:line="480" w:lineRule="auto"/>
        <w:jc w:val="center"/>
        <w:rPr>
          <w:sz w:val="32"/>
        </w:rPr>
      </w:pPr>
    </w:p>
    <w:p w14:paraId="60FD8116">
      <w:pPr>
        <w:spacing w:line="480" w:lineRule="auto"/>
        <w:jc w:val="center"/>
        <w:rPr>
          <w:sz w:val="32"/>
        </w:rPr>
      </w:pPr>
    </w:p>
    <w:p w14:paraId="784E1902">
      <w:pPr>
        <w:spacing w:line="480" w:lineRule="auto"/>
        <w:jc w:val="center"/>
        <w:rPr>
          <w:sz w:val="32"/>
        </w:rPr>
      </w:pPr>
    </w:p>
    <w:p w14:paraId="672250C5">
      <w:pPr>
        <w:spacing w:line="480" w:lineRule="auto"/>
        <w:jc w:val="center"/>
        <w:rPr>
          <w:sz w:val="32"/>
        </w:rPr>
      </w:pPr>
    </w:p>
    <w:p w14:paraId="2A8176E6">
      <w:pPr>
        <w:spacing w:line="480" w:lineRule="auto"/>
        <w:jc w:val="center"/>
        <w:rPr>
          <w:sz w:val="32"/>
        </w:rPr>
      </w:pPr>
    </w:p>
    <w:p w14:paraId="43BB2D85">
      <w:pPr>
        <w:spacing w:line="480" w:lineRule="auto"/>
        <w:jc w:val="center"/>
        <w:rPr>
          <w:sz w:val="32"/>
        </w:rPr>
      </w:pPr>
    </w:p>
    <w:p w14:paraId="7ECE2A98">
      <w:pPr>
        <w:spacing w:line="480" w:lineRule="auto"/>
        <w:jc w:val="center"/>
        <w:rPr>
          <w:rStyle w:val="90"/>
          <w:rFonts w:ascii="Times New Roman" w:hAnsi="Times New Roman" w:cs="Times New Roman"/>
          <w:bCs w:val="0"/>
          <w:kern w:val="2"/>
          <w:szCs w:val="22"/>
        </w:rPr>
      </w:pPr>
      <w:r>
        <w:rPr>
          <w:sz w:val="32"/>
          <w:lang w:val="en-US" w:eastAsia="zh-CN"/>
        </w:rPr>
        <w:drawing>
          <wp:inline distT="0" distB="0" distL="0" distR="0">
            <wp:extent cx="3606800" cy="2773680"/>
            <wp:effectExtent l="0" t="0" r="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7ACF5">
      <w:pPr>
        <w:spacing w:line="480" w:lineRule="auto"/>
        <w:jc w:val="center"/>
        <w:rPr>
          <w:rStyle w:val="90"/>
          <w:rFonts w:ascii="Times New Roman" w:hAnsi="Times New Roman" w:cs="Times New Roman"/>
          <w:b/>
          <w:sz w:val="24"/>
          <w:szCs w:val="24"/>
        </w:rPr>
      </w:pPr>
      <w:bookmarkStart w:id="17" w:name="_Toc113910214"/>
    </w:p>
    <w:p w14:paraId="4644FCE8">
      <w:pPr>
        <w:spacing w:line="480" w:lineRule="auto"/>
        <w:jc w:val="center"/>
      </w:pPr>
      <w:r>
        <w:rPr>
          <w:rStyle w:val="90"/>
          <w:rFonts w:ascii="Times New Roman" w:hAnsi="Times New Roman" w:cs="Times New Roman"/>
          <w:b/>
          <w:sz w:val="24"/>
          <w:szCs w:val="24"/>
          <w:highlight w:val="none"/>
        </w:rPr>
        <w:t>Fig. S20</w:t>
      </w:r>
      <w:r>
        <w:rPr>
          <w:rStyle w:val="90"/>
          <w:rFonts w:ascii="Times New Roman" w:hAnsi="Times New Roman" w:cs="Times New Roman"/>
          <w:sz w:val="24"/>
          <w:szCs w:val="24"/>
          <w:highlight w:val="none"/>
        </w:rPr>
        <w:t xml:space="preserve"> The </w:t>
      </w:r>
      <w:r>
        <w:rPr>
          <w:highlight w:val="none"/>
        </w:rPr>
        <w:t xml:space="preserve">quantitative </w:t>
      </w:r>
      <w:r>
        <w:rPr>
          <w:rStyle w:val="90"/>
          <w:rFonts w:ascii="Times New Roman" w:hAnsi="Times New Roman" w:cs="Times New Roman"/>
          <w:sz w:val="24"/>
          <w:szCs w:val="24"/>
          <w:highlight w:val="none"/>
        </w:rPr>
        <w:t>IFC</w:t>
      </w:r>
      <w:r>
        <w:rPr>
          <w:highlight w:val="none"/>
        </w:rPr>
        <w:t xml:space="preserve"> </w:t>
      </w:r>
      <w:r>
        <w:rPr>
          <w:rStyle w:val="90"/>
          <w:rFonts w:ascii="Times New Roman" w:hAnsi="Times New Roman" w:cs="Times New Roman"/>
          <w:sz w:val="24"/>
          <w:szCs w:val="24"/>
          <w:highlight w:val="none"/>
        </w:rPr>
        <w:t>intensity analysis of CD47</w:t>
      </w:r>
      <w:r>
        <w:rPr>
          <w:highlight w:val="none"/>
        </w:rPr>
        <w:t xml:space="preserve"> based on Fig. 6D</w:t>
      </w:r>
      <w:r>
        <w:rPr>
          <w:rStyle w:val="90"/>
          <w:rFonts w:ascii="Times New Roman" w:hAnsi="Times New Roman" w:cs="Times New Roman"/>
          <w:sz w:val="24"/>
          <w:szCs w:val="24"/>
          <w:highlight w:val="none"/>
        </w:rPr>
        <w:t>.</w:t>
      </w:r>
      <w:bookmarkEnd w:id="17"/>
      <w:r>
        <w:rPr>
          <w:highlight w:val="none"/>
        </w:rPr>
        <w:t xml:space="preserve"> Error bars </w:t>
      </w:r>
      <w:r>
        <w:t xml:space="preserve">present as mean ± SD (n = 6). </w:t>
      </w:r>
    </w:p>
    <w:p w14:paraId="5FA73B81">
      <w:pPr>
        <w:spacing w:line="480" w:lineRule="auto"/>
        <w:jc w:val="center"/>
        <w:rPr>
          <w:sz w:val="32"/>
        </w:rPr>
      </w:pPr>
    </w:p>
    <w:p w14:paraId="2DA29AEE">
      <w:pPr>
        <w:spacing w:line="480" w:lineRule="auto"/>
        <w:jc w:val="center"/>
        <w:rPr>
          <w:sz w:val="32"/>
        </w:rPr>
      </w:pPr>
    </w:p>
    <w:p w14:paraId="521E78D9">
      <w:pPr>
        <w:spacing w:line="480" w:lineRule="auto"/>
        <w:jc w:val="center"/>
        <w:rPr>
          <w:sz w:val="32"/>
        </w:rPr>
      </w:pPr>
      <w:r>
        <w:rPr>
          <w:sz w:val="32"/>
        </w:rPr>
        <w:br w:type="page"/>
      </w:r>
    </w:p>
    <w:p w14:paraId="760EF53F">
      <w:pPr>
        <w:spacing w:line="480" w:lineRule="auto"/>
        <w:jc w:val="center"/>
        <w:rPr>
          <w:sz w:val="32"/>
        </w:rPr>
      </w:pPr>
    </w:p>
    <w:p w14:paraId="36E3589D">
      <w:pPr>
        <w:spacing w:line="480" w:lineRule="auto"/>
        <w:jc w:val="center"/>
        <w:rPr>
          <w:sz w:val="32"/>
        </w:rPr>
      </w:pPr>
    </w:p>
    <w:p w14:paraId="4ACB5A13">
      <w:pPr>
        <w:spacing w:line="480" w:lineRule="auto"/>
        <w:jc w:val="center"/>
        <w:rPr>
          <w:sz w:val="32"/>
        </w:rPr>
      </w:pPr>
    </w:p>
    <w:p w14:paraId="686B1412">
      <w:pPr>
        <w:spacing w:line="480" w:lineRule="auto"/>
        <w:jc w:val="center"/>
        <w:rPr>
          <w:sz w:val="32"/>
        </w:rPr>
      </w:pPr>
    </w:p>
    <w:p w14:paraId="6EEDE55B">
      <w:pPr>
        <w:spacing w:line="480" w:lineRule="auto"/>
        <w:jc w:val="center"/>
        <w:rPr>
          <w:sz w:val="32"/>
        </w:rPr>
      </w:pPr>
    </w:p>
    <w:p w14:paraId="764B58FA">
      <w:pPr>
        <w:spacing w:line="480" w:lineRule="auto"/>
        <w:jc w:val="center"/>
        <w:rPr>
          <w:sz w:val="32"/>
        </w:rPr>
      </w:pPr>
    </w:p>
    <w:p w14:paraId="43A15300">
      <w:pPr>
        <w:spacing w:line="480" w:lineRule="auto"/>
        <w:jc w:val="center"/>
        <w:rPr>
          <w:rStyle w:val="90"/>
          <w:rFonts w:ascii="Times New Roman" w:hAnsi="Times New Roman" w:cs="Times New Roman"/>
          <w:bCs w:val="0"/>
          <w:kern w:val="2"/>
          <w:szCs w:val="22"/>
        </w:rPr>
      </w:pPr>
      <w:r>
        <w:rPr>
          <w:sz w:val="32"/>
          <w:lang w:val="en-US" w:eastAsia="zh-CN"/>
        </w:rPr>
        <w:drawing>
          <wp:inline distT="0" distB="0" distL="0" distR="0">
            <wp:extent cx="3599815" cy="2816860"/>
            <wp:effectExtent l="0" t="0" r="635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16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3177D">
      <w:pPr>
        <w:spacing w:line="480" w:lineRule="auto"/>
        <w:jc w:val="center"/>
        <w:rPr>
          <w:rStyle w:val="90"/>
          <w:rFonts w:ascii="Times New Roman" w:hAnsi="Times New Roman" w:cs="Times New Roman"/>
          <w:b/>
          <w:sz w:val="24"/>
          <w:szCs w:val="24"/>
        </w:rPr>
      </w:pPr>
      <w:bookmarkStart w:id="18" w:name="_Toc113910215"/>
    </w:p>
    <w:p w14:paraId="1EF9FB4C">
      <w:pPr>
        <w:spacing w:line="480" w:lineRule="auto"/>
        <w:jc w:val="center"/>
      </w:pPr>
      <w:r>
        <w:rPr>
          <w:rStyle w:val="90"/>
          <w:rFonts w:ascii="Times New Roman" w:hAnsi="Times New Roman" w:cs="Times New Roman"/>
          <w:b/>
          <w:sz w:val="24"/>
          <w:szCs w:val="24"/>
          <w:highlight w:val="none"/>
        </w:rPr>
        <w:t>Fig. S21</w:t>
      </w:r>
      <w:r>
        <w:rPr>
          <w:rStyle w:val="90"/>
          <w:rFonts w:ascii="Times New Roman" w:hAnsi="Times New Roman" w:cs="Times New Roman"/>
          <w:sz w:val="24"/>
          <w:szCs w:val="24"/>
          <w:highlight w:val="none"/>
        </w:rPr>
        <w:t xml:space="preserve"> The </w:t>
      </w:r>
      <w:r>
        <w:rPr>
          <w:highlight w:val="none"/>
        </w:rPr>
        <w:t xml:space="preserve">quantitative </w:t>
      </w:r>
      <w:r>
        <w:rPr>
          <w:rStyle w:val="90"/>
          <w:rFonts w:ascii="Times New Roman" w:hAnsi="Times New Roman" w:cs="Times New Roman"/>
          <w:sz w:val="24"/>
          <w:szCs w:val="24"/>
          <w:highlight w:val="none"/>
        </w:rPr>
        <w:t>IFC</w:t>
      </w:r>
      <w:r>
        <w:rPr>
          <w:highlight w:val="none"/>
        </w:rPr>
        <w:t xml:space="preserve"> </w:t>
      </w:r>
      <w:r>
        <w:rPr>
          <w:rStyle w:val="90"/>
          <w:rFonts w:ascii="Times New Roman" w:hAnsi="Times New Roman" w:cs="Times New Roman"/>
          <w:sz w:val="24"/>
          <w:szCs w:val="24"/>
          <w:highlight w:val="none"/>
        </w:rPr>
        <w:t>intensity analysis of CD86</w:t>
      </w:r>
      <w:r>
        <w:rPr>
          <w:highlight w:val="none"/>
        </w:rPr>
        <w:t xml:space="preserve"> based on Fig. 6D</w:t>
      </w:r>
      <w:r>
        <w:rPr>
          <w:rStyle w:val="90"/>
          <w:rFonts w:ascii="Times New Roman" w:hAnsi="Times New Roman" w:cs="Times New Roman"/>
          <w:sz w:val="24"/>
          <w:szCs w:val="24"/>
          <w:highlight w:val="none"/>
        </w:rPr>
        <w:t>.</w:t>
      </w:r>
      <w:bookmarkEnd w:id="18"/>
      <w:r>
        <w:rPr>
          <w:highlight w:val="none"/>
        </w:rPr>
        <w:t xml:space="preserve"> Error bars </w:t>
      </w:r>
      <w:r>
        <w:t>present as mean ± SD (n = 6).</w:t>
      </w:r>
    </w:p>
    <w:p w14:paraId="772A5358">
      <w:pPr>
        <w:spacing w:line="480" w:lineRule="auto"/>
        <w:jc w:val="center"/>
        <w:rPr>
          <w:sz w:val="32"/>
        </w:rPr>
      </w:pPr>
    </w:p>
    <w:p w14:paraId="2DCC54C6">
      <w:pPr>
        <w:spacing w:line="480" w:lineRule="auto"/>
        <w:jc w:val="center"/>
        <w:rPr>
          <w:sz w:val="32"/>
        </w:rPr>
      </w:pPr>
    </w:p>
    <w:p w14:paraId="12DD08DF">
      <w:pPr>
        <w:spacing w:line="480" w:lineRule="auto"/>
        <w:jc w:val="center"/>
        <w:rPr>
          <w:sz w:val="32"/>
        </w:rPr>
      </w:pPr>
    </w:p>
    <w:p w14:paraId="44AA1DCA">
      <w:pPr>
        <w:spacing w:line="480" w:lineRule="auto"/>
        <w:jc w:val="center"/>
        <w:rPr>
          <w:sz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D45B2DC">
      <w:pPr>
        <w:spacing w:line="480" w:lineRule="auto"/>
        <w:jc w:val="center"/>
        <w:rPr>
          <w:sz w:val="32"/>
        </w:rPr>
      </w:pPr>
    </w:p>
    <w:p w14:paraId="05EB9205">
      <w:pPr>
        <w:spacing w:line="480" w:lineRule="auto"/>
        <w:jc w:val="center"/>
        <w:rPr>
          <w:sz w:val="32"/>
        </w:rPr>
      </w:pPr>
    </w:p>
    <w:p w14:paraId="6B458981">
      <w:pPr>
        <w:spacing w:line="480" w:lineRule="auto"/>
        <w:jc w:val="center"/>
        <w:rPr>
          <w:sz w:val="32"/>
        </w:rPr>
      </w:pPr>
    </w:p>
    <w:p w14:paraId="65B90AA1">
      <w:pPr>
        <w:spacing w:line="480" w:lineRule="auto"/>
        <w:jc w:val="center"/>
        <w:rPr>
          <w:sz w:val="32"/>
        </w:rPr>
      </w:pPr>
    </w:p>
    <w:p w14:paraId="06D9AA91">
      <w:pPr>
        <w:spacing w:line="480" w:lineRule="auto"/>
        <w:jc w:val="center"/>
        <w:rPr>
          <w:sz w:val="32"/>
        </w:rPr>
      </w:pPr>
      <w:r>
        <w:rPr>
          <w:sz w:val="32"/>
          <w:lang w:val="en-US" w:eastAsia="zh-CN"/>
        </w:rPr>
        <w:drawing>
          <wp:inline distT="0" distB="0" distL="0" distR="0">
            <wp:extent cx="5039995" cy="2524760"/>
            <wp:effectExtent l="0" t="0" r="8255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52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8B9C7">
      <w:pPr>
        <w:spacing w:line="480" w:lineRule="auto"/>
        <w:jc w:val="center"/>
        <w:rPr>
          <w:rStyle w:val="90"/>
          <w:rFonts w:ascii="Times New Roman" w:hAnsi="Times New Roman" w:cs="Times New Roman"/>
          <w:b/>
          <w:sz w:val="24"/>
          <w:szCs w:val="24"/>
        </w:rPr>
      </w:pPr>
      <w:bookmarkStart w:id="19" w:name="_Toc113910216"/>
    </w:p>
    <w:p w14:paraId="67713B9D">
      <w:pPr>
        <w:spacing w:line="480" w:lineRule="auto"/>
        <w:jc w:val="center"/>
      </w:pPr>
      <w:r>
        <w:rPr>
          <w:rStyle w:val="90"/>
          <w:rFonts w:ascii="Times New Roman" w:hAnsi="Times New Roman" w:cs="Times New Roman"/>
          <w:b/>
          <w:sz w:val="24"/>
          <w:szCs w:val="24"/>
          <w:highlight w:val="none"/>
        </w:rPr>
        <w:t>Fig. S22</w:t>
      </w:r>
      <w:r>
        <w:rPr>
          <w:rStyle w:val="90"/>
          <w:rFonts w:ascii="Times New Roman" w:hAnsi="Times New Roman" w:cs="Times New Roman"/>
          <w:sz w:val="24"/>
          <w:szCs w:val="24"/>
          <w:highlight w:val="none"/>
        </w:rPr>
        <w:t xml:space="preserve"> Biomedical blood index of tumor-bearing BALB/c mice</w:t>
      </w:r>
      <w:bookmarkEnd w:id="19"/>
      <w:r>
        <w:rPr>
          <w:rStyle w:val="90"/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highlight w:val="none"/>
        </w:rPr>
        <w:t xml:space="preserve">after treatment with </w:t>
      </w:r>
      <w:r>
        <w:t>saline and HFNP@GOX@PFC for 18 days</w:t>
      </w:r>
      <w:r>
        <w:rPr>
          <w:rStyle w:val="90"/>
          <w:rFonts w:ascii="Times New Roman" w:hAnsi="Times New Roman" w:cs="Times New Roman"/>
          <w:sz w:val="24"/>
          <w:szCs w:val="24"/>
        </w:rPr>
        <w:t>.</w:t>
      </w:r>
      <w:r>
        <w:t xml:space="preserve"> Error bars present as mean ± SD (n = 4).</w:t>
      </w:r>
    </w:p>
    <w:p w14:paraId="7E08E60D">
      <w:pPr>
        <w:spacing w:line="480" w:lineRule="auto"/>
        <w:jc w:val="center"/>
        <w:rPr>
          <w:sz w:val="32"/>
        </w:rPr>
      </w:pPr>
    </w:p>
    <w:p w14:paraId="366E6FC4">
      <w:pPr>
        <w:spacing w:line="480" w:lineRule="auto"/>
        <w:jc w:val="center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5C29389">
      <w:pPr>
        <w:spacing w:line="480" w:lineRule="auto"/>
        <w:jc w:val="center"/>
      </w:pPr>
    </w:p>
    <w:p w14:paraId="54A2C6BC">
      <w:pPr>
        <w:spacing w:line="480" w:lineRule="auto"/>
        <w:jc w:val="center"/>
      </w:pPr>
    </w:p>
    <w:p w14:paraId="03AEFD95">
      <w:pPr>
        <w:spacing w:line="480" w:lineRule="auto"/>
        <w:jc w:val="center"/>
      </w:pPr>
    </w:p>
    <w:p w14:paraId="6B42E417">
      <w:pPr>
        <w:spacing w:line="480" w:lineRule="auto"/>
        <w:jc w:val="center"/>
      </w:pPr>
    </w:p>
    <w:p w14:paraId="00353195">
      <w:pPr>
        <w:spacing w:line="480" w:lineRule="auto"/>
        <w:jc w:val="center"/>
      </w:pPr>
      <w:r>
        <w:rPr>
          <w:lang w:val="en-US" w:eastAsia="zh-CN"/>
        </w:rPr>
        <w:drawing>
          <wp:inline distT="0" distB="0" distL="0" distR="0">
            <wp:extent cx="5039995" cy="3117215"/>
            <wp:effectExtent l="0" t="0" r="825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11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A3E92">
      <w:pPr>
        <w:spacing w:line="480" w:lineRule="auto"/>
        <w:jc w:val="center"/>
        <w:rPr>
          <w:rStyle w:val="90"/>
          <w:rFonts w:ascii="Times New Roman" w:hAnsi="Times New Roman" w:cs="Times New Roman"/>
          <w:b/>
          <w:sz w:val="24"/>
          <w:szCs w:val="24"/>
        </w:rPr>
      </w:pPr>
      <w:bookmarkStart w:id="20" w:name="_Toc113910217"/>
    </w:p>
    <w:p w14:paraId="13BBD1E9">
      <w:pPr>
        <w:spacing w:line="480" w:lineRule="auto"/>
        <w:jc w:val="center"/>
        <w:rPr>
          <w:bCs/>
          <w:kern w:val="44"/>
        </w:rPr>
      </w:pPr>
      <w:r>
        <w:rPr>
          <w:rStyle w:val="90"/>
          <w:rFonts w:ascii="Times New Roman" w:hAnsi="Times New Roman" w:cs="Times New Roman"/>
          <w:b/>
          <w:sz w:val="24"/>
          <w:szCs w:val="24"/>
          <w:highlight w:val="none"/>
        </w:rPr>
        <w:t>Fig. S23</w:t>
      </w:r>
      <w:r>
        <w:rPr>
          <w:rStyle w:val="90"/>
          <w:rFonts w:ascii="Times New Roman" w:hAnsi="Times New Roman" w:cs="Times New Roman"/>
          <w:sz w:val="24"/>
          <w:szCs w:val="24"/>
          <w:highlight w:val="none"/>
        </w:rPr>
        <w:t xml:space="preserve"> H&amp;E staining for major tissues</w:t>
      </w:r>
      <w:bookmarkEnd w:id="20"/>
      <w:r>
        <w:rPr>
          <w:highlight w:val="none"/>
        </w:rPr>
        <w:t xml:space="preserve"> (heart, spleen, liver and kidney)</w:t>
      </w:r>
      <w:r>
        <w:rPr>
          <w:rStyle w:val="90"/>
          <w:rFonts w:ascii="Times New Roman" w:hAnsi="Times New Roman" w:cs="Times New Roman"/>
          <w:sz w:val="24"/>
          <w:szCs w:val="24"/>
          <w:highlight w:val="none"/>
        </w:rPr>
        <w:t xml:space="preserve">. Scale bar: </w:t>
      </w:r>
      <w:r>
        <w:rPr>
          <w:rStyle w:val="90"/>
          <w:rFonts w:ascii="Times New Roman" w:hAnsi="Times New Roman" w:cs="Times New Roman"/>
          <w:sz w:val="24"/>
          <w:szCs w:val="24"/>
        </w:rPr>
        <w:t>100 μm.</w:t>
      </w:r>
    </w:p>
    <w:p w14:paraId="277094A4">
      <w:pPr>
        <w:spacing w:line="480" w:lineRule="auto"/>
        <w:jc w:val="center"/>
      </w:pPr>
    </w:p>
    <w:p w14:paraId="250313E1">
      <w:pPr>
        <w:spacing w:line="480" w:lineRule="auto"/>
        <w:jc w:val="center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21E628D">
      <w:pPr>
        <w:spacing w:line="480" w:lineRule="auto"/>
        <w:jc w:val="center"/>
      </w:pPr>
    </w:p>
    <w:p w14:paraId="62B77D75">
      <w:pPr>
        <w:spacing w:line="480" w:lineRule="auto"/>
        <w:jc w:val="center"/>
      </w:pPr>
    </w:p>
    <w:p w14:paraId="3454E13A">
      <w:pPr>
        <w:spacing w:line="480" w:lineRule="auto"/>
        <w:jc w:val="center"/>
      </w:pPr>
    </w:p>
    <w:p w14:paraId="375131E2">
      <w:pPr>
        <w:spacing w:line="480" w:lineRule="auto"/>
        <w:jc w:val="center"/>
      </w:pPr>
    </w:p>
    <w:p w14:paraId="2508FAC9">
      <w:pPr>
        <w:spacing w:line="480" w:lineRule="auto"/>
        <w:jc w:val="center"/>
      </w:pPr>
    </w:p>
    <w:p w14:paraId="1404996F">
      <w:pPr>
        <w:spacing w:line="480" w:lineRule="auto"/>
        <w:jc w:val="center"/>
      </w:pPr>
    </w:p>
    <w:p w14:paraId="15C88C34">
      <w:pPr>
        <w:spacing w:line="480" w:lineRule="auto"/>
        <w:jc w:val="center"/>
      </w:pPr>
    </w:p>
    <w:p w14:paraId="1CB05BB1">
      <w:pPr>
        <w:spacing w:line="480" w:lineRule="auto"/>
        <w:jc w:val="center"/>
      </w:pPr>
    </w:p>
    <w:p w14:paraId="2AAF5C3B">
      <w:pPr>
        <w:spacing w:line="480" w:lineRule="auto"/>
        <w:jc w:val="center"/>
      </w:pPr>
    </w:p>
    <w:p w14:paraId="76DB4AF2">
      <w:pPr>
        <w:spacing w:line="360" w:lineRule="auto"/>
        <w:rPr>
          <w:rFonts w:eastAsiaTheme="minorEastAsia"/>
          <w:lang w:val="en-US" w:eastAsia="zh-CN"/>
        </w:rPr>
      </w:pPr>
    </w:p>
    <w:p w14:paraId="38852E2A">
      <w:pPr>
        <w:spacing w:line="360" w:lineRule="auto"/>
        <w:rPr>
          <w:rFonts w:eastAsiaTheme="minorEastAsia"/>
          <w:lang w:val="en-US" w:eastAsia="zh-CN"/>
        </w:rPr>
      </w:pPr>
    </w:p>
    <w:p w14:paraId="4E633BBF">
      <w:pPr>
        <w:spacing w:line="360" w:lineRule="auto"/>
        <w:rPr>
          <w:rFonts w:eastAsiaTheme="minorEastAsia"/>
          <w:lang w:val="en-US" w:eastAsia="zh-CN"/>
        </w:rPr>
      </w:pPr>
    </w:p>
    <w:p w14:paraId="729DC15F">
      <w:pPr>
        <w:spacing w:line="360" w:lineRule="auto"/>
        <w:rPr>
          <w:rFonts w:eastAsiaTheme="minorEastAsia"/>
          <w:lang w:val="en-US" w:eastAsia="zh-CN"/>
        </w:rPr>
      </w:pPr>
    </w:p>
    <w:p w14:paraId="72154165">
      <w:pPr>
        <w:spacing w:line="360" w:lineRule="auto"/>
        <w:jc w:val="center"/>
      </w:pPr>
      <w:r>
        <w:rPr>
          <w:rFonts w:eastAsiaTheme="minorEastAsia"/>
          <w:b/>
          <w:bCs/>
          <w:lang w:val="en-US" w:eastAsia="zh-CN"/>
        </w:rPr>
        <w:t>Table S1.</w:t>
      </w:r>
      <w:r>
        <w:rPr>
          <w:rFonts w:eastAsiaTheme="minorEastAsia"/>
          <w:lang w:val="en-US" w:eastAsia="zh-CN"/>
        </w:rPr>
        <w:t xml:space="preserve"> </w:t>
      </w:r>
      <w:r>
        <w:t>Primer sequences.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3548"/>
        <w:gridCol w:w="3969"/>
      </w:tblGrid>
      <w:tr w14:paraId="4B68B0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Borders>
              <w:top w:val="single" w:color="auto" w:sz="12" w:space="0"/>
              <w:bottom w:val="single" w:color="auto" w:sz="12" w:space="0"/>
            </w:tcBorders>
          </w:tcPr>
          <w:p w14:paraId="52588F89">
            <w:pPr>
              <w:spacing w:line="480" w:lineRule="auto"/>
              <w:jc w:val="center"/>
              <w:rPr>
                <w:rFonts w:ascii="Times New Roman" w:hAnsi="Times New Roman" w:cs="Times New Roman" w:eastAsiaTheme="minorEastAsia"/>
                <w:kern w:val="2"/>
              </w:rPr>
            </w:pPr>
            <w:r>
              <w:rPr>
                <w:rFonts w:ascii="Times New Roman" w:hAnsi="Times New Roman" w:cs="Times New Roman" w:eastAsiaTheme="minorEastAsia"/>
                <w:kern w:val="2"/>
              </w:rPr>
              <w:t>Gene</w:t>
            </w:r>
          </w:p>
        </w:tc>
        <w:tc>
          <w:tcPr>
            <w:tcW w:w="3548" w:type="dxa"/>
            <w:tcBorders>
              <w:top w:val="single" w:color="auto" w:sz="12" w:space="0"/>
              <w:bottom w:val="single" w:color="auto" w:sz="12" w:space="0"/>
            </w:tcBorders>
          </w:tcPr>
          <w:p w14:paraId="2A876C70">
            <w:pPr>
              <w:spacing w:line="480" w:lineRule="auto"/>
              <w:jc w:val="center"/>
              <w:rPr>
                <w:rFonts w:ascii="Times New Roman" w:hAnsi="Times New Roman" w:cs="Times New Roman" w:eastAsiaTheme="minorEastAsia"/>
                <w:kern w:val="2"/>
              </w:rPr>
            </w:pPr>
            <w:r>
              <w:rPr>
                <w:rFonts w:ascii="Times New Roman" w:hAnsi="Times New Roman" w:cs="Times New Roman" w:eastAsiaTheme="minorEastAsia"/>
                <w:kern w:val="2"/>
              </w:rPr>
              <w:t>Forward Primer (5’→3’)</w:t>
            </w:r>
          </w:p>
        </w:tc>
        <w:tc>
          <w:tcPr>
            <w:tcW w:w="3969" w:type="dxa"/>
            <w:tcBorders>
              <w:top w:val="single" w:color="auto" w:sz="12" w:space="0"/>
              <w:bottom w:val="single" w:color="auto" w:sz="12" w:space="0"/>
            </w:tcBorders>
          </w:tcPr>
          <w:p w14:paraId="2857CD38">
            <w:pPr>
              <w:spacing w:line="480" w:lineRule="auto"/>
              <w:jc w:val="center"/>
              <w:rPr>
                <w:rFonts w:ascii="Times New Roman" w:hAnsi="Times New Roman" w:cs="Times New Roman" w:eastAsiaTheme="minorEastAsia"/>
                <w:kern w:val="2"/>
              </w:rPr>
            </w:pPr>
            <w:r>
              <w:rPr>
                <w:rFonts w:ascii="Times New Roman" w:hAnsi="Times New Roman" w:cs="Times New Roman" w:eastAsiaTheme="minorEastAsia"/>
                <w:kern w:val="2"/>
              </w:rPr>
              <w:t>Reverse Primer (5’→3’)</w:t>
            </w:r>
          </w:p>
        </w:tc>
      </w:tr>
      <w:tr w14:paraId="709BBC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Borders>
              <w:top w:val="single" w:color="auto" w:sz="12" w:space="0"/>
            </w:tcBorders>
          </w:tcPr>
          <w:p w14:paraId="0A4B6321">
            <w:pPr>
              <w:spacing w:line="480" w:lineRule="auto"/>
              <w:jc w:val="center"/>
              <w:rPr>
                <w:rFonts w:ascii="Times New Roman" w:hAnsi="Times New Roman" w:cs="Times New Roman" w:eastAsiaTheme="minorEastAsia"/>
                <w:kern w:val="2"/>
              </w:rPr>
            </w:pPr>
            <w:r>
              <w:rPr>
                <w:rFonts w:ascii="Times New Roman" w:hAnsi="Times New Roman" w:cs="Times New Roman" w:eastAsiaTheme="minorEastAsia"/>
                <w:kern w:val="2"/>
              </w:rPr>
              <w:t>BCL-2</w:t>
            </w:r>
          </w:p>
        </w:tc>
        <w:tc>
          <w:tcPr>
            <w:tcW w:w="3548" w:type="dxa"/>
            <w:tcBorders>
              <w:top w:val="single" w:color="auto" w:sz="12" w:space="0"/>
            </w:tcBorders>
          </w:tcPr>
          <w:p w14:paraId="0926AD67">
            <w:pPr>
              <w:spacing w:line="480" w:lineRule="auto"/>
              <w:jc w:val="center"/>
              <w:rPr>
                <w:rFonts w:ascii="Times New Roman" w:hAnsi="Times New Roman" w:cs="Times New Roman" w:eastAsiaTheme="minorEastAsia"/>
                <w:kern w:val="2"/>
                <w:szCs w:val="21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Cs w:val="21"/>
              </w:rPr>
              <w:t>ATCGCCCTGTGGATGACTGA</w:t>
            </w:r>
          </w:p>
        </w:tc>
        <w:tc>
          <w:tcPr>
            <w:tcW w:w="3969" w:type="dxa"/>
            <w:tcBorders>
              <w:top w:val="single" w:color="auto" w:sz="12" w:space="0"/>
            </w:tcBorders>
          </w:tcPr>
          <w:p w14:paraId="2BD6F5AD">
            <w:pPr>
              <w:spacing w:line="480" w:lineRule="auto"/>
              <w:jc w:val="center"/>
              <w:rPr>
                <w:rFonts w:ascii="Times New Roman" w:hAnsi="Times New Roman" w:cs="Times New Roman" w:eastAsiaTheme="minorEastAsia"/>
                <w:kern w:val="2"/>
                <w:szCs w:val="21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Cs w:val="21"/>
              </w:rPr>
              <w:t>CAGAGACAGCCAGGAGAAATCA</w:t>
            </w:r>
          </w:p>
        </w:tc>
      </w:tr>
      <w:tr w14:paraId="126A76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219F0FC0">
            <w:pPr>
              <w:spacing w:line="480" w:lineRule="auto"/>
              <w:jc w:val="center"/>
              <w:rPr>
                <w:rFonts w:ascii="Times New Roman" w:hAnsi="Times New Roman" w:cs="Times New Roman" w:eastAsiaTheme="minorEastAsia"/>
                <w:kern w:val="2"/>
              </w:rPr>
            </w:pPr>
            <w:r>
              <w:rPr>
                <w:rFonts w:ascii="Times New Roman" w:hAnsi="Times New Roman" w:cs="Times New Roman" w:eastAsiaTheme="minorEastAsia"/>
                <w:kern w:val="2"/>
              </w:rPr>
              <w:t>BAX</w:t>
            </w:r>
          </w:p>
        </w:tc>
        <w:tc>
          <w:tcPr>
            <w:tcW w:w="3548" w:type="dxa"/>
          </w:tcPr>
          <w:p w14:paraId="6E2C0E64">
            <w:pPr>
              <w:spacing w:line="480" w:lineRule="auto"/>
              <w:jc w:val="center"/>
              <w:rPr>
                <w:rFonts w:ascii="Times New Roman" w:hAnsi="Times New Roman" w:cs="Times New Roman" w:eastAsiaTheme="minorEastAsia"/>
                <w:kern w:val="2"/>
                <w:szCs w:val="21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Cs w:val="21"/>
              </w:rPr>
              <w:t>TGCTAGCAAACTGGTGCTCA</w:t>
            </w:r>
          </w:p>
        </w:tc>
        <w:tc>
          <w:tcPr>
            <w:tcW w:w="3969" w:type="dxa"/>
          </w:tcPr>
          <w:p w14:paraId="2B3103C5">
            <w:pPr>
              <w:spacing w:line="480" w:lineRule="auto"/>
              <w:jc w:val="center"/>
              <w:rPr>
                <w:rFonts w:ascii="Times New Roman" w:hAnsi="Times New Roman" w:cs="Times New Roman" w:eastAsiaTheme="minorEastAsia"/>
                <w:kern w:val="2"/>
                <w:szCs w:val="21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Cs w:val="21"/>
              </w:rPr>
              <w:t>GGTCCCGAAGTAGGAGAGGA</w:t>
            </w:r>
          </w:p>
        </w:tc>
      </w:tr>
      <w:tr w14:paraId="5A662F1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1958C4F0">
            <w:pPr>
              <w:spacing w:line="480" w:lineRule="auto"/>
              <w:jc w:val="center"/>
              <w:rPr>
                <w:rFonts w:ascii="Times New Roman" w:hAnsi="Times New Roman" w:cs="Times New Roman" w:eastAsiaTheme="minorEastAsia"/>
                <w:kern w:val="2"/>
              </w:rPr>
            </w:pPr>
            <w:r>
              <w:rPr>
                <w:rFonts w:ascii="Times New Roman" w:hAnsi="Times New Roman" w:cs="Times New Roman" w:eastAsiaTheme="minorEastAsia"/>
                <w:kern w:val="2"/>
              </w:rPr>
              <w:t>Casp3</w:t>
            </w:r>
          </w:p>
        </w:tc>
        <w:tc>
          <w:tcPr>
            <w:tcW w:w="3548" w:type="dxa"/>
          </w:tcPr>
          <w:p w14:paraId="7D87F417">
            <w:pPr>
              <w:spacing w:line="480" w:lineRule="auto"/>
              <w:jc w:val="center"/>
              <w:rPr>
                <w:rFonts w:ascii="Times New Roman" w:hAnsi="Times New Roman" w:cs="Times New Roman" w:eastAsiaTheme="minorEastAsia"/>
                <w:kern w:val="2"/>
                <w:szCs w:val="21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Cs w:val="21"/>
              </w:rPr>
              <w:t>CATCTGCATCCGTCCTGA</w:t>
            </w:r>
          </w:p>
        </w:tc>
        <w:tc>
          <w:tcPr>
            <w:tcW w:w="3969" w:type="dxa"/>
          </w:tcPr>
          <w:p w14:paraId="63AC0C71">
            <w:pPr>
              <w:spacing w:line="480" w:lineRule="auto"/>
              <w:jc w:val="center"/>
              <w:rPr>
                <w:rFonts w:ascii="Times New Roman" w:hAnsi="Times New Roman" w:cs="Times New Roman" w:eastAsiaTheme="minorEastAsia"/>
                <w:kern w:val="2"/>
                <w:szCs w:val="21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Cs w:val="21"/>
              </w:rPr>
              <w:t>CTCTCGGCTGTGGTGGGTGAA</w:t>
            </w:r>
          </w:p>
        </w:tc>
      </w:tr>
      <w:tr w14:paraId="7A8293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Borders>
              <w:bottom w:val="nil"/>
            </w:tcBorders>
          </w:tcPr>
          <w:p w14:paraId="1D28FEEA">
            <w:pPr>
              <w:spacing w:line="480" w:lineRule="auto"/>
              <w:jc w:val="center"/>
              <w:rPr>
                <w:rFonts w:ascii="Times New Roman" w:hAnsi="Times New Roman" w:cs="Times New Roman" w:eastAsiaTheme="minorEastAsia"/>
                <w:kern w:val="2"/>
              </w:rPr>
            </w:pPr>
            <w:r>
              <w:rPr>
                <w:rFonts w:ascii="Times New Roman" w:hAnsi="Times New Roman" w:cs="Times New Roman" w:eastAsiaTheme="minorEastAsia"/>
                <w:kern w:val="2"/>
              </w:rPr>
              <w:t>CytC</w:t>
            </w:r>
          </w:p>
        </w:tc>
        <w:tc>
          <w:tcPr>
            <w:tcW w:w="3548" w:type="dxa"/>
            <w:tcBorders>
              <w:bottom w:val="nil"/>
            </w:tcBorders>
          </w:tcPr>
          <w:p w14:paraId="48C81905">
            <w:pPr>
              <w:spacing w:line="480" w:lineRule="auto"/>
              <w:jc w:val="center"/>
              <w:rPr>
                <w:rFonts w:ascii="Times New Roman" w:hAnsi="Times New Roman" w:cs="Times New Roman" w:eastAsiaTheme="minorEastAsia"/>
                <w:kern w:val="2"/>
                <w:szCs w:val="21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Cs w:val="21"/>
              </w:rPr>
              <w:t>CACCGACACCGGTACATAGG</w:t>
            </w:r>
          </w:p>
        </w:tc>
        <w:tc>
          <w:tcPr>
            <w:tcW w:w="3969" w:type="dxa"/>
            <w:tcBorders>
              <w:bottom w:val="nil"/>
            </w:tcBorders>
          </w:tcPr>
          <w:p w14:paraId="3F74AFA1">
            <w:pPr>
              <w:spacing w:line="480" w:lineRule="auto"/>
              <w:jc w:val="center"/>
              <w:rPr>
                <w:rFonts w:ascii="Times New Roman" w:hAnsi="Times New Roman" w:cs="Times New Roman" w:eastAsiaTheme="minorEastAsia"/>
                <w:kern w:val="2"/>
                <w:szCs w:val="21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Cs w:val="21"/>
              </w:rPr>
              <w:t>TCTCCCCAGGTGATGCCTTT</w:t>
            </w:r>
          </w:p>
        </w:tc>
      </w:tr>
      <w:tr w14:paraId="34961FF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tcBorders>
              <w:top w:val="nil"/>
              <w:bottom w:val="single" w:color="000000" w:themeColor="text1" w:sz="12" w:space="0"/>
            </w:tcBorders>
          </w:tcPr>
          <w:p w14:paraId="7E4F175B">
            <w:pPr>
              <w:spacing w:line="480" w:lineRule="auto"/>
              <w:jc w:val="center"/>
              <w:rPr>
                <w:rFonts w:ascii="Times New Roman" w:hAnsi="Times New Roman" w:cs="Times New Roman" w:eastAsiaTheme="minorEastAsia"/>
                <w:kern w:val="2"/>
              </w:rPr>
            </w:pPr>
            <w:r>
              <w:rPr>
                <w:rFonts w:ascii="Times New Roman" w:hAnsi="Times New Roman" w:cs="Times New Roman" w:eastAsiaTheme="minorEastAsia"/>
                <w:kern w:val="2"/>
              </w:rPr>
              <w:t>β-actin</w:t>
            </w:r>
          </w:p>
        </w:tc>
        <w:tc>
          <w:tcPr>
            <w:tcW w:w="3548" w:type="dxa"/>
            <w:tcBorders>
              <w:top w:val="nil"/>
              <w:bottom w:val="single" w:color="000000" w:themeColor="text1" w:sz="12" w:space="0"/>
            </w:tcBorders>
          </w:tcPr>
          <w:p w14:paraId="3B3FF7AB">
            <w:pPr>
              <w:spacing w:line="480" w:lineRule="auto"/>
              <w:jc w:val="center"/>
              <w:rPr>
                <w:rFonts w:ascii="Times New Roman" w:hAnsi="Times New Roman" w:cs="Times New Roman" w:eastAsiaTheme="minorEastAsia"/>
                <w:kern w:val="2"/>
                <w:szCs w:val="21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Cs w:val="21"/>
              </w:rPr>
              <w:t>GGTGTGATGGTGGGAATGGG</w:t>
            </w:r>
          </w:p>
        </w:tc>
        <w:tc>
          <w:tcPr>
            <w:tcW w:w="3969" w:type="dxa"/>
            <w:tcBorders>
              <w:top w:val="nil"/>
              <w:bottom w:val="single" w:color="000000" w:themeColor="text1" w:sz="12" w:space="0"/>
            </w:tcBorders>
          </w:tcPr>
          <w:p w14:paraId="200D2D78">
            <w:pPr>
              <w:spacing w:line="480" w:lineRule="auto"/>
              <w:jc w:val="center"/>
              <w:rPr>
                <w:rFonts w:ascii="Times New Roman" w:hAnsi="Times New Roman" w:cs="Times New Roman" w:eastAsiaTheme="minorEastAsia"/>
                <w:kern w:val="2"/>
                <w:szCs w:val="21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Cs w:val="21"/>
              </w:rPr>
              <w:t>ACGGTTGGCCTTAGGGTTCAG</w:t>
            </w:r>
          </w:p>
        </w:tc>
      </w:tr>
    </w:tbl>
    <w:p w14:paraId="7E5562F4">
      <w:pPr>
        <w:spacing w:line="480" w:lineRule="auto"/>
        <w:jc w:val="center"/>
      </w:pPr>
    </w:p>
    <w:p w14:paraId="2CC22021">
      <w:pPr>
        <w:spacing w:line="480" w:lineRule="auto"/>
        <w:jc w:val="center"/>
      </w:pPr>
    </w:p>
    <w:p w14:paraId="2E5764A3">
      <w:pPr>
        <w:spacing w:line="480" w:lineRule="auto"/>
        <w:jc w:val="center"/>
      </w:pPr>
    </w:p>
    <w:p w14:paraId="69BC821A">
      <w:pPr>
        <w:spacing w:line="480" w:lineRule="auto"/>
        <w:jc w:val="center"/>
      </w:pPr>
    </w:p>
    <w:p w14:paraId="479F45B1"/>
    <w:sectPr>
      <w:headerReference r:id="rId5" w:type="default"/>
      <w:footerReference r:id="rId6" w:type="default"/>
      <w:type w:val="continuous"/>
      <w:pgSz w:w="11906" w:h="16838"/>
      <w:pgMar w:top="1417" w:right="1417" w:bottom="1134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">
    <w:altName w:val="Good Times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Good Times">
    <w:panose1 w:val="00000400000000000000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94380774"/>
      <w:docPartObj>
        <w:docPartGallery w:val="autotext"/>
      </w:docPartObj>
    </w:sdtPr>
    <w:sdtContent>
      <w:p w14:paraId="67C99771">
        <w:pPr>
          <w:pStyle w:val="6"/>
          <w:jc w:val="center"/>
        </w:pPr>
        <w:r>
          <w:t>S</w:t>
        </w: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9</w:t>
        </w:r>
        <w:r>
          <w:fldChar w:fldCharType="end"/>
        </w:r>
      </w:p>
    </w:sdtContent>
  </w:sdt>
  <w:p w14:paraId="3BC3B067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5B96A1">
    <w:pPr>
      <w:pStyle w:val="6"/>
      <w:jc w:val="center"/>
    </w:pPr>
    <w:r>
      <w:t>S</w:t>
    </w:r>
    <w:r>
      <w:fldChar w:fldCharType="begin"/>
    </w:r>
    <w:r>
      <w:instrText xml:space="preserve">PAGE   \* MERGEFORMAT</w:instrText>
    </w:r>
    <w:r>
      <w:fldChar w:fldCharType="separate"/>
    </w:r>
    <w:r>
      <w:t>27</w:t>
    </w:r>
    <w:r>
      <w:fldChar w:fldCharType="end"/>
    </w:r>
  </w:p>
  <w:p w14:paraId="76AE581B">
    <w:pPr>
      <w:pStyle w:val="6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819941">
    <w:pPr>
      <w:pStyle w:val="7"/>
      <w:tabs>
        <w:tab w:val="left" w:pos="5003"/>
      </w:tabs>
      <w:jc w:val="right"/>
      <w:rPr>
        <w:lang w:val="en-US"/>
      </w:rPr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7A9236">
    <w:pPr>
      <w:pStyle w:val="7"/>
      <w:tabs>
        <w:tab w:val="left" w:pos="5003"/>
      </w:tabs>
      <w:jc w:val="right"/>
      <w:rPr>
        <w:lang w:val="en-US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removePersonalInformation/>
  <w:bordersDoNotSurroundHeader w:val="1"/>
  <w:bordersDoNotSurroundFooter w:val="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nforcement="0"/>
  <w:defaultTabStop w:val="708"/>
  <w:hyphenationZone w:val="425"/>
  <w:noPunctuationKerning w:val="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6A0"/>
    <w:rsid w:val="000003BB"/>
    <w:rsid w:val="0000374D"/>
    <w:rsid w:val="00004A23"/>
    <w:rsid w:val="00006A0A"/>
    <w:rsid w:val="0000703E"/>
    <w:rsid w:val="000112FC"/>
    <w:rsid w:val="000118B0"/>
    <w:rsid w:val="00011F40"/>
    <w:rsid w:val="0001454A"/>
    <w:rsid w:val="0001683C"/>
    <w:rsid w:val="000172E7"/>
    <w:rsid w:val="000214A8"/>
    <w:rsid w:val="00023F64"/>
    <w:rsid w:val="00027FB5"/>
    <w:rsid w:val="000314D2"/>
    <w:rsid w:val="0003318F"/>
    <w:rsid w:val="0004094E"/>
    <w:rsid w:val="00040B7B"/>
    <w:rsid w:val="00041C1B"/>
    <w:rsid w:val="000437F7"/>
    <w:rsid w:val="00046571"/>
    <w:rsid w:val="00050985"/>
    <w:rsid w:val="00052CF8"/>
    <w:rsid w:val="0005501E"/>
    <w:rsid w:val="00055883"/>
    <w:rsid w:val="0006044D"/>
    <w:rsid w:val="00060D37"/>
    <w:rsid w:val="00062324"/>
    <w:rsid w:val="00062F66"/>
    <w:rsid w:val="00063C0E"/>
    <w:rsid w:val="00072EA7"/>
    <w:rsid w:val="00076EAD"/>
    <w:rsid w:val="0008287E"/>
    <w:rsid w:val="00083031"/>
    <w:rsid w:val="0008740B"/>
    <w:rsid w:val="000904D3"/>
    <w:rsid w:val="0009309C"/>
    <w:rsid w:val="00093F1B"/>
    <w:rsid w:val="000A1F4B"/>
    <w:rsid w:val="000A21A9"/>
    <w:rsid w:val="000A3E93"/>
    <w:rsid w:val="000A472C"/>
    <w:rsid w:val="000A5773"/>
    <w:rsid w:val="000A682F"/>
    <w:rsid w:val="000B05A0"/>
    <w:rsid w:val="000B33EE"/>
    <w:rsid w:val="000B4293"/>
    <w:rsid w:val="000C259E"/>
    <w:rsid w:val="000C3E0C"/>
    <w:rsid w:val="000C6252"/>
    <w:rsid w:val="000C6F8A"/>
    <w:rsid w:val="000D2D4B"/>
    <w:rsid w:val="000D45F4"/>
    <w:rsid w:val="000D5AB4"/>
    <w:rsid w:val="000D66DB"/>
    <w:rsid w:val="000D7EBA"/>
    <w:rsid w:val="000E104B"/>
    <w:rsid w:val="000E788B"/>
    <w:rsid w:val="000E7A5B"/>
    <w:rsid w:val="000E7BBA"/>
    <w:rsid w:val="000F512F"/>
    <w:rsid w:val="001013F4"/>
    <w:rsid w:val="001054D4"/>
    <w:rsid w:val="0010686C"/>
    <w:rsid w:val="00107C5F"/>
    <w:rsid w:val="00107CCC"/>
    <w:rsid w:val="00110011"/>
    <w:rsid w:val="001105BD"/>
    <w:rsid w:val="00116C82"/>
    <w:rsid w:val="00120BE6"/>
    <w:rsid w:val="00120E85"/>
    <w:rsid w:val="00123ADA"/>
    <w:rsid w:val="00125573"/>
    <w:rsid w:val="0012642A"/>
    <w:rsid w:val="00126D17"/>
    <w:rsid w:val="001305BF"/>
    <w:rsid w:val="00131D58"/>
    <w:rsid w:val="001370B1"/>
    <w:rsid w:val="001377CA"/>
    <w:rsid w:val="00140B94"/>
    <w:rsid w:val="001450FB"/>
    <w:rsid w:val="0014658A"/>
    <w:rsid w:val="00147DB8"/>
    <w:rsid w:val="00151683"/>
    <w:rsid w:val="0015392F"/>
    <w:rsid w:val="0015563E"/>
    <w:rsid w:val="00155991"/>
    <w:rsid w:val="00155F66"/>
    <w:rsid w:val="0016390D"/>
    <w:rsid w:val="00164057"/>
    <w:rsid w:val="00165B37"/>
    <w:rsid w:val="001660F8"/>
    <w:rsid w:val="00170369"/>
    <w:rsid w:val="00173757"/>
    <w:rsid w:val="00174176"/>
    <w:rsid w:val="00181D92"/>
    <w:rsid w:val="001823B6"/>
    <w:rsid w:val="001848EB"/>
    <w:rsid w:val="00187DB9"/>
    <w:rsid w:val="0019077D"/>
    <w:rsid w:val="0019194D"/>
    <w:rsid w:val="0019723B"/>
    <w:rsid w:val="001A4240"/>
    <w:rsid w:val="001A6821"/>
    <w:rsid w:val="001A734D"/>
    <w:rsid w:val="001B4224"/>
    <w:rsid w:val="001B7472"/>
    <w:rsid w:val="001C10AC"/>
    <w:rsid w:val="001C55FB"/>
    <w:rsid w:val="001D12BC"/>
    <w:rsid w:val="001D561D"/>
    <w:rsid w:val="001E18CC"/>
    <w:rsid w:val="001E3D2D"/>
    <w:rsid w:val="001E4605"/>
    <w:rsid w:val="001E5F4E"/>
    <w:rsid w:val="001E689F"/>
    <w:rsid w:val="001F2689"/>
    <w:rsid w:val="001F2AB7"/>
    <w:rsid w:val="001F3C9B"/>
    <w:rsid w:val="001F3E77"/>
    <w:rsid w:val="001F4BD1"/>
    <w:rsid w:val="001F5110"/>
    <w:rsid w:val="001F5702"/>
    <w:rsid w:val="001F65A2"/>
    <w:rsid w:val="002002FC"/>
    <w:rsid w:val="00201F71"/>
    <w:rsid w:val="00203934"/>
    <w:rsid w:val="0020446B"/>
    <w:rsid w:val="00204BA7"/>
    <w:rsid w:val="002072AB"/>
    <w:rsid w:val="002100F0"/>
    <w:rsid w:val="00210140"/>
    <w:rsid w:val="00211942"/>
    <w:rsid w:val="00214D95"/>
    <w:rsid w:val="00215531"/>
    <w:rsid w:val="002162B2"/>
    <w:rsid w:val="00216F54"/>
    <w:rsid w:val="00220933"/>
    <w:rsid w:val="00220C72"/>
    <w:rsid w:val="0022540C"/>
    <w:rsid w:val="00226AA4"/>
    <w:rsid w:val="00233C8A"/>
    <w:rsid w:val="00236036"/>
    <w:rsid w:val="00240D90"/>
    <w:rsid w:val="00251FD7"/>
    <w:rsid w:val="00253CB1"/>
    <w:rsid w:val="002543F9"/>
    <w:rsid w:val="00257ADD"/>
    <w:rsid w:val="00263723"/>
    <w:rsid w:val="00263CF8"/>
    <w:rsid w:val="00265635"/>
    <w:rsid w:val="00266389"/>
    <w:rsid w:val="002675F7"/>
    <w:rsid w:val="002725A5"/>
    <w:rsid w:val="0027314F"/>
    <w:rsid w:val="0028289F"/>
    <w:rsid w:val="00284157"/>
    <w:rsid w:val="00285631"/>
    <w:rsid w:val="00290D94"/>
    <w:rsid w:val="0029203C"/>
    <w:rsid w:val="00294873"/>
    <w:rsid w:val="002A4A81"/>
    <w:rsid w:val="002A73A2"/>
    <w:rsid w:val="002A7CE8"/>
    <w:rsid w:val="002B0671"/>
    <w:rsid w:val="002B262F"/>
    <w:rsid w:val="002B3553"/>
    <w:rsid w:val="002B5E06"/>
    <w:rsid w:val="002C0CFF"/>
    <w:rsid w:val="002D09B9"/>
    <w:rsid w:val="002D16A0"/>
    <w:rsid w:val="002D2930"/>
    <w:rsid w:val="002D2DFF"/>
    <w:rsid w:val="002D30BC"/>
    <w:rsid w:val="002D3D6D"/>
    <w:rsid w:val="002D5BF8"/>
    <w:rsid w:val="002D7ECC"/>
    <w:rsid w:val="002E1B8F"/>
    <w:rsid w:val="002E2DEF"/>
    <w:rsid w:val="002E4E3E"/>
    <w:rsid w:val="002E76B2"/>
    <w:rsid w:val="002E79A2"/>
    <w:rsid w:val="002F077F"/>
    <w:rsid w:val="002F4F4B"/>
    <w:rsid w:val="002F55FD"/>
    <w:rsid w:val="002F594C"/>
    <w:rsid w:val="00301984"/>
    <w:rsid w:val="00301B0B"/>
    <w:rsid w:val="00301E84"/>
    <w:rsid w:val="00302E7A"/>
    <w:rsid w:val="00303D1B"/>
    <w:rsid w:val="003046B7"/>
    <w:rsid w:val="00307A1F"/>
    <w:rsid w:val="00313189"/>
    <w:rsid w:val="00317A57"/>
    <w:rsid w:val="00320A99"/>
    <w:rsid w:val="0032144B"/>
    <w:rsid w:val="00321E38"/>
    <w:rsid w:val="00322D5B"/>
    <w:rsid w:val="00325AC2"/>
    <w:rsid w:val="00326A1C"/>
    <w:rsid w:val="00327FDC"/>
    <w:rsid w:val="003360E3"/>
    <w:rsid w:val="003371D5"/>
    <w:rsid w:val="003376CD"/>
    <w:rsid w:val="003452C3"/>
    <w:rsid w:val="003501A7"/>
    <w:rsid w:val="0035048A"/>
    <w:rsid w:val="0036263B"/>
    <w:rsid w:val="00363B62"/>
    <w:rsid w:val="003645B0"/>
    <w:rsid w:val="00364B2C"/>
    <w:rsid w:val="003664F1"/>
    <w:rsid w:val="00367E3F"/>
    <w:rsid w:val="00377EA5"/>
    <w:rsid w:val="00377F77"/>
    <w:rsid w:val="00381E40"/>
    <w:rsid w:val="00383073"/>
    <w:rsid w:val="0038438F"/>
    <w:rsid w:val="00387C67"/>
    <w:rsid w:val="00387D98"/>
    <w:rsid w:val="00390B0F"/>
    <w:rsid w:val="00390B38"/>
    <w:rsid w:val="00390B6B"/>
    <w:rsid w:val="00391CFE"/>
    <w:rsid w:val="0039353B"/>
    <w:rsid w:val="00394F9E"/>
    <w:rsid w:val="00395426"/>
    <w:rsid w:val="00395B91"/>
    <w:rsid w:val="00396615"/>
    <w:rsid w:val="0039700D"/>
    <w:rsid w:val="00397089"/>
    <w:rsid w:val="003978A8"/>
    <w:rsid w:val="003A0F30"/>
    <w:rsid w:val="003A4C44"/>
    <w:rsid w:val="003A5085"/>
    <w:rsid w:val="003A5AD0"/>
    <w:rsid w:val="003A6CE3"/>
    <w:rsid w:val="003A7899"/>
    <w:rsid w:val="003B15EE"/>
    <w:rsid w:val="003B517D"/>
    <w:rsid w:val="003B60EC"/>
    <w:rsid w:val="003C00ED"/>
    <w:rsid w:val="003C1C0A"/>
    <w:rsid w:val="003C35DF"/>
    <w:rsid w:val="003C440A"/>
    <w:rsid w:val="003C4A68"/>
    <w:rsid w:val="003C554F"/>
    <w:rsid w:val="003C61DD"/>
    <w:rsid w:val="003D63E7"/>
    <w:rsid w:val="003E05F1"/>
    <w:rsid w:val="003E113B"/>
    <w:rsid w:val="003E5092"/>
    <w:rsid w:val="003E715D"/>
    <w:rsid w:val="003F103E"/>
    <w:rsid w:val="003F2E48"/>
    <w:rsid w:val="003F440C"/>
    <w:rsid w:val="003F525A"/>
    <w:rsid w:val="003F7BE6"/>
    <w:rsid w:val="004006A9"/>
    <w:rsid w:val="00401F86"/>
    <w:rsid w:val="00404548"/>
    <w:rsid w:val="004052AE"/>
    <w:rsid w:val="004118A5"/>
    <w:rsid w:val="00413672"/>
    <w:rsid w:val="00414041"/>
    <w:rsid w:val="00414465"/>
    <w:rsid w:val="00414729"/>
    <w:rsid w:val="00414C80"/>
    <w:rsid w:val="00414F4B"/>
    <w:rsid w:val="00415EF9"/>
    <w:rsid w:val="00416629"/>
    <w:rsid w:val="00417DA1"/>
    <w:rsid w:val="00423478"/>
    <w:rsid w:val="00425B76"/>
    <w:rsid w:val="004260A2"/>
    <w:rsid w:val="00426FC6"/>
    <w:rsid w:val="004273BC"/>
    <w:rsid w:val="00427BDA"/>
    <w:rsid w:val="00427C5F"/>
    <w:rsid w:val="00441EAC"/>
    <w:rsid w:val="004507E5"/>
    <w:rsid w:val="004519AD"/>
    <w:rsid w:val="0045459A"/>
    <w:rsid w:val="004545DB"/>
    <w:rsid w:val="0045786A"/>
    <w:rsid w:val="00460F76"/>
    <w:rsid w:val="00462F12"/>
    <w:rsid w:val="00463050"/>
    <w:rsid w:val="0046340F"/>
    <w:rsid w:val="00466168"/>
    <w:rsid w:val="0046778B"/>
    <w:rsid w:val="004714D4"/>
    <w:rsid w:val="00475712"/>
    <w:rsid w:val="00480CCE"/>
    <w:rsid w:val="00481EA8"/>
    <w:rsid w:val="00482FAA"/>
    <w:rsid w:val="00487211"/>
    <w:rsid w:val="0049075F"/>
    <w:rsid w:val="00492DA8"/>
    <w:rsid w:val="004A0888"/>
    <w:rsid w:val="004A43B6"/>
    <w:rsid w:val="004A70EE"/>
    <w:rsid w:val="004A774E"/>
    <w:rsid w:val="004A7D3E"/>
    <w:rsid w:val="004A7FF9"/>
    <w:rsid w:val="004B06EB"/>
    <w:rsid w:val="004B379D"/>
    <w:rsid w:val="004B5F0C"/>
    <w:rsid w:val="004B6031"/>
    <w:rsid w:val="004C046E"/>
    <w:rsid w:val="004C1609"/>
    <w:rsid w:val="004C216B"/>
    <w:rsid w:val="004C5DD3"/>
    <w:rsid w:val="004D30F9"/>
    <w:rsid w:val="004D4A32"/>
    <w:rsid w:val="004D64AB"/>
    <w:rsid w:val="004E1C2A"/>
    <w:rsid w:val="004E4833"/>
    <w:rsid w:val="004E677A"/>
    <w:rsid w:val="004E7CE8"/>
    <w:rsid w:val="004F271D"/>
    <w:rsid w:val="004F5114"/>
    <w:rsid w:val="004F756C"/>
    <w:rsid w:val="005001FA"/>
    <w:rsid w:val="005019AF"/>
    <w:rsid w:val="0050488D"/>
    <w:rsid w:val="00504D12"/>
    <w:rsid w:val="0050527A"/>
    <w:rsid w:val="0050535A"/>
    <w:rsid w:val="005106F5"/>
    <w:rsid w:val="00511192"/>
    <w:rsid w:val="005118AD"/>
    <w:rsid w:val="00512353"/>
    <w:rsid w:val="005220C2"/>
    <w:rsid w:val="00522E88"/>
    <w:rsid w:val="00523369"/>
    <w:rsid w:val="0052398F"/>
    <w:rsid w:val="00532960"/>
    <w:rsid w:val="00545A73"/>
    <w:rsid w:val="005464AF"/>
    <w:rsid w:val="00546DEB"/>
    <w:rsid w:val="00546F0F"/>
    <w:rsid w:val="005477E7"/>
    <w:rsid w:val="00550159"/>
    <w:rsid w:val="005511AE"/>
    <w:rsid w:val="00551897"/>
    <w:rsid w:val="00551FFD"/>
    <w:rsid w:val="00552A0F"/>
    <w:rsid w:val="005551ED"/>
    <w:rsid w:val="00556419"/>
    <w:rsid w:val="005572B4"/>
    <w:rsid w:val="005572DD"/>
    <w:rsid w:val="0055770D"/>
    <w:rsid w:val="00560564"/>
    <w:rsid w:val="00562E2B"/>
    <w:rsid w:val="00564668"/>
    <w:rsid w:val="00570353"/>
    <w:rsid w:val="005715F5"/>
    <w:rsid w:val="0057171E"/>
    <w:rsid w:val="00571EEC"/>
    <w:rsid w:val="00572666"/>
    <w:rsid w:val="0057267E"/>
    <w:rsid w:val="005726BD"/>
    <w:rsid w:val="00574A5A"/>
    <w:rsid w:val="005753B8"/>
    <w:rsid w:val="00583ED5"/>
    <w:rsid w:val="00587437"/>
    <w:rsid w:val="00592678"/>
    <w:rsid w:val="00594644"/>
    <w:rsid w:val="0059526F"/>
    <w:rsid w:val="00596F36"/>
    <w:rsid w:val="005A1741"/>
    <w:rsid w:val="005A235F"/>
    <w:rsid w:val="005A751F"/>
    <w:rsid w:val="005A7719"/>
    <w:rsid w:val="005A77C2"/>
    <w:rsid w:val="005B291B"/>
    <w:rsid w:val="005B76C5"/>
    <w:rsid w:val="005B7AF0"/>
    <w:rsid w:val="005B7B8A"/>
    <w:rsid w:val="005C09C6"/>
    <w:rsid w:val="005C458D"/>
    <w:rsid w:val="005C491E"/>
    <w:rsid w:val="005C5E0A"/>
    <w:rsid w:val="005C6C0C"/>
    <w:rsid w:val="005D2276"/>
    <w:rsid w:val="005D25FD"/>
    <w:rsid w:val="005D2808"/>
    <w:rsid w:val="005E0858"/>
    <w:rsid w:val="005E2794"/>
    <w:rsid w:val="005E3CBF"/>
    <w:rsid w:val="005E6F9D"/>
    <w:rsid w:val="005E7B5A"/>
    <w:rsid w:val="005F01FC"/>
    <w:rsid w:val="005F0C89"/>
    <w:rsid w:val="005F3701"/>
    <w:rsid w:val="005F41DF"/>
    <w:rsid w:val="005F4521"/>
    <w:rsid w:val="005F5478"/>
    <w:rsid w:val="006006FC"/>
    <w:rsid w:val="006045BA"/>
    <w:rsid w:val="0060583A"/>
    <w:rsid w:val="00611649"/>
    <w:rsid w:val="00611A0E"/>
    <w:rsid w:val="00614154"/>
    <w:rsid w:val="00614BD3"/>
    <w:rsid w:val="00623A77"/>
    <w:rsid w:val="006256F5"/>
    <w:rsid w:val="0063097B"/>
    <w:rsid w:val="006310FC"/>
    <w:rsid w:val="006364B8"/>
    <w:rsid w:val="00636A64"/>
    <w:rsid w:val="00636B93"/>
    <w:rsid w:val="00640550"/>
    <w:rsid w:val="00641F7D"/>
    <w:rsid w:val="0064326A"/>
    <w:rsid w:val="00644D5D"/>
    <w:rsid w:val="0064695B"/>
    <w:rsid w:val="00646DC7"/>
    <w:rsid w:val="00651189"/>
    <w:rsid w:val="006511FB"/>
    <w:rsid w:val="00651A9D"/>
    <w:rsid w:val="00654C93"/>
    <w:rsid w:val="00656092"/>
    <w:rsid w:val="0065741C"/>
    <w:rsid w:val="00660B85"/>
    <w:rsid w:val="006622E0"/>
    <w:rsid w:val="00662DCE"/>
    <w:rsid w:val="00664F6D"/>
    <w:rsid w:val="006650B8"/>
    <w:rsid w:val="00666329"/>
    <w:rsid w:val="006672EE"/>
    <w:rsid w:val="0067011F"/>
    <w:rsid w:val="0067015E"/>
    <w:rsid w:val="00680453"/>
    <w:rsid w:val="00681EC9"/>
    <w:rsid w:val="00682526"/>
    <w:rsid w:val="00683555"/>
    <w:rsid w:val="00686F1D"/>
    <w:rsid w:val="006879F2"/>
    <w:rsid w:val="00692F7A"/>
    <w:rsid w:val="00695E06"/>
    <w:rsid w:val="00696315"/>
    <w:rsid w:val="006A0D51"/>
    <w:rsid w:val="006A1C05"/>
    <w:rsid w:val="006A225B"/>
    <w:rsid w:val="006A30D2"/>
    <w:rsid w:val="006A5A6A"/>
    <w:rsid w:val="006A5FE3"/>
    <w:rsid w:val="006B23B2"/>
    <w:rsid w:val="006B4845"/>
    <w:rsid w:val="006B635C"/>
    <w:rsid w:val="006C1708"/>
    <w:rsid w:val="006C1C29"/>
    <w:rsid w:val="006C3782"/>
    <w:rsid w:val="006C3CDE"/>
    <w:rsid w:val="006C4745"/>
    <w:rsid w:val="006D0EE8"/>
    <w:rsid w:val="006D3162"/>
    <w:rsid w:val="006D37E7"/>
    <w:rsid w:val="006D5146"/>
    <w:rsid w:val="006D59D6"/>
    <w:rsid w:val="006D5C04"/>
    <w:rsid w:val="006D7508"/>
    <w:rsid w:val="006E0F2F"/>
    <w:rsid w:val="006E19D7"/>
    <w:rsid w:val="006E71B9"/>
    <w:rsid w:val="006F39B2"/>
    <w:rsid w:val="006F5384"/>
    <w:rsid w:val="006F6604"/>
    <w:rsid w:val="006F6896"/>
    <w:rsid w:val="006F71D8"/>
    <w:rsid w:val="006F7D1A"/>
    <w:rsid w:val="00702F6F"/>
    <w:rsid w:val="0070346C"/>
    <w:rsid w:val="007051A0"/>
    <w:rsid w:val="00706496"/>
    <w:rsid w:val="00706946"/>
    <w:rsid w:val="00711A12"/>
    <w:rsid w:val="00711F11"/>
    <w:rsid w:val="007154C4"/>
    <w:rsid w:val="00715DB9"/>
    <w:rsid w:val="007174BE"/>
    <w:rsid w:val="007218A0"/>
    <w:rsid w:val="007238AF"/>
    <w:rsid w:val="00726908"/>
    <w:rsid w:val="007270C7"/>
    <w:rsid w:val="00730F3A"/>
    <w:rsid w:val="00735F34"/>
    <w:rsid w:val="00736944"/>
    <w:rsid w:val="00741200"/>
    <w:rsid w:val="00741333"/>
    <w:rsid w:val="00742FF2"/>
    <w:rsid w:val="00744D6A"/>
    <w:rsid w:val="00746138"/>
    <w:rsid w:val="0074620A"/>
    <w:rsid w:val="00746BD4"/>
    <w:rsid w:val="00751D50"/>
    <w:rsid w:val="007527D5"/>
    <w:rsid w:val="00752F3C"/>
    <w:rsid w:val="00755A38"/>
    <w:rsid w:val="007561FC"/>
    <w:rsid w:val="00757AD0"/>
    <w:rsid w:val="00761D34"/>
    <w:rsid w:val="00762D2D"/>
    <w:rsid w:val="00764622"/>
    <w:rsid w:val="00764CAD"/>
    <w:rsid w:val="00770FA1"/>
    <w:rsid w:val="00773884"/>
    <w:rsid w:val="00774813"/>
    <w:rsid w:val="0078052A"/>
    <w:rsid w:val="007812FB"/>
    <w:rsid w:val="00782FCF"/>
    <w:rsid w:val="00784032"/>
    <w:rsid w:val="00786E79"/>
    <w:rsid w:val="00787925"/>
    <w:rsid w:val="00790E31"/>
    <w:rsid w:val="00791578"/>
    <w:rsid w:val="00793B87"/>
    <w:rsid w:val="0079566E"/>
    <w:rsid w:val="00796509"/>
    <w:rsid w:val="0079691E"/>
    <w:rsid w:val="00797723"/>
    <w:rsid w:val="007B1EEE"/>
    <w:rsid w:val="007B249B"/>
    <w:rsid w:val="007B6D4D"/>
    <w:rsid w:val="007B6FAF"/>
    <w:rsid w:val="007B7A09"/>
    <w:rsid w:val="007C0F7A"/>
    <w:rsid w:val="007D24A9"/>
    <w:rsid w:val="007D27FA"/>
    <w:rsid w:val="007D30B5"/>
    <w:rsid w:val="007D5F03"/>
    <w:rsid w:val="007D6218"/>
    <w:rsid w:val="007D6699"/>
    <w:rsid w:val="007D7E30"/>
    <w:rsid w:val="007E0A75"/>
    <w:rsid w:val="007E6419"/>
    <w:rsid w:val="007F6185"/>
    <w:rsid w:val="007F6815"/>
    <w:rsid w:val="007F6BA8"/>
    <w:rsid w:val="00804E1F"/>
    <w:rsid w:val="0080681B"/>
    <w:rsid w:val="0080738C"/>
    <w:rsid w:val="008078A1"/>
    <w:rsid w:val="00810B77"/>
    <w:rsid w:val="00817436"/>
    <w:rsid w:val="00820192"/>
    <w:rsid w:val="00822217"/>
    <w:rsid w:val="0082542D"/>
    <w:rsid w:val="00827834"/>
    <w:rsid w:val="00832835"/>
    <w:rsid w:val="00835110"/>
    <w:rsid w:val="008351FC"/>
    <w:rsid w:val="00841F50"/>
    <w:rsid w:val="00843A0E"/>
    <w:rsid w:val="00845DFE"/>
    <w:rsid w:val="00846E17"/>
    <w:rsid w:val="008501AF"/>
    <w:rsid w:val="0085200A"/>
    <w:rsid w:val="00853831"/>
    <w:rsid w:val="00854283"/>
    <w:rsid w:val="008573E3"/>
    <w:rsid w:val="00861E81"/>
    <w:rsid w:val="008639BD"/>
    <w:rsid w:val="008645FF"/>
    <w:rsid w:val="00866D42"/>
    <w:rsid w:val="0087030E"/>
    <w:rsid w:val="00870AAC"/>
    <w:rsid w:val="008734F7"/>
    <w:rsid w:val="00874E9F"/>
    <w:rsid w:val="00877842"/>
    <w:rsid w:val="008806F8"/>
    <w:rsid w:val="008808E2"/>
    <w:rsid w:val="00881456"/>
    <w:rsid w:val="00881ACB"/>
    <w:rsid w:val="00883B44"/>
    <w:rsid w:val="008851FC"/>
    <w:rsid w:val="00885FC9"/>
    <w:rsid w:val="00891328"/>
    <w:rsid w:val="00891A47"/>
    <w:rsid w:val="00892809"/>
    <w:rsid w:val="0089370F"/>
    <w:rsid w:val="008939AF"/>
    <w:rsid w:val="00893FED"/>
    <w:rsid w:val="0089449A"/>
    <w:rsid w:val="00895E48"/>
    <w:rsid w:val="00896687"/>
    <w:rsid w:val="008971F4"/>
    <w:rsid w:val="008A0E7D"/>
    <w:rsid w:val="008A3023"/>
    <w:rsid w:val="008A403F"/>
    <w:rsid w:val="008A6815"/>
    <w:rsid w:val="008B1031"/>
    <w:rsid w:val="008B2303"/>
    <w:rsid w:val="008B34A0"/>
    <w:rsid w:val="008B5740"/>
    <w:rsid w:val="008C0B84"/>
    <w:rsid w:val="008C41DA"/>
    <w:rsid w:val="008C553A"/>
    <w:rsid w:val="008C588E"/>
    <w:rsid w:val="008C6D5F"/>
    <w:rsid w:val="008C7226"/>
    <w:rsid w:val="008D06BD"/>
    <w:rsid w:val="008D7B80"/>
    <w:rsid w:val="008E243B"/>
    <w:rsid w:val="008E4184"/>
    <w:rsid w:val="008E549F"/>
    <w:rsid w:val="008E6301"/>
    <w:rsid w:val="008F0203"/>
    <w:rsid w:val="008F10BC"/>
    <w:rsid w:val="008F2052"/>
    <w:rsid w:val="008F26ED"/>
    <w:rsid w:val="008F2A38"/>
    <w:rsid w:val="008F3012"/>
    <w:rsid w:val="008F592B"/>
    <w:rsid w:val="00901D14"/>
    <w:rsid w:val="00903775"/>
    <w:rsid w:val="009109F7"/>
    <w:rsid w:val="00912137"/>
    <w:rsid w:val="00915BED"/>
    <w:rsid w:val="00916B64"/>
    <w:rsid w:val="0092145D"/>
    <w:rsid w:val="009245DE"/>
    <w:rsid w:val="00930762"/>
    <w:rsid w:val="00930C0C"/>
    <w:rsid w:val="00936B81"/>
    <w:rsid w:val="00944701"/>
    <w:rsid w:val="00950ED1"/>
    <w:rsid w:val="00952A7A"/>
    <w:rsid w:val="00953A02"/>
    <w:rsid w:val="0095444E"/>
    <w:rsid w:val="00955C67"/>
    <w:rsid w:val="00957B65"/>
    <w:rsid w:val="00960AFF"/>
    <w:rsid w:val="00963F62"/>
    <w:rsid w:val="00965EFC"/>
    <w:rsid w:val="0097161B"/>
    <w:rsid w:val="009719AB"/>
    <w:rsid w:val="009762D2"/>
    <w:rsid w:val="009762F1"/>
    <w:rsid w:val="0097692D"/>
    <w:rsid w:val="009776D2"/>
    <w:rsid w:val="00977EA8"/>
    <w:rsid w:val="0098140D"/>
    <w:rsid w:val="00981CED"/>
    <w:rsid w:val="00987225"/>
    <w:rsid w:val="00990870"/>
    <w:rsid w:val="00990DCF"/>
    <w:rsid w:val="009920F5"/>
    <w:rsid w:val="00992B56"/>
    <w:rsid w:val="00992CDA"/>
    <w:rsid w:val="00993342"/>
    <w:rsid w:val="00996CE4"/>
    <w:rsid w:val="009A0FB3"/>
    <w:rsid w:val="009A3F36"/>
    <w:rsid w:val="009A48D8"/>
    <w:rsid w:val="009A6C59"/>
    <w:rsid w:val="009A7878"/>
    <w:rsid w:val="009B0888"/>
    <w:rsid w:val="009B33DF"/>
    <w:rsid w:val="009B40AA"/>
    <w:rsid w:val="009B4270"/>
    <w:rsid w:val="009B44CC"/>
    <w:rsid w:val="009B5651"/>
    <w:rsid w:val="009B62E4"/>
    <w:rsid w:val="009B706A"/>
    <w:rsid w:val="009C4319"/>
    <w:rsid w:val="009D109E"/>
    <w:rsid w:val="009D1CD9"/>
    <w:rsid w:val="009D1F28"/>
    <w:rsid w:val="009D28E5"/>
    <w:rsid w:val="009D4830"/>
    <w:rsid w:val="009D520D"/>
    <w:rsid w:val="009D797A"/>
    <w:rsid w:val="009E026A"/>
    <w:rsid w:val="009E3B56"/>
    <w:rsid w:val="009E3CDF"/>
    <w:rsid w:val="009E49B5"/>
    <w:rsid w:val="009E551E"/>
    <w:rsid w:val="009E7066"/>
    <w:rsid w:val="009F1EF8"/>
    <w:rsid w:val="009F4604"/>
    <w:rsid w:val="009F4B78"/>
    <w:rsid w:val="009F606B"/>
    <w:rsid w:val="009F6E66"/>
    <w:rsid w:val="009F7888"/>
    <w:rsid w:val="00A02AC3"/>
    <w:rsid w:val="00A06840"/>
    <w:rsid w:val="00A06EAD"/>
    <w:rsid w:val="00A1293C"/>
    <w:rsid w:val="00A14F9B"/>
    <w:rsid w:val="00A167F1"/>
    <w:rsid w:val="00A2085F"/>
    <w:rsid w:val="00A20EC0"/>
    <w:rsid w:val="00A2150B"/>
    <w:rsid w:val="00A215D9"/>
    <w:rsid w:val="00A2292C"/>
    <w:rsid w:val="00A23FC3"/>
    <w:rsid w:val="00A253BF"/>
    <w:rsid w:val="00A254E9"/>
    <w:rsid w:val="00A25F1B"/>
    <w:rsid w:val="00A3288D"/>
    <w:rsid w:val="00A329DC"/>
    <w:rsid w:val="00A41135"/>
    <w:rsid w:val="00A41FEB"/>
    <w:rsid w:val="00A42FBA"/>
    <w:rsid w:val="00A44DA6"/>
    <w:rsid w:val="00A50921"/>
    <w:rsid w:val="00A5160D"/>
    <w:rsid w:val="00A56CA4"/>
    <w:rsid w:val="00A65F04"/>
    <w:rsid w:val="00A65F2E"/>
    <w:rsid w:val="00A7086D"/>
    <w:rsid w:val="00A71AD5"/>
    <w:rsid w:val="00A8073E"/>
    <w:rsid w:val="00A80883"/>
    <w:rsid w:val="00A810BB"/>
    <w:rsid w:val="00A81BED"/>
    <w:rsid w:val="00A82FC6"/>
    <w:rsid w:val="00A83890"/>
    <w:rsid w:val="00A85A0D"/>
    <w:rsid w:val="00A92270"/>
    <w:rsid w:val="00AA10AE"/>
    <w:rsid w:val="00AA329F"/>
    <w:rsid w:val="00AA7B6A"/>
    <w:rsid w:val="00AB593E"/>
    <w:rsid w:val="00AB5D37"/>
    <w:rsid w:val="00AB683F"/>
    <w:rsid w:val="00AC4003"/>
    <w:rsid w:val="00AC4A2E"/>
    <w:rsid w:val="00AD1885"/>
    <w:rsid w:val="00AD2271"/>
    <w:rsid w:val="00AD50BA"/>
    <w:rsid w:val="00AE02E7"/>
    <w:rsid w:val="00AE0F75"/>
    <w:rsid w:val="00AE319E"/>
    <w:rsid w:val="00AE3B2C"/>
    <w:rsid w:val="00AE3B4E"/>
    <w:rsid w:val="00AE676F"/>
    <w:rsid w:val="00AE709C"/>
    <w:rsid w:val="00AE7DD9"/>
    <w:rsid w:val="00AF2B38"/>
    <w:rsid w:val="00B004C1"/>
    <w:rsid w:val="00B0168B"/>
    <w:rsid w:val="00B03458"/>
    <w:rsid w:val="00B04B8E"/>
    <w:rsid w:val="00B1072F"/>
    <w:rsid w:val="00B15820"/>
    <w:rsid w:val="00B215D8"/>
    <w:rsid w:val="00B2218A"/>
    <w:rsid w:val="00B246ED"/>
    <w:rsid w:val="00B26DD0"/>
    <w:rsid w:val="00B31480"/>
    <w:rsid w:val="00B338C8"/>
    <w:rsid w:val="00B341CC"/>
    <w:rsid w:val="00B34D48"/>
    <w:rsid w:val="00B35321"/>
    <w:rsid w:val="00B35505"/>
    <w:rsid w:val="00B35CB3"/>
    <w:rsid w:val="00B35E0A"/>
    <w:rsid w:val="00B40124"/>
    <w:rsid w:val="00B40B86"/>
    <w:rsid w:val="00B42E03"/>
    <w:rsid w:val="00B443E2"/>
    <w:rsid w:val="00B446EC"/>
    <w:rsid w:val="00B46222"/>
    <w:rsid w:val="00B54092"/>
    <w:rsid w:val="00B5444C"/>
    <w:rsid w:val="00B5568B"/>
    <w:rsid w:val="00B557BF"/>
    <w:rsid w:val="00B55BD6"/>
    <w:rsid w:val="00B56147"/>
    <w:rsid w:val="00B5720A"/>
    <w:rsid w:val="00B604A0"/>
    <w:rsid w:val="00B60761"/>
    <w:rsid w:val="00B620A5"/>
    <w:rsid w:val="00B62BB1"/>
    <w:rsid w:val="00B63559"/>
    <w:rsid w:val="00B73979"/>
    <w:rsid w:val="00B751B0"/>
    <w:rsid w:val="00B762E0"/>
    <w:rsid w:val="00B86188"/>
    <w:rsid w:val="00B86C54"/>
    <w:rsid w:val="00B874C4"/>
    <w:rsid w:val="00B97AA2"/>
    <w:rsid w:val="00B97B8E"/>
    <w:rsid w:val="00BA00A8"/>
    <w:rsid w:val="00BA0378"/>
    <w:rsid w:val="00BA37A4"/>
    <w:rsid w:val="00BA4FB0"/>
    <w:rsid w:val="00BA6138"/>
    <w:rsid w:val="00BB1930"/>
    <w:rsid w:val="00BB3478"/>
    <w:rsid w:val="00BC2247"/>
    <w:rsid w:val="00BC5572"/>
    <w:rsid w:val="00BD497C"/>
    <w:rsid w:val="00BD57EE"/>
    <w:rsid w:val="00BE4E8A"/>
    <w:rsid w:val="00BF2A79"/>
    <w:rsid w:val="00BF375F"/>
    <w:rsid w:val="00C02372"/>
    <w:rsid w:val="00C044C3"/>
    <w:rsid w:val="00C10453"/>
    <w:rsid w:val="00C12E60"/>
    <w:rsid w:val="00C13BCA"/>
    <w:rsid w:val="00C141B9"/>
    <w:rsid w:val="00C158CF"/>
    <w:rsid w:val="00C16518"/>
    <w:rsid w:val="00C1787D"/>
    <w:rsid w:val="00C20F14"/>
    <w:rsid w:val="00C22B7C"/>
    <w:rsid w:val="00C23B8E"/>
    <w:rsid w:val="00C3184D"/>
    <w:rsid w:val="00C331FD"/>
    <w:rsid w:val="00C34DCB"/>
    <w:rsid w:val="00C36D0C"/>
    <w:rsid w:val="00C3708D"/>
    <w:rsid w:val="00C4138A"/>
    <w:rsid w:val="00C440B4"/>
    <w:rsid w:val="00C446F9"/>
    <w:rsid w:val="00C462CB"/>
    <w:rsid w:val="00C46F39"/>
    <w:rsid w:val="00C47AFE"/>
    <w:rsid w:val="00C5067F"/>
    <w:rsid w:val="00C515C3"/>
    <w:rsid w:val="00C51AA2"/>
    <w:rsid w:val="00C52E43"/>
    <w:rsid w:val="00C56CD4"/>
    <w:rsid w:val="00C609C3"/>
    <w:rsid w:val="00C60E16"/>
    <w:rsid w:val="00C65E4E"/>
    <w:rsid w:val="00C66610"/>
    <w:rsid w:val="00C66648"/>
    <w:rsid w:val="00C66FEF"/>
    <w:rsid w:val="00C70CB4"/>
    <w:rsid w:val="00C727A7"/>
    <w:rsid w:val="00C728D5"/>
    <w:rsid w:val="00C72CF7"/>
    <w:rsid w:val="00C75119"/>
    <w:rsid w:val="00C76DD6"/>
    <w:rsid w:val="00C81174"/>
    <w:rsid w:val="00C90B62"/>
    <w:rsid w:val="00C91C08"/>
    <w:rsid w:val="00C959F3"/>
    <w:rsid w:val="00C97F0E"/>
    <w:rsid w:val="00CA06AC"/>
    <w:rsid w:val="00CA1D9E"/>
    <w:rsid w:val="00CA242A"/>
    <w:rsid w:val="00CA27BD"/>
    <w:rsid w:val="00CA2AB6"/>
    <w:rsid w:val="00CA36DE"/>
    <w:rsid w:val="00CA4BCC"/>
    <w:rsid w:val="00CA5313"/>
    <w:rsid w:val="00CB01D6"/>
    <w:rsid w:val="00CB311E"/>
    <w:rsid w:val="00CB71E1"/>
    <w:rsid w:val="00CC0ED3"/>
    <w:rsid w:val="00CC1894"/>
    <w:rsid w:val="00CC2EE2"/>
    <w:rsid w:val="00CC3D03"/>
    <w:rsid w:val="00CC45DB"/>
    <w:rsid w:val="00CC5651"/>
    <w:rsid w:val="00CC5E5B"/>
    <w:rsid w:val="00CC73FF"/>
    <w:rsid w:val="00CD141E"/>
    <w:rsid w:val="00CD45DA"/>
    <w:rsid w:val="00CE2EA4"/>
    <w:rsid w:val="00CE5714"/>
    <w:rsid w:val="00CE6138"/>
    <w:rsid w:val="00CE6F59"/>
    <w:rsid w:val="00CE7AAB"/>
    <w:rsid w:val="00CF2673"/>
    <w:rsid w:val="00CF2DA1"/>
    <w:rsid w:val="00CF43B1"/>
    <w:rsid w:val="00CF63ED"/>
    <w:rsid w:val="00D0614B"/>
    <w:rsid w:val="00D06AD1"/>
    <w:rsid w:val="00D17549"/>
    <w:rsid w:val="00D24D97"/>
    <w:rsid w:val="00D275F5"/>
    <w:rsid w:val="00D376F1"/>
    <w:rsid w:val="00D43CA8"/>
    <w:rsid w:val="00D4523D"/>
    <w:rsid w:val="00D4593F"/>
    <w:rsid w:val="00D45BD4"/>
    <w:rsid w:val="00D4775B"/>
    <w:rsid w:val="00D47AB8"/>
    <w:rsid w:val="00D55D94"/>
    <w:rsid w:val="00D56566"/>
    <w:rsid w:val="00D647A4"/>
    <w:rsid w:val="00D6487A"/>
    <w:rsid w:val="00D648BB"/>
    <w:rsid w:val="00D64E04"/>
    <w:rsid w:val="00D65A5E"/>
    <w:rsid w:val="00D669D1"/>
    <w:rsid w:val="00D7049A"/>
    <w:rsid w:val="00D704F6"/>
    <w:rsid w:val="00D722B1"/>
    <w:rsid w:val="00D74A82"/>
    <w:rsid w:val="00D753F6"/>
    <w:rsid w:val="00D7737D"/>
    <w:rsid w:val="00D80897"/>
    <w:rsid w:val="00D81375"/>
    <w:rsid w:val="00D8540E"/>
    <w:rsid w:val="00D85C4D"/>
    <w:rsid w:val="00D8730B"/>
    <w:rsid w:val="00D9072A"/>
    <w:rsid w:val="00D94852"/>
    <w:rsid w:val="00DA039C"/>
    <w:rsid w:val="00DA10B4"/>
    <w:rsid w:val="00DA6EBE"/>
    <w:rsid w:val="00DB27CC"/>
    <w:rsid w:val="00DB2A54"/>
    <w:rsid w:val="00DB4EF9"/>
    <w:rsid w:val="00DC29FE"/>
    <w:rsid w:val="00DC430C"/>
    <w:rsid w:val="00DC58C8"/>
    <w:rsid w:val="00DC60FB"/>
    <w:rsid w:val="00DC7319"/>
    <w:rsid w:val="00DC742E"/>
    <w:rsid w:val="00DD2107"/>
    <w:rsid w:val="00DD38DC"/>
    <w:rsid w:val="00DD63FF"/>
    <w:rsid w:val="00DF1BBF"/>
    <w:rsid w:val="00DF3145"/>
    <w:rsid w:val="00DF4B0E"/>
    <w:rsid w:val="00E01E4B"/>
    <w:rsid w:val="00E062B0"/>
    <w:rsid w:val="00E06912"/>
    <w:rsid w:val="00E0711E"/>
    <w:rsid w:val="00E0770C"/>
    <w:rsid w:val="00E14DFA"/>
    <w:rsid w:val="00E17EA5"/>
    <w:rsid w:val="00E229DB"/>
    <w:rsid w:val="00E2571A"/>
    <w:rsid w:val="00E26EDC"/>
    <w:rsid w:val="00E2713C"/>
    <w:rsid w:val="00E30B42"/>
    <w:rsid w:val="00E32D04"/>
    <w:rsid w:val="00E342D7"/>
    <w:rsid w:val="00E34D1F"/>
    <w:rsid w:val="00E35C26"/>
    <w:rsid w:val="00E410EA"/>
    <w:rsid w:val="00E41D5C"/>
    <w:rsid w:val="00E437F7"/>
    <w:rsid w:val="00E45EBC"/>
    <w:rsid w:val="00E507AC"/>
    <w:rsid w:val="00E529F9"/>
    <w:rsid w:val="00E542D8"/>
    <w:rsid w:val="00E55017"/>
    <w:rsid w:val="00E55416"/>
    <w:rsid w:val="00E557D1"/>
    <w:rsid w:val="00E56282"/>
    <w:rsid w:val="00E616BF"/>
    <w:rsid w:val="00E658AA"/>
    <w:rsid w:val="00E6656A"/>
    <w:rsid w:val="00E70D30"/>
    <w:rsid w:val="00E716BA"/>
    <w:rsid w:val="00E75977"/>
    <w:rsid w:val="00E76431"/>
    <w:rsid w:val="00E7686D"/>
    <w:rsid w:val="00E813BA"/>
    <w:rsid w:val="00E8590C"/>
    <w:rsid w:val="00E85F76"/>
    <w:rsid w:val="00E93590"/>
    <w:rsid w:val="00E94506"/>
    <w:rsid w:val="00E95A7B"/>
    <w:rsid w:val="00E969E9"/>
    <w:rsid w:val="00EA01A0"/>
    <w:rsid w:val="00EA155A"/>
    <w:rsid w:val="00EA24D4"/>
    <w:rsid w:val="00EA2851"/>
    <w:rsid w:val="00EA3515"/>
    <w:rsid w:val="00EA55FE"/>
    <w:rsid w:val="00EB0B4F"/>
    <w:rsid w:val="00EB1B59"/>
    <w:rsid w:val="00EB4384"/>
    <w:rsid w:val="00EB6065"/>
    <w:rsid w:val="00EC0826"/>
    <w:rsid w:val="00EC4E99"/>
    <w:rsid w:val="00EC7E23"/>
    <w:rsid w:val="00ED3A21"/>
    <w:rsid w:val="00ED54F9"/>
    <w:rsid w:val="00ED6982"/>
    <w:rsid w:val="00EE0218"/>
    <w:rsid w:val="00EE0E54"/>
    <w:rsid w:val="00EE1033"/>
    <w:rsid w:val="00EE114E"/>
    <w:rsid w:val="00EF24BB"/>
    <w:rsid w:val="00EF2B90"/>
    <w:rsid w:val="00EF32F6"/>
    <w:rsid w:val="00EF4114"/>
    <w:rsid w:val="00EF448F"/>
    <w:rsid w:val="00EF4634"/>
    <w:rsid w:val="00EF472E"/>
    <w:rsid w:val="00EF4A5A"/>
    <w:rsid w:val="00EF4EC4"/>
    <w:rsid w:val="00EF5750"/>
    <w:rsid w:val="00EF66A9"/>
    <w:rsid w:val="00EF74D8"/>
    <w:rsid w:val="00F01898"/>
    <w:rsid w:val="00F05EE0"/>
    <w:rsid w:val="00F06985"/>
    <w:rsid w:val="00F07DE8"/>
    <w:rsid w:val="00F156B3"/>
    <w:rsid w:val="00F15FD8"/>
    <w:rsid w:val="00F21A1A"/>
    <w:rsid w:val="00F22813"/>
    <w:rsid w:val="00F22FC8"/>
    <w:rsid w:val="00F25140"/>
    <w:rsid w:val="00F27F36"/>
    <w:rsid w:val="00F32B8C"/>
    <w:rsid w:val="00F33383"/>
    <w:rsid w:val="00F33D5B"/>
    <w:rsid w:val="00F4030B"/>
    <w:rsid w:val="00F42F65"/>
    <w:rsid w:val="00F444F5"/>
    <w:rsid w:val="00F4602E"/>
    <w:rsid w:val="00F46BCF"/>
    <w:rsid w:val="00F515AF"/>
    <w:rsid w:val="00F53E05"/>
    <w:rsid w:val="00F5550A"/>
    <w:rsid w:val="00F55A56"/>
    <w:rsid w:val="00F56088"/>
    <w:rsid w:val="00F6031D"/>
    <w:rsid w:val="00F61303"/>
    <w:rsid w:val="00F65606"/>
    <w:rsid w:val="00F66614"/>
    <w:rsid w:val="00F67764"/>
    <w:rsid w:val="00F71232"/>
    <w:rsid w:val="00F72330"/>
    <w:rsid w:val="00F74722"/>
    <w:rsid w:val="00F75F45"/>
    <w:rsid w:val="00F819AB"/>
    <w:rsid w:val="00F82957"/>
    <w:rsid w:val="00F83BD2"/>
    <w:rsid w:val="00F857CA"/>
    <w:rsid w:val="00F922F8"/>
    <w:rsid w:val="00F92C2B"/>
    <w:rsid w:val="00F94241"/>
    <w:rsid w:val="00F945CD"/>
    <w:rsid w:val="00F9591E"/>
    <w:rsid w:val="00F95ECF"/>
    <w:rsid w:val="00F9792C"/>
    <w:rsid w:val="00F97AAA"/>
    <w:rsid w:val="00FA4AD8"/>
    <w:rsid w:val="00FB3597"/>
    <w:rsid w:val="00FB494C"/>
    <w:rsid w:val="00FB53CA"/>
    <w:rsid w:val="00FC3750"/>
    <w:rsid w:val="00FC487C"/>
    <w:rsid w:val="00FC51A5"/>
    <w:rsid w:val="00FC7F9F"/>
    <w:rsid w:val="00FD0B36"/>
    <w:rsid w:val="00FD168A"/>
    <w:rsid w:val="00FD3643"/>
    <w:rsid w:val="00FD553C"/>
    <w:rsid w:val="00FD6F5E"/>
    <w:rsid w:val="00FE087D"/>
    <w:rsid w:val="00FE133D"/>
    <w:rsid w:val="00FE2090"/>
    <w:rsid w:val="00FE359D"/>
    <w:rsid w:val="00FE47EA"/>
    <w:rsid w:val="00FE4D5F"/>
    <w:rsid w:val="00FE7BC4"/>
    <w:rsid w:val="00FF29D4"/>
    <w:rsid w:val="00FF388D"/>
    <w:rsid w:val="606A454D"/>
    <w:rsid w:val="75B1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MS Mincho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semiHidden="0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39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MS Mincho" w:cs="Times New Roman"/>
      <w:sz w:val="24"/>
      <w:szCs w:val="24"/>
      <w:lang w:val="de-DE" w:eastAsia="ja-JP" w:bidi="ar-SA"/>
    </w:rPr>
  </w:style>
  <w:style w:type="paragraph" w:styleId="2">
    <w:name w:val="heading 1"/>
    <w:basedOn w:val="1"/>
    <w:next w:val="1"/>
    <w:link w:val="90"/>
    <w:qFormat/>
    <w:uiPriority w:val="9"/>
    <w:pPr>
      <w:keepNext/>
      <w:keepLines/>
      <w:widowControl w:val="0"/>
      <w:spacing w:before="340" w:after="330" w:line="578" w:lineRule="auto"/>
      <w:jc w:val="center"/>
      <w:outlineLvl w:val="0"/>
    </w:pPr>
    <w:rPr>
      <w:rFonts w:asciiTheme="minorHAnsi" w:hAnsiTheme="minorHAnsi" w:eastAsiaTheme="minorEastAsia" w:cstheme="minorBidi"/>
      <w:bCs/>
      <w:kern w:val="44"/>
      <w:sz w:val="32"/>
      <w:szCs w:val="44"/>
      <w:lang w:val="en-US" w:eastAsia="zh-CN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56"/>
    <w:unhideWhenUsed/>
    <w:uiPriority w:val="99"/>
    <w:rPr>
      <w:sz w:val="20"/>
      <w:szCs w:val="20"/>
      <w:lang w:val="zh-CN"/>
    </w:rPr>
  </w:style>
  <w:style w:type="paragraph" w:styleId="4">
    <w:name w:val="Plain Text"/>
    <w:basedOn w:val="1"/>
    <w:link w:val="77"/>
    <w:semiHidden/>
    <w:unhideWhenUsed/>
    <w:qFormat/>
    <w:uiPriority w:val="99"/>
    <w:pPr>
      <w:widowControl w:val="0"/>
    </w:pPr>
    <w:rPr>
      <w:rFonts w:ascii="Calibri" w:hAnsi="Courier New" w:eastAsia="宋体" w:cs="Courier New"/>
      <w:kern w:val="2"/>
      <w:sz w:val="21"/>
      <w:szCs w:val="21"/>
      <w:lang w:val="en-US" w:eastAsia="zh-CN"/>
    </w:rPr>
  </w:style>
  <w:style w:type="paragraph" w:styleId="5">
    <w:name w:val="Balloon Text"/>
    <w:basedOn w:val="1"/>
    <w:link w:val="61"/>
    <w:semiHidden/>
    <w:qFormat/>
    <w:uiPriority w:val="99"/>
    <w:rPr>
      <w:rFonts w:ascii="Tahoma" w:hAnsi="Tahoma" w:cs="Tahoma"/>
      <w:sz w:val="16"/>
      <w:szCs w:val="16"/>
    </w:rPr>
  </w:style>
  <w:style w:type="paragraph" w:styleId="6">
    <w:name w:val="footer"/>
    <w:basedOn w:val="1"/>
    <w:link w:val="58"/>
    <w:qFormat/>
    <w:uiPriority w:val="99"/>
    <w:pPr>
      <w:tabs>
        <w:tab w:val="center" w:pos="4536"/>
        <w:tab w:val="right" w:pos="9072"/>
      </w:tabs>
    </w:pPr>
  </w:style>
  <w:style w:type="paragraph" w:styleId="7">
    <w:name w:val="header"/>
    <w:basedOn w:val="1"/>
    <w:link w:val="55"/>
    <w:uiPriority w:val="99"/>
    <w:pPr>
      <w:tabs>
        <w:tab w:val="center" w:pos="4536"/>
        <w:tab w:val="right" w:pos="9072"/>
      </w:tabs>
    </w:pPr>
    <w:rPr>
      <w:lang w:val="zh-CN"/>
    </w:rPr>
  </w:style>
  <w:style w:type="paragraph" w:styleId="8">
    <w:name w:val="toc 1"/>
    <w:basedOn w:val="1"/>
    <w:next w:val="1"/>
    <w:autoRedefine/>
    <w:unhideWhenUsed/>
    <w:qFormat/>
    <w:uiPriority w:val="39"/>
    <w:pPr>
      <w:widowControl w:val="0"/>
      <w:tabs>
        <w:tab w:val="right" w:leader="dot" w:pos="8296"/>
      </w:tabs>
      <w:spacing w:line="48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/>
    </w:rPr>
  </w:style>
  <w:style w:type="paragraph" w:styleId="9">
    <w:name w:val="footnote text"/>
    <w:basedOn w:val="1"/>
    <w:semiHidden/>
    <w:qFormat/>
    <w:uiPriority w:val="0"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paragraph" w:styleId="10">
    <w:name w:val="HTML Preformatted"/>
    <w:basedOn w:val="1"/>
    <w:link w:val="83"/>
    <w:semiHidden/>
    <w:unhideWhenUsed/>
    <w:qFormat/>
    <w:uiPriority w:val="99"/>
    <w:pPr>
      <w:widowControl w:val="0"/>
      <w:jc w:val="both"/>
    </w:pPr>
    <w:rPr>
      <w:rFonts w:ascii="Courier New" w:hAnsi="Courier New" w:eastAsia="宋体" w:cs="Courier New"/>
      <w:kern w:val="2"/>
      <w:sz w:val="20"/>
      <w:szCs w:val="20"/>
      <w:lang w:val="en-US" w:eastAsia="zh-CN"/>
    </w:rPr>
  </w:style>
  <w:style w:type="paragraph" w:styleId="11">
    <w:name w:val="Normal (Web)"/>
    <w:basedOn w:val="1"/>
    <w:semiHidden/>
    <w:unhideWhenUsed/>
    <w:uiPriority w:val="99"/>
    <w:pPr>
      <w:spacing w:before="100" w:beforeAutospacing="1" w:after="100" w:afterAutospacing="1"/>
    </w:pPr>
    <w:rPr>
      <w:rFonts w:ascii="宋体" w:hAnsi="宋体" w:eastAsia="宋体" w:cs="宋体"/>
      <w:lang w:val="en-US" w:eastAsia="zh-CN"/>
    </w:rPr>
  </w:style>
  <w:style w:type="paragraph" w:styleId="12">
    <w:name w:val="annotation subject"/>
    <w:basedOn w:val="3"/>
    <w:next w:val="3"/>
    <w:link w:val="57"/>
    <w:semiHidden/>
    <w:unhideWhenUsed/>
    <w:uiPriority w:val="99"/>
    <w:rPr>
      <w:b/>
      <w:bCs/>
    </w:rPr>
  </w:style>
  <w:style w:type="table" w:styleId="14">
    <w:name w:val="Table Grid"/>
    <w:basedOn w:val="13"/>
    <w:qFormat/>
    <w:uiPriority w:val="39"/>
    <w:rPr>
      <w:rFonts w:asciiTheme="minorHAnsi" w:hAnsiTheme="minorHAnsi" w:eastAsiaTheme="minorEastAsia" w:cstheme="minorBidi"/>
      <w:kern w:val="2"/>
      <w:sz w:val="21"/>
      <w:szCs w:val="22"/>
      <w:lang w:val="en-US" w:eastAsia="zh-C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FollowedHyperlink"/>
    <w:semiHidden/>
    <w:unhideWhenUsed/>
    <w:uiPriority w:val="99"/>
    <w:rPr>
      <w:color w:val="800080"/>
      <w:u w:val="single"/>
    </w:rPr>
  </w:style>
  <w:style w:type="character" w:styleId="17">
    <w:name w:val="Emphasis"/>
    <w:qFormat/>
    <w:uiPriority w:val="20"/>
    <w:rPr>
      <w:i/>
      <w:iCs/>
    </w:rPr>
  </w:style>
  <w:style w:type="character" w:styleId="18">
    <w:name w:val="Hyperlink"/>
    <w:unhideWhenUsed/>
    <w:qFormat/>
    <w:uiPriority w:val="99"/>
    <w:rPr>
      <w:color w:val="0000FF"/>
      <w:u w:val="single"/>
    </w:rPr>
  </w:style>
  <w:style w:type="character" w:styleId="19">
    <w:name w:val="annotation reference"/>
    <w:semiHidden/>
    <w:unhideWhenUsed/>
    <w:qFormat/>
    <w:uiPriority w:val="99"/>
    <w:rPr>
      <w:sz w:val="16"/>
      <w:szCs w:val="16"/>
    </w:rPr>
  </w:style>
  <w:style w:type="paragraph" w:customStyle="1" w:styleId="20">
    <w:name w:val="History"/>
    <w:basedOn w:val="1"/>
    <w:qFormat/>
    <w:uiPriority w:val="0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21">
    <w:name w:val="References"/>
    <w:basedOn w:val="1"/>
    <w:uiPriority w:val="0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22">
    <w:name w:val="HExperimental_Section"/>
    <w:basedOn w:val="1"/>
    <w:qFormat/>
    <w:uiPriority w:val="0"/>
    <w:pPr>
      <w:spacing w:before="460" w:after="230" w:line="230" w:lineRule="atLeast"/>
    </w:pPr>
    <w:rPr>
      <w:i/>
      <w:szCs w:val="20"/>
    </w:rPr>
  </w:style>
  <w:style w:type="paragraph" w:customStyle="1" w:styleId="23">
    <w:name w:val="ExperimentalSection"/>
    <w:basedOn w:val="1"/>
    <w:qFormat/>
    <w:uiPriority w:val="0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24">
    <w:name w:val="FNB"/>
    <w:basedOn w:val="1"/>
    <w:link w:val="25"/>
    <w:qFormat/>
    <w:uiPriority w:val="0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25">
    <w:name w:val="FNB Char"/>
    <w:link w:val="24"/>
    <w:qFormat/>
    <w:uiPriority w:val="0"/>
    <w:rPr>
      <w:rFonts w:ascii="Times" w:hAnsi="Times"/>
      <w:sz w:val="14"/>
      <w:szCs w:val="3276"/>
      <w:lang w:val="en-GB" w:eastAsia="de-DE" w:bidi="ar-SA"/>
    </w:rPr>
  </w:style>
  <w:style w:type="paragraph" w:customStyle="1" w:styleId="26">
    <w:name w:val="Ack"/>
    <w:basedOn w:val="1"/>
    <w:qFormat/>
    <w:uiPriority w:val="0"/>
  </w:style>
  <w:style w:type="paragraph" w:customStyle="1" w:styleId="27">
    <w:name w:val="TableCaption"/>
    <w:basedOn w:val="1"/>
    <w:qFormat/>
    <w:uiPriority w:val="0"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28">
    <w:name w:val="TableHead"/>
    <w:basedOn w:val="27"/>
    <w:qFormat/>
    <w:uiPriority w:val="0"/>
    <w:pPr>
      <w:pBdr>
        <w:top w:val="single" w:color="FFFFFF" w:sz="4" w:space="4"/>
        <w:left w:val="single" w:color="FFFFFF" w:sz="4" w:space="4"/>
        <w:bottom w:val="single" w:color="FFFFFF" w:sz="4" w:space="4"/>
        <w:right w:val="single" w:color="FFFFFF" w:sz="4" w:space="4"/>
      </w:pBdr>
      <w:spacing w:after="0"/>
    </w:pPr>
  </w:style>
  <w:style w:type="paragraph" w:customStyle="1" w:styleId="29">
    <w:name w:val="TableBody"/>
    <w:basedOn w:val="28"/>
    <w:qFormat/>
    <w:uiPriority w:val="0"/>
  </w:style>
  <w:style w:type="paragraph" w:customStyle="1" w:styleId="30">
    <w:name w:val="TableFoot"/>
    <w:basedOn w:val="29"/>
    <w:qFormat/>
    <w:uiPriority w:val="0"/>
    <w:pPr>
      <w:spacing w:before="60" w:after="60"/>
    </w:pPr>
  </w:style>
  <w:style w:type="paragraph" w:customStyle="1" w:styleId="31">
    <w:name w:val="SchemeCaption"/>
    <w:basedOn w:val="1"/>
    <w:qFormat/>
    <w:uiPriority w:val="0"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32">
    <w:name w:val="STOE"/>
    <w:basedOn w:val="1"/>
    <w:link w:val="33"/>
    <w:qFormat/>
    <w:uiPriority w:val="0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33">
    <w:name w:val="STOE Char1"/>
    <w:link w:val="32"/>
    <w:qFormat/>
    <w:uiPriority w:val="0"/>
    <w:rPr>
      <w:rFonts w:ascii="Times" w:hAnsi="Times"/>
      <w:sz w:val="18"/>
      <w:szCs w:val="3276"/>
      <w:lang w:val="en-GB" w:eastAsia="de-DE" w:bidi="ar-SA"/>
    </w:rPr>
  </w:style>
  <w:style w:type="paragraph" w:customStyle="1" w:styleId="34">
    <w:name w:val="Title1"/>
    <w:basedOn w:val="1"/>
    <w:qFormat/>
    <w:uiPriority w:val="0"/>
    <w:rPr>
      <w:b/>
      <w:lang w:val="en-US"/>
    </w:rPr>
  </w:style>
  <w:style w:type="paragraph" w:customStyle="1" w:styleId="35">
    <w:name w:val="Authors Full"/>
    <w:basedOn w:val="1"/>
    <w:qFormat/>
    <w:uiPriority w:val="0"/>
    <w:rPr>
      <w:i/>
      <w:lang w:val="en-US"/>
    </w:rPr>
  </w:style>
  <w:style w:type="paragraph" w:customStyle="1" w:styleId="36">
    <w:name w:val="dedication"/>
    <w:basedOn w:val="1"/>
    <w:qFormat/>
    <w:uiPriority w:val="0"/>
    <w:rPr>
      <w:i/>
      <w:lang w:val="en-US"/>
    </w:rPr>
  </w:style>
  <w:style w:type="paragraph" w:customStyle="1" w:styleId="37">
    <w:name w:val="Addresses"/>
    <w:basedOn w:val="1"/>
    <w:qFormat/>
    <w:uiPriority w:val="0"/>
    <w:rPr>
      <w:lang w:val="en-US"/>
    </w:rPr>
  </w:style>
  <w:style w:type="paragraph" w:customStyle="1" w:styleId="38">
    <w:name w:val="Acknowledgements"/>
    <w:basedOn w:val="1"/>
    <w:qFormat/>
    <w:uiPriority w:val="0"/>
    <w:rPr>
      <w:lang w:val="en-US"/>
    </w:rPr>
  </w:style>
  <w:style w:type="paragraph" w:customStyle="1" w:styleId="39">
    <w:name w:val="Abstract"/>
    <w:basedOn w:val="1"/>
    <w:autoRedefine/>
    <w:qFormat/>
    <w:uiPriority w:val="0"/>
    <w:pPr>
      <w:spacing w:line="480" w:lineRule="auto"/>
    </w:pPr>
    <w:rPr>
      <w:lang w:val="en-US"/>
    </w:rPr>
  </w:style>
  <w:style w:type="paragraph" w:customStyle="1" w:styleId="40">
    <w:name w:val="Head 1"/>
    <w:basedOn w:val="1"/>
    <w:autoRedefine/>
    <w:qFormat/>
    <w:uiPriority w:val="0"/>
    <w:pPr>
      <w:spacing w:line="360" w:lineRule="auto"/>
    </w:pPr>
    <w:rPr>
      <w:b/>
      <w:lang w:val="en-US"/>
    </w:rPr>
  </w:style>
  <w:style w:type="paragraph" w:customStyle="1" w:styleId="41">
    <w:name w:val="Head 2"/>
    <w:basedOn w:val="1"/>
    <w:autoRedefine/>
    <w:qFormat/>
    <w:uiPriority w:val="0"/>
    <w:pPr>
      <w:spacing w:line="360" w:lineRule="auto"/>
    </w:pPr>
    <w:rPr>
      <w:i/>
      <w:lang w:val="en-US"/>
    </w:rPr>
  </w:style>
  <w:style w:type="paragraph" w:customStyle="1" w:styleId="42">
    <w:name w:val="dates"/>
    <w:basedOn w:val="1"/>
    <w:qFormat/>
    <w:uiPriority w:val="0"/>
    <w:pPr>
      <w:jc w:val="right"/>
    </w:pPr>
    <w:rPr>
      <w:lang w:val="en-US"/>
    </w:rPr>
  </w:style>
  <w:style w:type="paragraph" w:customStyle="1" w:styleId="43">
    <w:name w:val="Literature"/>
    <w:basedOn w:val="1"/>
    <w:qFormat/>
    <w:uiPriority w:val="0"/>
    <w:pPr>
      <w:spacing w:line="480" w:lineRule="auto"/>
    </w:pPr>
  </w:style>
  <w:style w:type="paragraph" w:customStyle="1" w:styleId="44">
    <w:name w:val="Legend"/>
    <w:basedOn w:val="1"/>
    <w:qFormat/>
    <w:uiPriority w:val="0"/>
    <w:rPr>
      <w:lang w:val="en-US"/>
    </w:rPr>
  </w:style>
  <w:style w:type="paragraph" w:customStyle="1" w:styleId="45">
    <w:name w:val="Main Text"/>
    <w:basedOn w:val="1"/>
    <w:link w:val="49"/>
    <w:qFormat/>
    <w:uiPriority w:val="0"/>
    <w:pPr>
      <w:spacing w:line="480" w:lineRule="auto"/>
    </w:pPr>
    <w:rPr>
      <w:lang w:val="en-US"/>
    </w:rPr>
  </w:style>
  <w:style w:type="paragraph" w:customStyle="1" w:styleId="46">
    <w:name w:val="Table of contents"/>
    <w:basedOn w:val="1"/>
    <w:autoRedefine/>
    <w:qFormat/>
    <w:uiPriority w:val="0"/>
    <w:pPr>
      <w:spacing w:line="360" w:lineRule="auto"/>
      <w:jc w:val="center"/>
    </w:pPr>
    <w:rPr>
      <w:rFonts w:asciiTheme="minorHAnsi" w:hAnsiTheme="minorHAnsi" w:cstheme="minorHAnsi"/>
      <w:i/>
      <w:iCs/>
      <w:lang w:val="en-US"/>
    </w:rPr>
  </w:style>
  <w:style w:type="paragraph" w:customStyle="1" w:styleId="47">
    <w:name w:val="Experimental Text"/>
    <w:basedOn w:val="1"/>
    <w:link w:val="48"/>
    <w:qFormat/>
    <w:uiPriority w:val="0"/>
    <w:pPr>
      <w:spacing w:line="480" w:lineRule="auto"/>
    </w:pPr>
    <w:rPr>
      <w:lang w:val="en-US"/>
    </w:rPr>
  </w:style>
  <w:style w:type="character" w:customStyle="1" w:styleId="48">
    <w:name w:val="Experimental Text Char"/>
    <w:link w:val="47"/>
    <w:qFormat/>
    <w:uiPriority w:val="0"/>
    <w:rPr>
      <w:rFonts w:eastAsia="MS Mincho"/>
      <w:sz w:val="24"/>
      <w:szCs w:val="24"/>
      <w:lang w:val="en-US" w:eastAsia="ja-JP" w:bidi="ar-SA"/>
    </w:rPr>
  </w:style>
  <w:style w:type="character" w:customStyle="1" w:styleId="49">
    <w:name w:val="Main Text Char"/>
    <w:link w:val="45"/>
    <w:qFormat/>
    <w:uiPriority w:val="0"/>
    <w:rPr>
      <w:rFonts w:eastAsia="MS Mincho"/>
      <w:sz w:val="24"/>
      <w:szCs w:val="24"/>
      <w:lang w:val="en-US" w:eastAsia="ja-JP" w:bidi="ar-SA"/>
    </w:rPr>
  </w:style>
  <w:style w:type="paragraph" w:customStyle="1" w:styleId="50">
    <w:name w:val="Title2"/>
    <w:basedOn w:val="1"/>
    <w:qFormat/>
    <w:uiPriority w:val="0"/>
    <w:rPr>
      <w:b/>
      <w:lang w:val="en-US"/>
    </w:rPr>
  </w:style>
  <w:style w:type="paragraph" w:customStyle="1" w:styleId="51">
    <w:name w:val="Dedication"/>
    <w:basedOn w:val="1"/>
    <w:autoRedefine/>
    <w:qFormat/>
    <w:uiPriority w:val="0"/>
    <w:rPr>
      <w:lang w:val="en-US"/>
    </w:rPr>
  </w:style>
  <w:style w:type="paragraph" w:customStyle="1" w:styleId="52">
    <w:name w:val="Main text"/>
    <w:basedOn w:val="1"/>
    <w:link w:val="53"/>
    <w:autoRedefine/>
    <w:qFormat/>
    <w:uiPriority w:val="0"/>
    <w:pPr>
      <w:spacing w:line="480" w:lineRule="auto"/>
    </w:pPr>
    <w:rPr>
      <w:lang w:val="en-US"/>
    </w:rPr>
  </w:style>
  <w:style w:type="character" w:customStyle="1" w:styleId="53">
    <w:name w:val="Main text Char"/>
    <w:link w:val="52"/>
    <w:qFormat/>
    <w:uiPriority w:val="0"/>
    <w:rPr>
      <w:sz w:val="24"/>
      <w:szCs w:val="24"/>
      <w:lang w:val="en-US" w:eastAsia="ja-JP"/>
    </w:rPr>
  </w:style>
  <w:style w:type="paragraph" w:customStyle="1" w:styleId="54">
    <w:name w:val="Biography"/>
    <w:basedOn w:val="1"/>
    <w:autoRedefine/>
    <w:qFormat/>
    <w:uiPriority w:val="0"/>
    <w:rPr>
      <w:i/>
      <w:lang w:val="en-US"/>
    </w:rPr>
  </w:style>
  <w:style w:type="character" w:customStyle="1" w:styleId="55">
    <w:name w:val="页眉 字符1"/>
    <w:link w:val="7"/>
    <w:qFormat/>
    <w:uiPriority w:val="0"/>
    <w:rPr>
      <w:sz w:val="24"/>
      <w:szCs w:val="24"/>
      <w:lang w:eastAsia="ja-JP"/>
    </w:rPr>
  </w:style>
  <w:style w:type="character" w:customStyle="1" w:styleId="56">
    <w:name w:val="批注文字 字符1"/>
    <w:link w:val="3"/>
    <w:semiHidden/>
    <w:qFormat/>
    <w:uiPriority w:val="99"/>
    <w:rPr>
      <w:lang w:eastAsia="ja-JP"/>
    </w:rPr>
  </w:style>
  <w:style w:type="character" w:customStyle="1" w:styleId="57">
    <w:name w:val="批注主题 字符1"/>
    <w:link w:val="12"/>
    <w:semiHidden/>
    <w:qFormat/>
    <w:uiPriority w:val="99"/>
    <w:rPr>
      <w:b/>
      <w:bCs/>
      <w:lang w:eastAsia="ja-JP"/>
    </w:rPr>
  </w:style>
  <w:style w:type="character" w:customStyle="1" w:styleId="58">
    <w:name w:val="页脚 字符1"/>
    <w:link w:val="6"/>
    <w:uiPriority w:val="99"/>
    <w:rPr>
      <w:sz w:val="24"/>
      <w:szCs w:val="24"/>
      <w:lang w:eastAsia="ja-JP"/>
    </w:rPr>
  </w:style>
  <w:style w:type="character" w:customStyle="1" w:styleId="59">
    <w:name w:val="页眉 字符"/>
    <w:qFormat/>
    <w:uiPriority w:val="99"/>
    <w:rPr>
      <w:sz w:val="18"/>
      <w:szCs w:val="18"/>
    </w:rPr>
  </w:style>
  <w:style w:type="character" w:customStyle="1" w:styleId="60">
    <w:name w:val="页脚 字符"/>
    <w:qFormat/>
    <w:uiPriority w:val="99"/>
    <w:rPr>
      <w:sz w:val="18"/>
      <w:szCs w:val="18"/>
    </w:rPr>
  </w:style>
  <w:style w:type="character" w:customStyle="1" w:styleId="61">
    <w:name w:val="批注框文本 字符"/>
    <w:link w:val="5"/>
    <w:semiHidden/>
    <w:qFormat/>
    <w:uiPriority w:val="99"/>
    <w:rPr>
      <w:rFonts w:ascii="Tahoma" w:hAnsi="Tahoma" w:cs="Tahoma"/>
      <w:sz w:val="16"/>
      <w:szCs w:val="16"/>
      <w:lang w:val="de-DE" w:eastAsia="ja-JP"/>
    </w:rPr>
  </w:style>
  <w:style w:type="character" w:customStyle="1" w:styleId="62">
    <w:name w:val="apple-converted-space"/>
    <w:basedOn w:val="15"/>
    <w:qFormat/>
    <w:uiPriority w:val="0"/>
  </w:style>
  <w:style w:type="character" w:customStyle="1" w:styleId="63">
    <w:name w:val="hithilite"/>
    <w:basedOn w:val="15"/>
    <w:qFormat/>
    <w:uiPriority w:val="0"/>
  </w:style>
  <w:style w:type="paragraph" w:styleId="64">
    <w:name w:val="List Paragraph"/>
    <w:basedOn w:val="1"/>
    <w:qFormat/>
    <w:uiPriority w:val="34"/>
    <w:pPr>
      <w:widowControl w:val="0"/>
      <w:ind w:firstLine="420" w:firstLineChars="200"/>
      <w:jc w:val="both"/>
    </w:pPr>
    <w:rPr>
      <w:rFonts w:ascii="Calibri" w:hAnsi="Calibri" w:eastAsia="宋体"/>
      <w:kern w:val="2"/>
      <w:sz w:val="21"/>
      <w:szCs w:val="22"/>
      <w:lang w:val="en-US" w:eastAsia="zh-CN"/>
    </w:rPr>
  </w:style>
  <w:style w:type="character" w:customStyle="1" w:styleId="65">
    <w:name w:val="highlight"/>
    <w:basedOn w:val="15"/>
    <w:uiPriority w:val="0"/>
  </w:style>
  <w:style w:type="paragraph" w:customStyle="1" w:styleId="66">
    <w:name w:val="FA_Corresponding_Author_Footnote"/>
    <w:basedOn w:val="1"/>
    <w:next w:val="1"/>
    <w:link w:val="67"/>
    <w:qFormat/>
    <w:uiPriority w:val="0"/>
    <w:pPr>
      <w:spacing w:after="200" w:line="480" w:lineRule="auto"/>
    </w:pPr>
    <w:rPr>
      <w:rFonts w:ascii="Times" w:hAnsi="Times" w:eastAsia="宋体"/>
      <w:szCs w:val="20"/>
      <w:lang w:val="en-US" w:eastAsia="en-US"/>
    </w:rPr>
  </w:style>
  <w:style w:type="character" w:customStyle="1" w:styleId="67">
    <w:name w:val="FA_Corresponding_Author_Footnote Char"/>
    <w:link w:val="66"/>
    <w:qFormat/>
    <w:uiPriority w:val="0"/>
    <w:rPr>
      <w:rFonts w:ascii="Times" w:hAnsi="Times" w:eastAsia="宋体"/>
      <w:sz w:val="24"/>
      <w:lang w:val="en-US" w:eastAsia="en-US"/>
    </w:rPr>
  </w:style>
  <w:style w:type="character" w:customStyle="1" w:styleId="68">
    <w:name w:val="批注文字 字符"/>
    <w:qFormat/>
    <w:uiPriority w:val="99"/>
    <w:rPr>
      <w:kern w:val="2"/>
      <w:sz w:val="21"/>
      <w:szCs w:val="22"/>
    </w:rPr>
  </w:style>
  <w:style w:type="character" w:customStyle="1" w:styleId="69">
    <w:name w:val="批注主题 字符"/>
    <w:semiHidden/>
    <w:qFormat/>
    <w:uiPriority w:val="99"/>
    <w:rPr>
      <w:b/>
      <w:bCs/>
      <w:kern w:val="2"/>
      <w:sz w:val="21"/>
      <w:szCs w:val="22"/>
    </w:rPr>
  </w:style>
  <w:style w:type="character" w:styleId="70">
    <w:name w:val="Placeholder Text"/>
    <w:semiHidden/>
    <w:uiPriority w:val="99"/>
    <w:rPr>
      <w:color w:val="808080"/>
    </w:rPr>
  </w:style>
  <w:style w:type="paragraph" w:customStyle="1" w:styleId="71">
    <w:name w:val="BA_Title"/>
    <w:basedOn w:val="1"/>
    <w:next w:val="1"/>
    <w:qFormat/>
    <w:uiPriority w:val="99"/>
    <w:pPr>
      <w:spacing w:before="720" w:after="360" w:line="480" w:lineRule="auto"/>
      <w:jc w:val="center"/>
    </w:pPr>
    <w:rPr>
      <w:rFonts w:eastAsia="宋体"/>
      <w:sz w:val="44"/>
      <w:szCs w:val="20"/>
      <w:lang w:val="en-US" w:eastAsia="en-US"/>
    </w:rPr>
  </w:style>
  <w:style w:type="paragraph" w:customStyle="1" w:styleId="72">
    <w:name w:val="sourcetitle"/>
    <w:basedOn w:val="1"/>
    <w:qFormat/>
    <w:uiPriority w:val="0"/>
    <w:rPr>
      <w:rFonts w:ascii="宋体" w:hAnsi="宋体" w:eastAsia="宋体" w:cs="宋体"/>
      <w:b/>
      <w:bCs/>
      <w:lang w:val="en-US" w:eastAsia="zh-CN"/>
    </w:rPr>
  </w:style>
  <w:style w:type="paragraph" w:customStyle="1" w:styleId="73">
    <w:name w:val="fr_field"/>
    <w:basedOn w:val="1"/>
    <w:qFormat/>
    <w:uiPriority w:val="0"/>
    <w:pPr>
      <w:spacing w:after="30" w:line="330" w:lineRule="atLeast"/>
    </w:pPr>
    <w:rPr>
      <w:rFonts w:ascii="宋体" w:hAnsi="宋体" w:eastAsia="宋体" w:cs="宋体"/>
      <w:lang w:val="en-US" w:eastAsia="zh-CN"/>
    </w:rPr>
  </w:style>
  <w:style w:type="character" w:customStyle="1" w:styleId="74">
    <w:name w:val="fr_label1"/>
    <w:uiPriority w:val="0"/>
    <w:rPr>
      <w:b/>
      <w:bCs/>
    </w:rPr>
  </w:style>
  <w:style w:type="character" w:customStyle="1" w:styleId="75">
    <w:name w:val="hithilite3"/>
    <w:qFormat/>
    <w:uiPriority w:val="0"/>
    <w:rPr>
      <w:shd w:val="clear" w:color="auto" w:fill="FFFF00"/>
    </w:rPr>
  </w:style>
  <w:style w:type="character" w:customStyle="1" w:styleId="76">
    <w:name w:val="纯文本 Char"/>
    <w:basedOn w:val="15"/>
    <w:semiHidden/>
    <w:uiPriority w:val="99"/>
    <w:rPr>
      <w:rFonts w:ascii="宋体" w:hAnsi="Courier New" w:eastAsia="宋体" w:cs="Courier New"/>
      <w:sz w:val="21"/>
      <w:szCs w:val="21"/>
      <w:lang w:val="de-DE" w:eastAsia="ja-JP"/>
    </w:rPr>
  </w:style>
  <w:style w:type="character" w:customStyle="1" w:styleId="77">
    <w:name w:val="纯文本 字符"/>
    <w:link w:val="4"/>
    <w:semiHidden/>
    <w:qFormat/>
    <w:uiPriority w:val="99"/>
    <w:rPr>
      <w:rFonts w:ascii="Calibri" w:hAnsi="Courier New" w:eastAsia="宋体" w:cs="Courier New"/>
      <w:kern w:val="2"/>
      <w:sz w:val="21"/>
      <w:szCs w:val="21"/>
      <w:lang w:val="en-US" w:eastAsia="zh-CN"/>
    </w:rPr>
  </w:style>
  <w:style w:type="character" w:customStyle="1" w:styleId="78">
    <w:name w:val="未处理的提及1"/>
    <w:semiHidden/>
    <w:unhideWhenUsed/>
    <w:uiPriority w:val="99"/>
    <w:rPr>
      <w:color w:val="605E5C"/>
      <w:shd w:val="clear" w:color="auto" w:fill="E1DFDD"/>
    </w:rPr>
  </w:style>
  <w:style w:type="character" w:customStyle="1" w:styleId="79">
    <w:name w:val="06 C Heading"/>
    <w:qFormat/>
    <w:uiPriority w:val="1"/>
    <w:rPr>
      <w:rFonts w:ascii="Times New Roman" w:hAnsi="Times New Roman" w:cs="Times New Roman"/>
      <w:b/>
      <w:smallCaps/>
      <w:w w:val="108"/>
      <w:sz w:val="18"/>
      <w:szCs w:val="18"/>
    </w:rPr>
  </w:style>
  <w:style w:type="paragraph" w:customStyle="1" w:styleId="80">
    <w:name w:val="TA_Main_Text"/>
    <w:basedOn w:val="1"/>
    <w:qFormat/>
    <w:uiPriority w:val="0"/>
    <w:pPr>
      <w:spacing w:line="480" w:lineRule="auto"/>
      <w:ind w:firstLine="202"/>
      <w:jc w:val="both"/>
    </w:pPr>
    <w:rPr>
      <w:rFonts w:ascii="Times" w:hAnsi="Times" w:eastAsia="宋体"/>
      <w:szCs w:val="20"/>
      <w:lang w:val="en-US" w:eastAsia="en-US"/>
    </w:rPr>
  </w:style>
  <w:style w:type="character" w:customStyle="1" w:styleId="81">
    <w:name w:val="highwire-cite-metadata-journal"/>
    <w:basedOn w:val="15"/>
    <w:qFormat/>
    <w:uiPriority w:val="0"/>
  </w:style>
  <w:style w:type="character" w:customStyle="1" w:styleId="82">
    <w:name w:val="HTML 预设格式 Char"/>
    <w:basedOn w:val="15"/>
    <w:semiHidden/>
    <w:qFormat/>
    <w:uiPriority w:val="99"/>
    <w:rPr>
      <w:rFonts w:ascii="Courier New" w:hAnsi="Courier New" w:cs="Courier New"/>
      <w:lang w:val="de-DE" w:eastAsia="ja-JP"/>
    </w:rPr>
  </w:style>
  <w:style w:type="character" w:customStyle="1" w:styleId="83">
    <w:name w:val="HTML 预设格式 字符"/>
    <w:link w:val="10"/>
    <w:semiHidden/>
    <w:qFormat/>
    <w:uiPriority w:val="99"/>
    <w:rPr>
      <w:rFonts w:ascii="Courier New" w:hAnsi="Courier New" w:eastAsia="宋体" w:cs="Courier New"/>
      <w:kern w:val="2"/>
      <w:lang w:val="en-US" w:eastAsia="zh-CN"/>
    </w:rPr>
  </w:style>
  <w:style w:type="paragraph" w:customStyle="1" w:styleId="84">
    <w:name w:val="Revision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85">
    <w:name w:val="EndNote Bibliography Title"/>
    <w:basedOn w:val="1"/>
    <w:link w:val="86"/>
    <w:qFormat/>
    <w:uiPriority w:val="0"/>
    <w:pPr>
      <w:widowControl w:val="0"/>
      <w:jc w:val="center"/>
    </w:pPr>
    <w:rPr>
      <w:rFonts w:eastAsia="宋体"/>
      <w:kern w:val="2"/>
      <w:szCs w:val="22"/>
      <w:lang w:val="en-US" w:eastAsia="zh-CN"/>
    </w:rPr>
  </w:style>
  <w:style w:type="character" w:customStyle="1" w:styleId="86">
    <w:name w:val="EndNote Bibliography Title Char"/>
    <w:link w:val="85"/>
    <w:qFormat/>
    <w:uiPriority w:val="0"/>
    <w:rPr>
      <w:rFonts w:eastAsia="宋体"/>
      <w:kern w:val="2"/>
      <w:sz w:val="24"/>
      <w:szCs w:val="22"/>
      <w:lang w:val="en-US" w:eastAsia="zh-CN"/>
    </w:rPr>
  </w:style>
  <w:style w:type="paragraph" w:customStyle="1" w:styleId="87">
    <w:name w:val="EndNote Bibliography"/>
    <w:basedOn w:val="1"/>
    <w:link w:val="88"/>
    <w:qFormat/>
    <w:uiPriority w:val="0"/>
    <w:pPr>
      <w:widowControl w:val="0"/>
      <w:spacing w:line="480" w:lineRule="auto"/>
    </w:pPr>
    <w:rPr>
      <w:rFonts w:eastAsia="宋体"/>
      <w:kern w:val="2"/>
      <w:szCs w:val="22"/>
      <w:lang w:val="en-US" w:eastAsia="zh-CN"/>
    </w:rPr>
  </w:style>
  <w:style w:type="character" w:customStyle="1" w:styleId="88">
    <w:name w:val="EndNote Bibliography Char"/>
    <w:link w:val="87"/>
    <w:qFormat/>
    <w:uiPriority w:val="0"/>
    <w:rPr>
      <w:rFonts w:eastAsia="宋体"/>
      <w:kern w:val="2"/>
      <w:sz w:val="24"/>
      <w:szCs w:val="22"/>
      <w:lang w:val="en-US" w:eastAsia="zh-CN"/>
    </w:rPr>
  </w:style>
  <w:style w:type="character" w:customStyle="1" w:styleId="89">
    <w:name w:val="未处理的提及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90">
    <w:name w:val="标题 1 字符"/>
    <w:basedOn w:val="15"/>
    <w:link w:val="2"/>
    <w:qFormat/>
    <w:uiPriority w:val="9"/>
    <w:rPr>
      <w:rFonts w:asciiTheme="minorHAnsi" w:hAnsiTheme="minorHAnsi" w:eastAsiaTheme="minorEastAsia" w:cstheme="minorBidi"/>
      <w:bCs/>
      <w:kern w:val="44"/>
      <w:sz w:val="32"/>
      <w:szCs w:val="44"/>
      <w:lang w:val="en-US" w:eastAsia="zh-CN"/>
    </w:rPr>
  </w:style>
  <w:style w:type="paragraph" w:customStyle="1" w:styleId="91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Cs w:val="0"/>
      <w:color w:val="2F5597" w:themeColor="accent1" w:themeShade="BF"/>
      <w:kern w:val="0"/>
      <w:szCs w:val="32"/>
    </w:rPr>
  </w:style>
  <w:style w:type="character" w:customStyle="1" w:styleId="92">
    <w:name w:val="未处理的提及3"/>
    <w:basedOn w:val="1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9" Type="http://schemas.openxmlformats.org/officeDocument/2006/relationships/fontTable" Target="fontTable.xml"/><Relationship Id="rId38" Type="http://schemas.openxmlformats.org/officeDocument/2006/relationships/customXml" Target="../customXml/item6.xml"/><Relationship Id="rId37" Type="http://schemas.openxmlformats.org/officeDocument/2006/relationships/customXml" Target="../customXml/item5.xml"/><Relationship Id="rId36" Type="http://schemas.openxmlformats.org/officeDocument/2006/relationships/customXml" Target="../customXml/item4.xml"/><Relationship Id="rId35" Type="http://schemas.openxmlformats.org/officeDocument/2006/relationships/customXml" Target="../customXml/item3.xml"/><Relationship Id="rId34" Type="http://schemas.openxmlformats.org/officeDocument/2006/relationships/customXml" Target="../customXml/item2.xml"/><Relationship Id="rId33" Type="http://schemas.openxmlformats.org/officeDocument/2006/relationships/customXml" Target="../customXml/item1.xml"/><Relationship Id="rId32" Type="http://schemas.openxmlformats.org/officeDocument/2006/relationships/image" Target="media/image25.png"/><Relationship Id="rId31" Type="http://schemas.openxmlformats.org/officeDocument/2006/relationships/image" Target="media/image24.png"/><Relationship Id="rId30" Type="http://schemas.openxmlformats.org/officeDocument/2006/relationships/image" Target="media/image23.png"/><Relationship Id="rId3" Type="http://schemas.openxmlformats.org/officeDocument/2006/relationships/header" Target="header1.xml"/><Relationship Id="rId29" Type="http://schemas.openxmlformats.org/officeDocument/2006/relationships/image" Target="media/image22.png"/><Relationship Id="rId28" Type="http://schemas.openxmlformats.org/officeDocument/2006/relationships/image" Target="media/image21.png"/><Relationship Id="rId27" Type="http://schemas.openxmlformats.org/officeDocument/2006/relationships/image" Target="media/image20.png"/><Relationship Id="rId26" Type="http://schemas.openxmlformats.org/officeDocument/2006/relationships/image" Target="media/image19.png"/><Relationship Id="rId25" Type="http://schemas.openxmlformats.org/officeDocument/2006/relationships/image" Target="media/image18.png"/><Relationship Id="rId24" Type="http://schemas.openxmlformats.org/officeDocument/2006/relationships/image" Target="media/image17.png"/><Relationship Id="rId23" Type="http://schemas.openxmlformats.org/officeDocument/2006/relationships/image" Target="media/image16.tiff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tiff"/><Relationship Id="rId2" Type="http://schemas.openxmlformats.org/officeDocument/2006/relationships/settings" Target="settings.xml"/><Relationship Id="rId19" Type="http://schemas.openxmlformats.org/officeDocument/2006/relationships/image" Target="media/image12.tiff"/><Relationship Id="rId18" Type="http://schemas.openxmlformats.org/officeDocument/2006/relationships/image" Target="media/image11.tiff"/><Relationship Id="rId17" Type="http://schemas.openxmlformats.org/officeDocument/2006/relationships/image" Target="media/image10.tiff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tiff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446C3525B3CB46BD92ABA5C2617223" ma:contentTypeVersion="12" ma:contentTypeDescription="Ein neues Dokument erstellen." ma:contentTypeScope="" ma:versionID="ace6bbd061d3e3241e07436f437a906c">
  <xsd:schema xmlns:xsd="http://www.w3.org/2001/XMLSchema" xmlns:xs="http://www.w3.org/2001/XMLSchema" xmlns:p="http://schemas.microsoft.com/office/2006/metadata/properties" xmlns:ns2="981f2fdf-0e4d-4708-9882-12f25bf7d4fe" xmlns:ns3="4fe7dd48-639f-4daa-8770-f50527565b0b" targetNamespace="http://schemas.microsoft.com/office/2006/metadata/properties" ma:root="true" ma:fieldsID="645148a839964f4ba651d3ea90aa0208" ns2:_="" ns3:_="">
    <xsd:import namespace="981f2fdf-0e4d-4708-9882-12f25bf7d4fe"/>
    <xsd:import namespace="4fe7dd48-639f-4daa-8770-f50527565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f2fdf-0e4d-4708-9882-12f25bf7d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7dd48-639f-4daa-8770-f50527565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D19C85-73BE-4F5D-979F-58BFDE5BBE12}">
  <ds:schemaRefs/>
</ds:datastoreItem>
</file>

<file path=customXml/itemProps3.xml><?xml version="1.0" encoding="utf-8"?>
<ds:datastoreItem xmlns:ds="http://schemas.openxmlformats.org/officeDocument/2006/customXml" ds:itemID="{C86C925C-E763-4769-9959-2FEDA6D7CE8A}">
  <ds:schemaRefs/>
</ds:datastoreItem>
</file>

<file path=customXml/itemProps4.xml><?xml version="1.0" encoding="utf-8"?>
<ds:datastoreItem xmlns:ds="http://schemas.openxmlformats.org/officeDocument/2006/customXml" ds:itemID="{74E0FB23-98A6-49C4-81EE-75EA22075225}">
  <ds:schemaRefs/>
</ds:datastoreItem>
</file>

<file path=customXml/itemProps5.xml><?xml version="1.0" encoding="utf-8"?>
<ds:datastoreItem xmlns:ds="http://schemas.openxmlformats.org/officeDocument/2006/customXml" ds:itemID="{E3F19EBF-8207-4BE7-AD18-240ED1895C11}">
  <ds:schemaRefs/>
</ds:datastoreItem>
</file>

<file path=customXml/itemProps6.xml><?xml version="1.0" encoding="utf-8"?>
<ds:datastoreItem xmlns:ds="http://schemas.openxmlformats.org/officeDocument/2006/customXml" ds:itemID="{75886F76-A765-4714-B899-7AC2DC4334A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27</Pages>
  <Words>415</Words>
  <Characters>2131</Characters>
  <Lines>637</Lines>
  <Paragraphs>152</Paragraphs>
  <TotalTime>8</TotalTime>
  <ScaleCrop>false</ScaleCrop>
  <LinksUpToDate>false</LinksUpToDate>
  <CharactersWithSpaces>2512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2025-05-20T07:07:00Z</dcterms:created>
  <dcterms:modified xsi:type="dcterms:W3CDTF">2025-05-21T00:40:07Z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0x01010070446C3525B3CB46BD92ABA5C2617223</vt:lpwstr>
  </property>
  <property fmtid="{D5CDD505-2E9C-101B-9397-08002B2CF9AE}" pid="3" name="KSOTemplateDocerSaveRecord">
    <vt:lpwstr>eyJoZGlkIjoiZTNkNWZmYmEwYmM1YmZlNjhmMGRjNGFlN2YxMmFlNmMiLCJ1c2VySWQiOiI2NTkyODg0NjEifQ==</vt:lpwstr>
  </property>
  <property fmtid="{D5CDD505-2E9C-101B-9397-08002B2CF9AE}" pid="4" name="KSOProductBuildVer">
    <vt:lpwstr>2052-12.1.0.21171</vt:lpwstr>
  </property>
  <property fmtid="{D5CDD505-2E9C-101B-9397-08002B2CF9AE}" pid="5" name="ICV">
    <vt:lpwstr>36EEFBF0D7F54EFFB66B4B69F1C6C3A7_12</vt:lpwstr>
  </property>
</Properties>
</file>