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79A" w:rsidRDefault="00533AF7">
      <w:pPr>
        <w:spacing w:afterLines="100" w:after="312" w:line="360" w:lineRule="auto"/>
        <w:jc w:val="center"/>
        <w:rPr>
          <w:b/>
          <w:bCs/>
          <w:sz w:val="32"/>
          <w:szCs w:val="32"/>
        </w:rPr>
      </w:pPr>
      <w:bookmarkStart w:id="0" w:name="_GoBack"/>
      <w:bookmarkEnd w:id="0"/>
      <w:r>
        <w:rPr>
          <w:b/>
          <w:bCs/>
          <w:sz w:val="32"/>
          <w:szCs w:val="32"/>
        </w:rPr>
        <w:t>Additional Information</w:t>
      </w:r>
    </w:p>
    <w:p w:rsidR="00B9479A" w:rsidRDefault="00533AF7">
      <w:pPr>
        <w:spacing w:afterLines="100" w:after="312" w:line="480" w:lineRule="auto"/>
        <w:jc w:val="center"/>
        <w:rPr>
          <w:b/>
          <w:bCs/>
          <w:sz w:val="28"/>
          <w:szCs w:val="28"/>
        </w:rPr>
      </w:pPr>
      <w:r>
        <w:rPr>
          <w:b/>
          <w:bCs/>
          <w:sz w:val="28"/>
          <w:szCs w:val="28"/>
        </w:rPr>
        <w:t>A Versatile PDA(DOX) Nanoplatform for Chemo-Photothermal Synergistic Therapy against Breast Cancer and Attenuated Doxorubicin-Induced Cardiotoxicity</w:t>
      </w:r>
    </w:p>
    <w:p w:rsidR="00B9479A" w:rsidRDefault="00533AF7">
      <w:pPr>
        <w:spacing w:beforeLines="50" w:before="156" w:afterLines="50" w:after="156" w:line="360" w:lineRule="auto"/>
        <w:jc w:val="center"/>
      </w:pPr>
      <w:r>
        <w:t>Siqi Geng</w:t>
      </w:r>
      <w:r>
        <w:rPr>
          <w:vertAlign w:val="superscript"/>
        </w:rPr>
        <w:t xml:space="preserve"> 1, 2</w:t>
      </w:r>
      <w:r>
        <w:t xml:space="preserve">, Qiang Feng </w:t>
      </w:r>
      <w:r>
        <w:rPr>
          <w:vertAlign w:val="superscript"/>
        </w:rPr>
        <w:t>2</w:t>
      </w:r>
      <w:r>
        <w:t>, Chujie Wang</w:t>
      </w:r>
      <w:r>
        <w:rPr>
          <w:vertAlign w:val="superscript"/>
        </w:rPr>
        <w:t xml:space="preserve"> 2</w:t>
      </w:r>
      <w:r>
        <w:t>, Ying Li</w:t>
      </w:r>
      <w:r>
        <w:rPr>
          <w:vertAlign w:val="superscript"/>
        </w:rPr>
        <w:t xml:space="preserve"> 2</w:t>
      </w:r>
      <w:r>
        <w:t>, Jiaying Qin</w:t>
      </w:r>
      <w:r>
        <w:rPr>
          <w:vertAlign w:val="superscript"/>
        </w:rPr>
        <w:t xml:space="preserve"> 2</w:t>
      </w:r>
      <w:r>
        <w:t>, Mingsheng Hou</w:t>
      </w:r>
      <w:r>
        <w:rPr>
          <w:vertAlign w:val="superscript"/>
        </w:rPr>
        <w:t xml:space="preserve"> 3</w:t>
      </w:r>
      <w:r>
        <w:t>, Jiedong Zhou</w:t>
      </w:r>
      <w:r>
        <w:rPr>
          <w:vertAlign w:val="superscript"/>
        </w:rPr>
        <w:t xml:space="preserve"> 2</w:t>
      </w:r>
      <w:r>
        <w:t>, Xiaoyu Pan</w:t>
      </w:r>
      <w:r>
        <w:rPr>
          <w:vertAlign w:val="superscript"/>
        </w:rPr>
        <w:t xml:space="preserve"> 2</w:t>
      </w:r>
      <w:r>
        <w:t xml:space="preserve">, </w:t>
      </w:r>
    </w:p>
    <w:p w:rsidR="00B9479A" w:rsidRDefault="00533AF7">
      <w:pPr>
        <w:spacing w:afterLines="100" w:after="312" w:line="360" w:lineRule="auto"/>
        <w:jc w:val="center"/>
        <w:rPr>
          <w:szCs w:val="21"/>
        </w:rPr>
      </w:pPr>
      <w:r>
        <w:t xml:space="preserve">Fei Xu </w:t>
      </w:r>
      <w:r>
        <w:rPr>
          <w:vertAlign w:val="superscript"/>
        </w:rPr>
        <w:t>4</w:t>
      </w:r>
      <w:r>
        <w:t xml:space="preserve">, Baoru Fang </w:t>
      </w:r>
      <w:r>
        <w:rPr>
          <w:vertAlign w:val="superscript"/>
        </w:rPr>
        <w:t>1, 2</w:t>
      </w:r>
      <w:r>
        <w:t>, Ke Wang</w:t>
      </w:r>
      <w:r>
        <w:rPr>
          <w:vertAlign w:val="superscript"/>
        </w:rPr>
        <w:t xml:space="preserve"> 1, 2</w:t>
      </w:r>
      <w:r>
        <w:t xml:space="preserve">, Zhangsen Yu </w:t>
      </w:r>
      <w:r>
        <w:rPr>
          <w:vertAlign w:val="superscript"/>
        </w:rPr>
        <w:t>2,</w:t>
      </w:r>
      <w:r>
        <w:t xml:space="preserve"> </w:t>
      </w:r>
      <w:r>
        <w:rPr>
          <w:vertAlign w:val="superscript"/>
        </w:rPr>
        <w:t>1*</w:t>
      </w:r>
    </w:p>
    <w:p w:rsidR="00B9479A" w:rsidRDefault="00533AF7">
      <w:pPr>
        <w:spacing w:afterLines="50" w:after="156" w:line="360" w:lineRule="auto"/>
        <w:rPr>
          <w:i/>
        </w:rPr>
      </w:pPr>
      <w:r>
        <w:rPr>
          <w:i/>
          <w:vertAlign w:val="superscript"/>
        </w:rPr>
        <w:t>1</w:t>
      </w:r>
      <w:r>
        <w:rPr>
          <w:i/>
        </w:rPr>
        <w:t xml:space="preserve"> School of Life and Environmental Sciences, Shaoxing University, Shaoxing City, Zhejiang Province, 312000, P. R. China </w:t>
      </w:r>
    </w:p>
    <w:p w:rsidR="00B9479A" w:rsidRDefault="00533AF7">
      <w:pPr>
        <w:spacing w:afterLines="50" w:after="156" w:line="360" w:lineRule="auto"/>
        <w:rPr>
          <w:i/>
        </w:rPr>
      </w:pPr>
      <w:r>
        <w:rPr>
          <w:i/>
          <w:vertAlign w:val="superscript"/>
        </w:rPr>
        <w:t>2</w:t>
      </w:r>
      <w:r>
        <w:rPr>
          <w:i/>
        </w:rPr>
        <w:t xml:space="preserve"> Laboratory of Nanomedicine, Medical Science Research Center, School of Medicine, Shaoxing University, Shaoxing City, Zhejiang Province, 312000, P. R. China</w:t>
      </w:r>
    </w:p>
    <w:p w:rsidR="00B9479A" w:rsidRDefault="00533AF7">
      <w:pPr>
        <w:spacing w:afterLines="50" w:after="156" w:line="360" w:lineRule="auto"/>
        <w:rPr>
          <w:i/>
        </w:rPr>
      </w:pPr>
      <w:r>
        <w:rPr>
          <w:i/>
          <w:vertAlign w:val="superscript"/>
        </w:rPr>
        <w:t>3</w:t>
      </w:r>
      <w:r>
        <w:rPr>
          <w:i/>
        </w:rPr>
        <w:t xml:space="preserve"> Department of Pathology, Shaoxing Hospital of Traditional Chinese Medicine, Shaoxing City, Zhejiang Province, 312000, P. R. China</w:t>
      </w:r>
    </w:p>
    <w:p w:rsidR="00B9479A" w:rsidRDefault="00533AF7">
      <w:pPr>
        <w:spacing w:afterLines="50" w:after="156" w:line="360" w:lineRule="auto"/>
        <w:rPr>
          <w:i/>
        </w:rPr>
      </w:pPr>
      <w:r>
        <w:rPr>
          <w:i/>
          <w:vertAlign w:val="superscript"/>
        </w:rPr>
        <w:t>4</w:t>
      </w:r>
      <w:r>
        <w:rPr>
          <w:i/>
        </w:rPr>
        <w:t xml:space="preserve"> Department of Ultrasound, Affiliated Hospital of Shaoxing University, Shaoxing City, Zhejiang Province, 312000, P. R. China</w:t>
      </w:r>
    </w:p>
    <w:p w:rsidR="00B9479A" w:rsidRDefault="00533AF7">
      <w:pPr>
        <w:spacing w:beforeLines="50" w:before="156" w:afterLines="50" w:after="156" w:line="360" w:lineRule="auto"/>
      </w:pPr>
      <w:r>
        <w:rPr>
          <w:spacing w:val="-3"/>
          <w:sz w:val="22"/>
          <w:vertAlign w:val="superscript"/>
        </w:rPr>
        <w:t>*</w:t>
      </w:r>
      <w:r>
        <w:rPr>
          <w:spacing w:val="-3"/>
          <w:sz w:val="22"/>
        </w:rPr>
        <w:t xml:space="preserve"> </w:t>
      </w:r>
      <w:r>
        <w:rPr>
          <w:i/>
          <w:spacing w:val="-3"/>
          <w:sz w:val="22"/>
        </w:rPr>
        <w:t>Corresponding author:</w:t>
      </w:r>
      <w:r>
        <w:rPr>
          <w:iCs/>
        </w:rPr>
        <w:t xml:space="preserve"> </w:t>
      </w:r>
      <w:hyperlink r:id="rId7" w:history="1">
        <w:r>
          <w:rPr>
            <w:rStyle w:val="15"/>
            <w:iCs/>
          </w:rPr>
          <w:t>yzs@usx.edu.cn</w:t>
        </w:r>
      </w:hyperlink>
    </w:p>
    <w:p w:rsidR="00B9479A" w:rsidRDefault="00B9479A">
      <w:pPr>
        <w:spacing w:line="360" w:lineRule="auto"/>
        <w:rPr>
          <w:sz w:val="24"/>
          <w:szCs w:val="24"/>
        </w:rPr>
      </w:pPr>
    </w:p>
    <w:p w:rsidR="00B9479A" w:rsidRDefault="00533AF7">
      <w:pPr>
        <w:widowControl/>
        <w:jc w:val="left"/>
        <w:rPr>
          <w:b/>
          <w:bCs/>
          <w:sz w:val="24"/>
          <w:szCs w:val="24"/>
        </w:rPr>
      </w:pPr>
      <w:r>
        <w:rPr>
          <w:b/>
          <w:bCs/>
          <w:sz w:val="24"/>
          <w:szCs w:val="24"/>
        </w:rPr>
        <w:br w:type="page"/>
      </w:r>
    </w:p>
    <w:p w:rsidR="00B9479A" w:rsidRDefault="00622E0F">
      <w:pPr>
        <w:spacing w:beforeLines="50" w:before="156" w:afterLines="100" w:after="312" w:line="480" w:lineRule="auto"/>
        <w:rPr>
          <w:b/>
          <w:bCs/>
          <w:sz w:val="28"/>
          <w:szCs w:val="28"/>
        </w:rPr>
      </w:pPr>
      <w:r>
        <w:rPr>
          <w:b/>
          <w:bCs/>
          <w:sz w:val="28"/>
          <w:szCs w:val="28"/>
        </w:rPr>
        <w:t>S</w:t>
      </w:r>
      <w:r w:rsidR="00533AF7">
        <w:rPr>
          <w:rFonts w:hint="eastAsia"/>
          <w:b/>
          <w:bCs/>
          <w:sz w:val="28"/>
          <w:szCs w:val="28"/>
        </w:rPr>
        <w:t>1</w:t>
      </w:r>
      <w:r w:rsidR="00533AF7">
        <w:rPr>
          <w:b/>
          <w:bCs/>
          <w:sz w:val="28"/>
          <w:szCs w:val="28"/>
        </w:rPr>
        <w:t>.</w:t>
      </w:r>
      <w:r w:rsidR="00533AF7">
        <w:rPr>
          <w:rFonts w:hint="eastAsia"/>
          <w:b/>
          <w:bCs/>
          <w:sz w:val="28"/>
          <w:szCs w:val="28"/>
        </w:rPr>
        <w:t xml:space="preserve"> E</w:t>
      </w:r>
      <w:r w:rsidR="00533AF7">
        <w:rPr>
          <w:b/>
          <w:bCs/>
          <w:sz w:val="28"/>
          <w:szCs w:val="28"/>
        </w:rPr>
        <w:t>xperimental Section</w:t>
      </w:r>
    </w:p>
    <w:p w:rsidR="00B9479A" w:rsidRDefault="00622E0F">
      <w:pPr>
        <w:spacing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.1. M</w:t>
      </w:r>
      <w:r w:rsidR="00533AF7">
        <w:rPr>
          <w:rFonts w:hint="eastAsia"/>
          <w:b/>
          <w:bCs/>
          <w:sz w:val="24"/>
          <w:szCs w:val="24"/>
        </w:rPr>
        <w:t>aterials</w:t>
      </w:r>
      <w:r w:rsidR="00533AF7">
        <w:rPr>
          <w:b/>
          <w:bCs/>
          <w:sz w:val="24"/>
          <w:szCs w:val="24"/>
        </w:rPr>
        <w:t>, cell lines, and animal models</w:t>
      </w:r>
    </w:p>
    <w:p w:rsidR="00B9479A" w:rsidRDefault="00533AF7">
      <w:pPr>
        <w:spacing w:line="480" w:lineRule="auto"/>
        <w:ind w:firstLineChars="200" w:firstLine="480"/>
        <w:rPr>
          <w:sz w:val="24"/>
          <w:szCs w:val="24"/>
        </w:rPr>
      </w:pPr>
      <w:r>
        <w:rPr>
          <w:sz w:val="24"/>
          <w:szCs w:val="24"/>
        </w:rPr>
        <w:t xml:space="preserve">Dopamine hydrochloride (98%), Doxorubicin hydrochloride (98%), Ammonium hydroxide solution (28 wt %), and Thiazoly blue tetrazolium bromide (98%) were purchased from Aladdin Ltd. (Shanghai, China). The total superoxide dismutase assay kit with WST-8, total antioxidant capacity assay kit with a rapid ABTS method, enhanced </w:t>
      </w:r>
      <w:r>
        <w:rPr>
          <w:rFonts w:hint="eastAsia"/>
          <w:sz w:val="24"/>
          <w:szCs w:val="24"/>
        </w:rPr>
        <w:t>cell</w:t>
      </w:r>
      <w:r>
        <w:rPr>
          <w:sz w:val="24"/>
          <w:szCs w:val="24"/>
        </w:rPr>
        <w:t xml:space="preserve"> mitochondrial membrane potential assay kit with JC-1, one-step TUNEL apoptosis assay kit, DAPI staining solution, cell plasma membrane staining kit with DiO, </w:t>
      </w:r>
      <w:r>
        <w:rPr>
          <w:rFonts w:eastAsia="Microsoft YaHei"/>
          <w:sz w:val="24"/>
          <w:szCs w:val="24"/>
          <w:shd w:val="clear" w:color="auto" w:fill="FFFFFF"/>
        </w:rPr>
        <w:t>4% Paraformaldehyde Fix Solution</w:t>
      </w:r>
      <w:r>
        <w:rPr>
          <w:sz w:val="24"/>
          <w:szCs w:val="24"/>
        </w:rPr>
        <w:t xml:space="preserve">, </w:t>
      </w:r>
      <w:r>
        <w:rPr>
          <w:rFonts w:hint="eastAsia"/>
          <w:sz w:val="24"/>
          <w:szCs w:val="24"/>
        </w:rPr>
        <w:t>a</w:t>
      </w:r>
      <w:r>
        <w:rPr>
          <w:sz w:val="24"/>
          <w:szCs w:val="24"/>
        </w:rPr>
        <w:t xml:space="preserve">nd regenerated cellulose dialysis membranes (MWCO = 3.5 kDa) were obtained from Beyotime Biotechnology (Jiangsu, China). The reactive oxygen species assay kit, Masson’s trichrome stain kit, </w:t>
      </w:r>
      <w:r>
        <w:rPr>
          <w:rFonts w:hint="eastAsia"/>
          <w:sz w:val="24"/>
          <w:szCs w:val="24"/>
        </w:rPr>
        <w:t>and</w:t>
      </w:r>
      <w:r>
        <w:rPr>
          <w:sz w:val="24"/>
          <w:szCs w:val="24"/>
        </w:rPr>
        <w:t xml:space="preserve"> Annexin V-FITC/PI Apoptosis Detection Kit were the products of Solarbio Science &amp; Technology Co. Ltd. (Beijing, China). </w:t>
      </w:r>
      <w:r>
        <w:rPr>
          <w:rFonts w:hint="eastAsia"/>
          <w:sz w:val="24"/>
          <w:szCs w:val="24"/>
        </w:rPr>
        <w:t>RPMI 1640 medium, DMEM medium (high glucose), fetal bovine serum (FBS), penicillin-streptomycin-L-glutamine, and trypsin-EDTA (0.25%) were bought from Gibco Laboratories (</w:t>
      </w:r>
      <w:r>
        <w:rPr>
          <w:sz w:val="24"/>
          <w:szCs w:val="24"/>
        </w:rPr>
        <w:t xml:space="preserve">Grand Island, </w:t>
      </w:r>
      <w:r>
        <w:rPr>
          <w:rFonts w:hint="eastAsia"/>
          <w:sz w:val="24"/>
          <w:szCs w:val="24"/>
        </w:rPr>
        <w:t>NY, USA).</w:t>
      </w:r>
      <w:r>
        <w:rPr>
          <w:sz w:val="24"/>
          <w:szCs w:val="24"/>
        </w:rPr>
        <w:t xml:space="preserve"> The MCF-10A-specific medium was obtained from Procell (Wuhan, China).</w:t>
      </w:r>
      <w:r>
        <w:rPr>
          <w:rFonts w:hint="eastAsia"/>
          <w:sz w:val="24"/>
          <w:szCs w:val="24"/>
        </w:rPr>
        <w:t xml:space="preserve"> </w:t>
      </w:r>
      <w:r>
        <w:rPr>
          <w:bCs/>
          <w:sz w:val="24"/>
          <w:szCs w:val="24"/>
        </w:rPr>
        <w:t>4T1 murine breast cancer</w:t>
      </w:r>
      <w:r>
        <w:rPr>
          <w:rFonts w:hint="eastAsia"/>
          <w:bCs/>
          <w:sz w:val="24"/>
          <w:szCs w:val="24"/>
        </w:rPr>
        <w:t>,</w:t>
      </w:r>
      <w:r>
        <w:rPr>
          <w:bCs/>
          <w:sz w:val="24"/>
          <w:szCs w:val="24"/>
        </w:rPr>
        <w:t xml:space="preserve"> </w:t>
      </w:r>
      <w:r>
        <w:rPr>
          <w:rFonts w:hint="eastAsia"/>
          <w:sz w:val="24"/>
          <w:szCs w:val="24"/>
        </w:rPr>
        <w:t>H9C2 rat ca</w:t>
      </w:r>
      <w:r>
        <w:rPr>
          <w:sz w:val="24"/>
          <w:szCs w:val="24"/>
        </w:rPr>
        <w:t>r</w:t>
      </w:r>
      <w:r>
        <w:rPr>
          <w:rFonts w:hint="eastAsia"/>
          <w:sz w:val="24"/>
          <w:szCs w:val="24"/>
        </w:rPr>
        <w:t>dio</w:t>
      </w:r>
      <w:r>
        <w:rPr>
          <w:sz w:val="24"/>
          <w:szCs w:val="24"/>
        </w:rPr>
        <w:t>m</w:t>
      </w:r>
      <w:r>
        <w:rPr>
          <w:rFonts w:hint="eastAsia"/>
          <w:sz w:val="24"/>
          <w:szCs w:val="24"/>
        </w:rPr>
        <w:t>yocyte</w:t>
      </w:r>
      <w:r>
        <w:rPr>
          <w:sz w:val="24"/>
          <w:szCs w:val="24"/>
        </w:rPr>
        <w:t>,</w:t>
      </w:r>
      <w:r>
        <w:rPr>
          <w:rFonts w:hint="eastAsia"/>
          <w:sz w:val="24"/>
          <w:szCs w:val="24"/>
        </w:rPr>
        <w:t xml:space="preserve"> and MCF-10A human mammary epithelial cell lines were purchased from </w:t>
      </w:r>
      <w:r>
        <w:rPr>
          <w:sz w:val="24"/>
          <w:szCs w:val="24"/>
        </w:rPr>
        <w:t xml:space="preserve">the </w:t>
      </w:r>
      <w:r>
        <w:rPr>
          <w:rFonts w:hint="eastAsia"/>
          <w:sz w:val="24"/>
          <w:szCs w:val="24"/>
        </w:rPr>
        <w:t>Shanghai Cell Bank</w:t>
      </w:r>
      <w:r>
        <w:rPr>
          <w:sz w:val="24"/>
          <w:szCs w:val="24"/>
        </w:rPr>
        <w:t xml:space="preserve"> of the</w:t>
      </w:r>
      <w:r>
        <w:rPr>
          <w:rFonts w:hint="eastAsia"/>
          <w:sz w:val="24"/>
          <w:szCs w:val="24"/>
        </w:rPr>
        <w:t xml:space="preserve"> Chinese Academy of Sciences.</w:t>
      </w:r>
      <w:r>
        <w:rPr>
          <w:sz w:val="24"/>
          <w:szCs w:val="24"/>
        </w:rPr>
        <w:t xml:space="preserve"> </w:t>
      </w:r>
      <w:r>
        <w:rPr>
          <w:rFonts w:hint="eastAsia"/>
          <w:sz w:val="24"/>
          <w:szCs w:val="24"/>
        </w:rPr>
        <w:t>Balb/c mice</w:t>
      </w:r>
      <w:r>
        <w:rPr>
          <w:sz w:val="24"/>
          <w:szCs w:val="24"/>
        </w:rPr>
        <w:t xml:space="preserve"> </w:t>
      </w:r>
      <w:r>
        <w:rPr>
          <w:rFonts w:hint="eastAsia"/>
          <w:sz w:val="24"/>
          <w:szCs w:val="24"/>
        </w:rPr>
        <w:t>(permission number:</w:t>
      </w:r>
      <w:r>
        <w:rPr>
          <w:sz w:val="24"/>
          <w:szCs w:val="24"/>
        </w:rPr>
        <w:t xml:space="preserve"> 20220711ABzz0100999763</w:t>
      </w:r>
      <w:r>
        <w:rPr>
          <w:rFonts w:hint="eastAsia"/>
          <w:sz w:val="24"/>
          <w:szCs w:val="24"/>
        </w:rPr>
        <w:t>) and ICR mice (permission number:</w:t>
      </w:r>
      <w:r>
        <w:rPr>
          <w:sz w:val="24"/>
          <w:szCs w:val="24"/>
        </w:rPr>
        <w:t xml:space="preserve"> </w:t>
      </w:r>
      <w:r>
        <w:rPr>
          <w:rFonts w:hint="eastAsia"/>
          <w:sz w:val="24"/>
          <w:szCs w:val="24"/>
        </w:rPr>
        <w:t>202206</w:t>
      </w:r>
      <w:r>
        <w:rPr>
          <w:sz w:val="24"/>
          <w:szCs w:val="24"/>
        </w:rPr>
        <w:t>24Ab</w:t>
      </w:r>
      <w:r>
        <w:rPr>
          <w:rFonts w:hint="eastAsia"/>
          <w:sz w:val="24"/>
          <w:szCs w:val="24"/>
        </w:rPr>
        <w:t>zz</w:t>
      </w:r>
      <w:r>
        <w:rPr>
          <w:sz w:val="24"/>
          <w:szCs w:val="24"/>
        </w:rPr>
        <w:t>01009994376)</w:t>
      </w:r>
      <w:r>
        <w:rPr>
          <w:rFonts w:hint="eastAsia"/>
          <w:sz w:val="24"/>
          <w:szCs w:val="24"/>
        </w:rPr>
        <w:t xml:space="preserve"> were </w:t>
      </w:r>
      <w:r>
        <w:rPr>
          <w:sz w:val="24"/>
          <w:szCs w:val="24"/>
        </w:rPr>
        <w:t xml:space="preserve">bought </w:t>
      </w:r>
      <w:r>
        <w:rPr>
          <w:rFonts w:hint="eastAsia"/>
          <w:sz w:val="24"/>
          <w:szCs w:val="24"/>
        </w:rPr>
        <w:t xml:space="preserve">from </w:t>
      </w:r>
      <w:r>
        <w:rPr>
          <w:sz w:val="24"/>
          <w:szCs w:val="24"/>
        </w:rPr>
        <w:t>H</w:t>
      </w:r>
      <w:r>
        <w:rPr>
          <w:rFonts w:hint="eastAsia"/>
          <w:sz w:val="24"/>
          <w:szCs w:val="24"/>
        </w:rPr>
        <w:t>ang</w:t>
      </w:r>
      <w:r>
        <w:rPr>
          <w:sz w:val="24"/>
          <w:szCs w:val="24"/>
        </w:rPr>
        <w:t>zhou Qizhen Experimental Animal Technology Co., Ltd.</w:t>
      </w:r>
      <w:r>
        <w:rPr>
          <w:rFonts w:hint="eastAsia"/>
          <w:sz w:val="24"/>
          <w:szCs w:val="24"/>
        </w:rPr>
        <w:t xml:space="preserve"> (</w:t>
      </w:r>
      <w:r>
        <w:rPr>
          <w:sz w:val="24"/>
          <w:szCs w:val="24"/>
        </w:rPr>
        <w:t>Hangzhou</w:t>
      </w:r>
      <w:r>
        <w:rPr>
          <w:rFonts w:hint="eastAsia"/>
          <w:sz w:val="24"/>
          <w:szCs w:val="24"/>
        </w:rPr>
        <w:t>, China</w:t>
      </w:r>
      <w:r>
        <w:rPr>
          <w:sz w:val="24"/>
          <w:szCs w:val="24"/>
        </w:rPr>
        <w:t>; production license number: SCXK (Zhe) 2022-0005</w:t>
      </w:r>
      <w:r>
        <w:rPr>
          <w:rFonts w:hint="eastAsia"/>
          <w:sz w:val="24"/>
          <w:szCs w:val="24"/>
        </w:rPr>
        <w:t>).</w:t>
      </w:r>
      <w:r>
        <w:rPr>
          <w:sz w:val="24"/>
          <w:szCs w:val="24"/>
        </w:rPr>
        <w:t xml:space="preserve"> All animal procedures described below were performed under the protocol approved by the Animal Care Research Committee of Shaoxing University. Animal experiments were conducted under pathogen-free conditions in the First Affiliated Hospital of Shaoxing University (Permit No. SYXK (Zhe) 2017-0007). All the materials mentioned were analytical grade and used directly without further purification.</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.2. Synthesis and characterization of PDA(DOX) nanoplatform</w:t>
      </w:r>
    </w:p>
    <w:p w:rsidR="00B9479A" w:rsidRDefault="00533AF7">
      <w:pPr>
        <w:spacing w:line="480" w:lineRule="auto"/>
        <w:ind w:firstLineChars="200" w:firstLine="480"/>
        <w:rPr>
          <w:sz w:val="24"/>
          <w:szCs w:val="24"/>
        </w:rPr>
      </w:pPr>
      <w:r>
        <w:rPr>
          <w:sz w:val="24"/>
          <w:szCs w:val="24"/>
        </w:rPr>
        <w:t>PDA</w:t>
      </w:r>
      <w:r>
        <w:rPr>
          <w:rFonts w:hint="eastAsia"/>
          <w:sz w:val="24"/>
          <w:szCs w:val="24"/>
        </w:rPr>
        <w:t xml:space="preserve"> nanoparticles were self-assembled by oxypolymerization</w:t>
      </w:r>
      <w:r>
        <w:rPr>
          <w:sz w:val="24"/>
          <w:szCs w:val="24"/>
        </w:rPr>
        <w:t>[1]</w:t>
      </w:r>
      <w:r>
        <w:rPr>
          <w:rFonts w:hint="eastAsia"/>
          <w:sz w:val="24"/>
          <w:szCs w:val="24"/>
        </w:rPr>
        <w:t>,</w:t>
      </w:r>
      <w:r>
        <w:rPr>
          <w:sz w:val="24"/>
          <w:szCs w:val="24"/>
        </w:rPr>
        <w:t xml:space="preserve"> </w:t>
      </w:r>
      <w:r>
        <w:rPr>
          <w:rFonts w:hint="eastAsia"/>
          <w:sz w:val="24"/>
          <w:szCs w:val="24"/>
        </w:rPr>
        <w:t>which were synthesized by oxidation and dopamine self-polymerization in the mixed solution</w:t>
      </w:r>
      <w:r>
        <w:rPr>
          <w:sz w:val="24"/>
          <w:szCs w:val="24"/>
        </w:rPr>
        <w:t>,</w:t>
      </w:r>
      <w:r>
        <w:rPr>
          <w:rFonts w:hint="eastAsia"/>
          <w:sz w:val="24"/>
          <w:szCs w:val="24"/>
        </w:rPr>
        <w:t xml:space="preserve"> including ammonia, ethanol, and deionized water. </w:t>
      </w:r>
      <w:r>
        <w:rPr>
          <w:sz w:val="24"/>
          <w:szCs w:val="24"/>
        </w:rPr>
        <w:t>B</w:t>
      </w:r>
      <w:r>
        <w:rPr>
          <w:rFonts w:hint="eastAsia"/>
          <w:sz w:val="24"/>
          <w:szCs w:val="24"/>
        </w:rPr>
        <w:t>riefly</w:t>
      </w:r>
      <w:r>
        <w:rPr>
          <w:sz w:val="24"/>
          <w:szCs w:val="24"/>
        </w:rPr>
        <w:t xml:space="preserve">, </w:t>
      </w:r>
      <w:r>
        <w:rPr>
          <w:rFonts w:hint="eastAsia"/>
          <w:sz w:val="24"/>
          <w:szCs w:val="24"/>
        </w:rPr>
        <w:t>PDA</w:t>
      </w:r>
      <w:r>
        <w:rPr>
          <w:sz w:val="24"/>
          <w:szCs w:val="24"/>
        </w:rPr>
        <w:t xml:space="preserve"> </w:t>
      </w:r>
      <w:r>
        <w:rPr>
          <w:rFonts w:hint="eastAsia"/>
          <w:sz w:val="24"/>
          <w:szCs w:val="24"/>
        </w:rPr>
        <w:t>was</w:t>
      </w:r>
      <w:r>
        <w:rPr>
          <w:sz w:val="24"/>
          <w:szCs w:val="24"/>
        </w:rPr>
        <w:t xml:space="preserve"> synthesized </w:t>
      </w:r>
      <w:r>
        <w:rPr>
          <w:rFonts w:hint="eastAsia"/>
          <w:sz w:val="24"/>
          <w:szCs w:val="24"/>
        </w:rPr>
        <w:t>according</w:t>
      </w:r>
      <w:r>
        <w:rPr>
          <w:sz w:val="24"/>
          <w:szCs w:val="24"/>
        </w:rPr>
        <w:t xml:space="preserve"> to the previously reported hydrothermal protocol</w:t>
      </w:r>
      <w:r>
        <w:rPr>
          <w:rFonts w:hint="eastAsia"/>
          <w:sz w:val="24"/>
          <w:szCs w:val="24"/>
        </w:rPr>
        <w:t>,</w:t>
      </w:r>
      <w:r>
        <w:rPr>
          <w:sz w:val="24"/>
          <w:szCs w:val="24"/>
          <w:vertAlign w:val="superscript"/>
        </w:rPr>
        <w:t xml:space="preserve"> </w:t>
      </w:r>
      <w:r>
        <w:rPr>
          <w:sz w:val="24"/>
          <w:szCs w:val="24"/>
        </w:rPr>
        <w:t xml:space="preserve">whereas </w:t>
      </w:r>
      <w:r>
        <w:rPr>
          <w:rFonts w:hint="eastAsia"/>
          <w:sz w:val="24"/>
          <w:szCs w:val="24"/>
        </w:rPr>
        <w:t xml:space="preserve">the amount of ammonia </w:t>
      </w:r>
      <w:r>
        <w:rPr>
          <w:sz w:val="24"/>
          <w:szCs w:val="24"/>
        </w:rPr>
        <w:t>added to the reaction system was adj</w:t>
      </w:r>
      <w:r>
        <w:rPr>
          <w:color w:val="000000" w:themeColor="text1"/>
          <w:sz w:val="24"/>
          <w:szCs w:val="24"/>
        </w:rPr>
        <w:t>usted[</w:t>
      </w:r>
      <w:r>
        <w:rPr>
          <w:sz w:val="24"/>
          <w:szCs w:val="24"/>
        </w:rPr>
        <w:t>2]</w:t>
      </w:r>
      <w:r>
        <w:rPr>
          <w:rFonts w:hint="eastAsia"/>
          <w:color w:val="000000" w:themeColor="text1"/>
          <w:sz w:val="24"/>
          <w:szCs w:val="24"/>
        </w:rPr>
        <w:t>.</w:t>
      </w:r>
      <w:r>
        <w:rPr>
          <w:color w:val="000000" w:themeColor="text1"/>
          <w:sz w:val="24"/>
          <w:szCs w:val="24"/>
        </w:rPr>
        <w:t xml:space="preserve"> </w:t>
      </w:r>
      <w:r>
        <w:rPr>
          <w:rFonts w:hint="eastAsia"/>
          <w:color w:val="000000" w:themeColor="text1"/>
          <w:sz w:val="24"/>
          <w:szCs w:val="24"/>
        </w:rPr>
        <w:t>Different contents of</w:t>
      </w:r>
      <w:r>
        <w:rPr>
          <w:color w:val="000000" w:themeColor="text1"/>
          <w:sz w:val="24"/>
          <w:szCs w:val="24"/>
        </w:rPr>
        <w:t xml:space="preserve"> aqueous ammonia solution</w:t>
      </w:r>
      <w:r>
        <w:rPr>
          <w:rFonts w:hint="eastAsia"/>
          <w:color w:val="000000" w:themeColor="text1"/>
          <w:sz w:val="24"/>
          <w:szCs w:val="24"/>
        </w:rPr>
        <w:t xml:space="preserve"> (0.6, </w:t>
      </w:r>
      <w:r>
        <w:rPr>
          <w:color w:val="000000" w:themeColor="text1"/>
          <w:sz w:val="24"/>
          <w:szCs w:val="24"/>
        </w:rPr>
        <w:t xml:space="preserve">0.9, </w:t>
      </w:r>
      <w:r>
        <w:rPr>
          <w:rFonts w:hint="eastAsia"/>
          <w:color w:val="000000" w:themeColor="text1"/>
          <w:sz w:val="24"/>
          <w:szCs w:val="24"/>
        </w:rPr>
        <w:t>1.2</w:t>
      </w:r>
      <w:r>
        <w:rPr>
          <w:color w:val="000000" w:themeColor="text1"/>
          <w:sz w:val="24"/>
          <w:szCs w:val="24"/>
        </w:rPr>
        <w:t xml:space="preserve">, 1.5, 1.8, 2.1, </w:t>
      </w:r>
      <w:r>
        <w:rPr>
          <w:rFonts w:hint="eastAsia"/>
          <w:color w:val="000000" w:themeColor="text1"/>
          <w:sz w:val="24"/>
          <w:szCs w:val="24"/>
        </w:rPr>
        <w:t>and 2.4</w:t>
      </w:r>
      <w:r>
        <w:rPr>
          <w:color w:val="000000" w:themeColor="text1"/>
          <w:sz w:val="24"/>
          <w:szCs w:val="24"/>
        </w:rPr>
        <w:t xml:space="preserve"> </w:t>
      </w:r>
      <w:r>
        <w:rPr>
          <w:rFonts w:hint="eastAsia"/>
          <w:color w:val="000000" w:themeColor="text1"/>
          <w:sz w:val="24"/>
          <w:szCs w:val="24"/>
        </w:rPr>
        <w:t xml:space="preserve">mL) </w:t>
      </w:r>
      <w:r>
        <w:rPr>
          <w:color w:val="000000" w:themeColor="text1"/>
          <w:sz w:val="24"/>
          <w:szCs w:val="24"/>
        </w:rPr>
        <w:t xml:space="preserve">were added into a mixture of 24 </w:t>
      </w:r>
      <w:r>
        <w:rPr>
          <w:rFonts w:hint="eastAsia"/>
          <w:color w:val="000000" w:themeColor="text1"/>
          <w:sz w:val="24"/>
          <w:szCs w:val="24"/>
        </w:rPr>
        <w:t>m</w:t>
      </w:r>
      <w:r>
        <w:rPr>
          <w:color w:val="000000" w:themeColor="text1"/>
          <w:sz w:val="24"/>
          <w:szCs w:val="24"/>
        </w:rPr>
        <w:t xml:space="preserve">L </w:t>
      </w:r>
      <w:r>
        <w:rPr>
          <w:rFonts w:hint="eastAsia"/>
          <w:color w:val="000000" w:themeColor="text1"/>
          <w:sz w:val="24"/>
          <w:szCs w:val="24"/>
        </w:rPr>
        <w:t>etha</w:t>
      </w:r>
      <w:r>
        <w:rPr>
          <w:rFonts w:hint="eastAsia"/>
          <w:sz w:val="24"/>
          <w:szCs w:val="24"/>
        </w:rPr>
        <w:t>nol</w:t>
      </w:r>
      <w:r>
        <w:rPr>
          <w:sz w:val="24"/>
          <w:szCs w:val="24"/>
        </w:rPr>
        <w:t xml:space="preserve"> and 54 mL deionized water main</w:t>
      </w:r>
      <w:r>
        <w:rPr>
          <w:rFonts w:hint="eastAsia"/>
          <w:sz w:val="24"/>
          <w:szCs w:val="24"/>
        </w:rPr>
        <w:t>t</w:t>
      </w:r>
      <w:r>
        <w:rPr>
          <w:sz w:val="24"/>
          <w:szCs w:val="24"/>
        </w:rPr>
        <w:t>ained at 30</w:t>
      </w:r>
      <w:r>
        <w:rPr>
          <w:sz w:val="24"/>
        </w:rPr>
        <w:t>°C</w:t>
      </w:r>
      <w:r>
        <w:rPr>
          <w:rFonts w:hint="eastAsia"/>
          <w:sz w:val="24"/>
        </w:rPr>
        <w:t>, re</w:t>
      </w:r>
      <w:r>
        <w:rPr>
          <w:sz w:val="24"/>
        </w:rPr>
        <w:t>s</w:t>
      </w:r>
      <w:r>
        <w:rPr>
          <w:rFonts w:hint="eastAsia"/>
          <w:sz w:val="24"/>
        </w:rPr>
        <w:t xml:space="preserve">pectively. </w:t>
      </w:r>
      <w:r>
        <w:rPr>
          <w:sz w:val="24"/>
        </w:rPr>
        <w:t xml:space="preserve">After 30 </w:t>
      </w:r>
      <w:r>
        <w:rPr>
          <w:rFonts w:hint="eastAsia"/>
          <w:sz w:val="24"/>
        </w:rPr>
        <w:t>min</w:t>
      </w:r>
      <w:r>
        <w:rPr>
          <w:sz w:val="24"/>
        </w:rPr>
        <w:t xml:space="preserve"> stirring, 300 </w:t>
      </w:r>
      <w:r>
        <w:rPr>
          <w:rFonts w:hint="eastAsia"/>
          <w:sz w:val="24"/>
        </w:rPr>
        <w:t>mg</w:t>
      </w:r>
      <w:r>
        <w:rPr>
          <w:sz w:val="24"/>
        </w:rPr>
        <w:t xml:space="preserve"> of dopamine was dissolved in 6 mL </w:t>
      </w:r>
      <w:r>
        <w:rPr>
          <w:sz w:val="24"/>
          <w:szCs w:val="24"/>
        </w:rPr>
        <w:t xml:space="preserve">deionized water, and </w:t>
      </w:r>
      <w:r>
        <w:rPr>
          <w:rFonts w:hint="eastAsia"/>
          <w:sz w:val="24"/>
          <w:szCs w:val="24"/>
        </w:rPr>
        <w:t>then</w:t>
      </w:r>
      <w:r>
        <w:rPr>
          <w:sz w:val="24"/>
          <w:szCs w:val="24"/>
        </w:rPr>
        <w:t xml:space="preserve"> continue the oxidative polymerization reaction with mildly magnetic stirring for 24 h under 30</w:t>
      </w:r>
      <w:r>
        <w:rPr>
          <w:sz w:val="24"/>
        </w:rPr>
        <w:t>°C. As a result, t</w:t>
      </w:r>
      <w:r>
        <w:rPr>
          <w:rFonts w:hint="eastAsia"/>
          <w:sz w:val="24"/>
        </w:rPr>
        <w:t>he</w:t>
      </w:r>
      <w:r>
        <w:rPr>
          <w:sz w:val="24"/>
        </w:rPr>
        <w:t xml:space="preserve"> color of the solution turns from pale brown to dark</w:t>
      </w:r>
      <w:r>
        <w:rPr>
          <w:rFonts w:hint="eastAsia"/>
          <w:sz w:val="32"/>
          <w:szCs w:val="24"/>
        </w:rPr>
        <w:t xml:space="preserve"> </w:t>
      </w:r>
      <w:r>
        <w:rPr>
          <w:sz w:val="24"/>
          <w:szCs w:val="24"/>
        </w:rPr>
        <w:t>brown gradually. PDA was obtained by centrifugation, washed with deionized wate</w:t>
      </w:r>
      <w:r>
        <w:rPr>
          <w:rFonts w:hint="eastAsia"/>
          <w:sz w:val="24"/>
          <w:szCs w:val="24"/>
        </w:rPr>
        <w:t>r</w:t>
      </w:r>
      <w:r>
        <w:rPr>
          <w:sz w:val="24"/>
          <w:szCs w:val="24"/>
        </w:rPr>
        <w:t xml:space="preserve"> several times, and dispersed in deionized water.</w:t>
      </w:r>
    </w:p>
    <w:p w:rsidR="00B9479A" w:rsidRDefault="00533AF7">
      <w:pPr>
        <w:spacing w:line="480" w:lineRule="auto"/>
        <w:ind w:firstLineChars="200" w:firstLine="480"/>
        <w:rPr>
          <w:sz w:val="24"/>
        </w:rPr>
      </w:pPr>
      <w:r>
        <w:rPr>
          <w:bCs/>
          <w:sz w:val="24"/>
          <w:szCs w:val="24"/>
        </w:rPr>
        <w:t xml:space="preserve">PDA(DOX) was prepared by dissolving PDA and DOX in </w:t>
      </w:r>
      <w:r>
        <w:rPr>
          <w:rFonts w:hint="eastAsia"/>
          <w:bCs/>
          <w:sz w:val="24"/>
          <w:szCs w:val="24"/>
        </w:rPr>
        <w:t xml:space="preserve">2 mL </w:t>
      </w:r>
      <w:r>
        <w:rPr>
          <w:bCs/>
          <w:sz w:val="24"/>
          <w:szCs w:val="24"/>
        </w:rPr>
        <w:t xml:space="preserve">PBS at </w:t>
      </w:r>
      <w:r>
        <w:rPr>
          <w:rFonts w:hint="eastAsia"/>
          <w:bCs/>
          <w:sz w:val="24"/>
          <w:szCs w:val="24"/>
        </w:rPr>
        <w:t>different</w:t>
      </w:r>
      <w:r>
        <w:rPr>
          <w:bCs/>
          <w:sz w:val="24"/>
          <w:szCs w:val="24"/>
        </w:rPr>
        <w:t xml:space="preserve"> </w:t>
      </w:r>
      <w:r>
        <w:rPr>
          <w:rFonts w:hint="eastAsia"/>
          <w:bCs/>
          <w:sz w:val="24"/>
          <w:szCs w:val="24"/>
        </w:rPr>
        <w:t>mass</w:t>
      </w:r>
      <w:r>
        <w:rPr>
          <w:bCs/>
          <w:sz w:val="24"/>
          <w:szCs w:val="24"/>
        </w:rPr>
        <w:t xml:space="preserve"> ratio</w:t>
      </w:r>
      <w:r>
        <w:rPr>
          <w:rFonts w:hint="eastAsia"/>
          <w:bCs/>
          <w:sz w:val="24"/>
          <w:szCs w:val="24"/>
        </w:rPr>
        <w:t>s (</w:t>
      </w:r>
      <w:r>
        <w:rPr>
          <w:bCs/>
          <w:sz w:val="24"/>
          <w:szCs w:val="24"/>
        </w:rPr>
        <w:t>m</w:t>
      </w:r>
      <w:r>
        <w:rPr>
          <w:bCs/>
          <w:sz w:val="24"/>
          <w:szCs w:val="24"/>
          <w:vertAlign w:val="subscript"/>
        </w:rPr>
        <w:t>PDA</w:t>
      </w:r>
      <w:r>
        <w:rPr>
          <w:bCs/>
          <w:sz w:val="24"/>
          <w:szCs w:val="24"/>
        </w:rPr>
        <w:t xml:space="preserve"> : m</w:t>
      </w:r>
      <w:r>
        <w:rPr>
          <w:bCs/>
          <w:sz w:val="24"/>
          <w:szCs w:val="24"/>
          <w:vertAlign w:val="subscript"/>
        </w:rPr>
        <w:t>DOX</w:t>
      </w:r>
      <w:r>
        <w:rPr>
          <w:bCs/>
          <w:sz w:val="24"/>
          <w:szCs w:val="24"/>
        </w:rPr>
        <w:t xml:space="preserve"> = </w:t>
      </w:r>
      <w:r>
        <w:rPr>
          <w:rFonts w:hint="eastAsia"/>
          <w:bCs/>
          <w:sz w:val="24"/>
          <w:szCs w:val="24"/>
        </w:rPr>
        <w:t>1:0.25, 1:0.5, 1:0.75, 1:1, and 1:2)</w:t>
      </w:r>
      <w:r>
        <w:rPr>
          <w:bCs/>
          <w:sz w:val="24"/>
          <w:szCs w:val="24"/>
        </w:rPr>
        <w:t xml:space="preserve"> under magnetic stirring at room temperature for 24 </w:t>
      </w:r>
      <w:r>
        <w:rPr>
          <w:rFonts w:hint="eastAsia"/>
          <w:bCs/>
          <w:sz w:val="24"/>
          <w:szCs w:val="24"/>
        </w:rPr>
        <w:t>h</w:t>
      </w:r>
      <w:r>
        <w:rPr>
          <w:bCs/>
          <w:sz w:val="24"/>
          <w:szCs w:val="24"/>
        </w:rPr>
        <w:t xml:space="preserve">. After that, PDA(DOX) was collected </w:t>
      </w:r>
      <w:r>
        <w:rPr>
          <w:sz w:val="24"/>
          <w:szCs w:val="24"/>
        </w:rPr>
        <w:t>by centrifugation</w:t>
      </w:r>
      <w:r>
        <w:rPr>
          <w:rFonts w:hint="eastAsia"/>
          <w:sz w:val="24"/>
        </w:rPr>
        <w:t xml:space="preserve"> at 12500 rpm for 10 min</w:t>
      </w:r>
      <w:r>
        <w:rPr>
          <w:sz w:val="24"/>
          <w:szCs w:val="24"/>
        </w:rPr>
        <w:t xml:space="preserve"> and washed with deionized water several times</w:t>
      </w:r>
      <w:r>
        <w:rPr>
          <w:rFonts w:hint="eastAsia"/>
          <w:sz w:val="24"/>
          <w:szCs w:val="24"/>
        </w:rPr>
        <w:t xml:space="preserve"> </w:t>
      </w:r>
      <w:r>
        <w:rPr>
          <w:rFonts w:hint="eastAsia"/>
          <w:sz w:val="24"/>
        </w:rPr>
        <w:t xml:space="preserve">until the supernatant was completely </w:t>
      </w:r>
      <w:r>
        <w:rPr>
          <w:sz w:val="24"/>
        </w:rPr>
        <w:t>colorless</w:t>
      </w:r>
      <w:r>
        <w:rPr>
          <w:rFonts w:hint="eastAsia"/>
          <w:sz w:val="24"/>
        </w:rPr>
        <w:t xml:space="preserve">. </w:t>
      </w:r>
      <w:r>
        <w:rPr>
          <w:sz w:val="24"/>
        </w:rPr>
        <w:t xml:space="preserve">Then, </w:t>
      </w:r>
      <w:r>
        <w:rPr>
          <w:rFonts w:hint="eastAsia"/>
          <w:sz w:val="24"/>
        </w:rPr>
        <w:t>PDA(DOX)</w:t>
      </w:r>
      <w:r>
        <w:rPr>
          <w:sz w:val="24"/>
          <w:szCs w:val="24"/>
        </w:rPr>
        <w:t xml:space="preserve"> was dispersed in PBS </w:t>
      </w:r>
      <w:r>
        <w:rPr>
          <w:rFonts w:hint="eastAsia"/>
          <w:sz w:val="24"/>
          <w:szCs w:val="24"/>
        </w:rPr>
        <w:t>for</w:t>
      </w:r>
      <w:r>
        <w:rPr>
          <w:sz w:val="24"/>
          <w:szCs w:val="24"/>
        </w:rPr>
        <w:t xml:space="preserve"> further investigation. T</w:t>
      </w:r>
      <w:r>
        <w:rPr>
          <w:sz w:val="24"/>
        </w:rPr>
        <w:t xml:space="preserve">he </w:t>
      </w:r>
      <w:r>
        <w:rPr>
          <w:rFonts w:hint="eastAsia"/>
          <w:sz w:val="24"/>
        </w:rPr>
        <w:t xml:space="preserve">supernatant was collected to detect absorbance at 488 nm by </w:t>
      </w:r>
      <w:r>
        <w:rPr>
          <w:sz w:val="24"/>
          <w:szCs w:val="24"/>
        </w:rPr>
        <w:t>t</w:t>
      </w:r>
      <w:r>
        <w:rPr>
          <w:rFonts w:hint="eastAsia"/>
          <w:sz w:val="24"/>
          <w:szCs w:val="24"/>
        </w:rPr>
        <w:t>he microplate reader</w:t>
      </w:r>
      <w:r>
        <w:rPr>
          <w:sz w:val="24"/>
          <w:szCs w:val="24"/>
        </w:rPr>
        <w:t xml:space="preserve"> (SpectraMax i3, Molecular Devices, USA)</w:t>
      </w:r>
      <w:r>
        <w:rPr>
          <w:rFonts w:hint="eastAsia"/>
          <w:sz w:val="24"/>
        </w:rPr>
        <w:t xml:space="preserve">, which was used to calculate the DOX loading efficiency and capacity. Moreover, PDA and different </w:t>
      </w:r>
      <w:r>
        <w:rPr>
          <w:sz w:val="24"/>
        </w:rPr>
        <w:t>PDA(DOX) mass ratios</w:t>
      </w:r>
      <w:r>
        <w:rPr>
          <w:rFonts w:hint="eastAsia"/>
          <w:sz w:val="24"/>
        </w:rPr>
        <w:t xml:space="preserve"> were diluted to 50 </w:t>
      </w:r>
      <w:r>
        <w:rPr>
          <w:sz w:val="24"/>
        </w:rPr>
        <w:t>μg/mL</w:t>
      </w:r>
      <w:r>
        <w:rPr>
          <w:rFonts w:hint="eastAsia"/>
          <w:sz w:val="24"/>
        </w:rPr>
        <w:t xml:space="preserve">, </w:t>
      </w:r>
      <w:r>
        <w:rPr>
          <w:rFonts w:hint="eastAsia"/>
          <w:sz w:val="24"/>
          <w:szCs w:val="24"/>
        </w:rPr>
        <w:t>an excitation wavelength of 488 nm</w:t>
      </w:r>
      <w:r>
        <w:rPr>
          <w:sz w:val="24"/>
          <w:szCs w:val="24"/>
        </w:rPr>
        <w:t>,</w:t>
      </w:r>
      <w:r>
        <w:rPr>
          <w:rFonts w:hint="eastAsia"/>
          <w:sz w:val="24"/>
          <w:szCs w:val="24"/>
        </w:rPr>
        <w:t xml:space="preserve"> to detect </w:t>
      </w:r>
      <w:r>
        <w:rPr>
          <w:rFonts w:hint="eastAsia"/>
          <w:sz w:val="24"/>
        </w:rPr>
        <w:t>t</w:t>
      </w:r>
      <w:r>
        <w:rPr>
          <w:rFonts w:hint="eastAsia"/>
          <w:sz w:val="24"/>
          <w:szCs w:val="24"/>
        </w:rPr>
        <w:t xml:space="preserve">he fluorescence intensity between 520 to 700 nm using a </w:t>
      </w:r>
      <w:r>
        <w:rPr>
          <w:sz w:val="24"/>
          <w:szCs w:val="24"/>
        </w:rPr>
        <w:t>fluorescence spectrophotometer</w:t>
      </w:r>
      <w:r>
        <w:rPr>
          <w:rFonts w:hint="eastAsia"/>
          <w:sz w:val="24"/>
          <w:szCs w:val="24"/>
        </w:rPr>
        <w:t>.</w:t>
      </w:r>
      <w:r>
        <w:rPr>
          <w:rFonts w:hint="eastAsia"/>
          <w:sz w:val="24"/>
        </w:rPr>
        <w:t xml:space="preserve"> The calculation formulas</w:t>
      </w:r>
      <w:r>
        <w:rPr>
          <w:sz w:val="24"/>
        </w:rPr>
        <w:t xml:space="preserve"> of the DOX loading efficiency and capacity</w:t>
      </w:r>
      <w:r>
        <w:rPr>
          <w:rFonts w:hint="eastAsia"/>
          <w:sz w:val="24"/>
        </w:rPr>
        <w:t xml:space="preserve"> are as follows:</w:t>
      </w:r>
    </w:p>
    <w:p w:rsidR="00B9479A" w:rsidRDefault="00533AF7">
      <w:pPr>
        <w:spacing w:beforeLines="50" w:before="156" w:line="480" w:lineRule="auto"/>
        <w:jc w:val="center"/>
        <w:rPr>
          <w:sz w:val="24"/>
          <w:szCs w:val="24"/>
        </w:rPr>
      </w:pPr>
      <w:r>
        <w:rPr>
          <w:position w:val="-30"/>
        </w:rPr>
        <w:object w:dxaOrig="4632"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9pt;height:36.45pt" o:ole="">
            <v:imagedata r:id="rId8" o:title=""/>
          </v:shape>
          <o:OLEObject Type="Embed" ProgID="Equation.DSMT4" ShapeID="_x0000_i1025" DrawAspect="Content" ObjectID="_1754210747" r:id="rId9"/>
        </w:object>
      </w:r>
    </w:p>
    <w:p w:rsidR="00B9479A" w:rsidRDefault="00533AF7">
      <w:pPr>
        <w:spacing w:afterLines="50" w:after="156" w:line="480" w:lineRule="auto"/>
        <w:jc w:val="center"/>
        <w:rPr>
          <w:sz w:val="24"/>
          <w:szCs w:val="24"/>
        </w:rPr>
      </w:pPr>
      <w:r>
        <w:rPr>
          <w:position w:val="-30"/>
        </w:rPr>
        <w:object w:dxaOrig="5556" w:dyaOrig="720">
          <v:shape id="_x0000_i1026" type="#_x0000_t75" alt="" style="width:278.2pt;height:36.45pt" o:ole="">
            <v:imagedata r:id="rId10" o:title=""/>
          </v:shape>
          <o:OLEObject Type="Embed" ProgID="Equation.DSMT4" ShapeID="_x0000_i1026" DrawAspect="Content" ObjectID="_1754210748" r:id="rId11"/>
        </w:object>
      </w:r>
    </w:p>
    <w:p w:rsidR="00B9479A" w:rsidRDefault="00533AF7">
      <w:pPr>
        <w:spacing w:line="480" w:lineRule="auto"/>
        <w:rPr>
          <w:color w:val="FF0000"/>
          <w:sz w:val="24"/>
        </w:rPr>
      </w:pPr>
      <w:r>
        <w:rPr>
          <w:rFonts w:hint="eastAsia"/>
          <w:sz w:val="24"/>
          <w:szCs w:val="24"/>
        </w:rPr>
        <w:t xml:space="preserve">Where </w:t>
      </w:r>
      <w:r>
        <w:rPr>
          <w:rFonts w:hint="eastAsia"/>
          <w:i/>
          <w:iCs/>
          <w:sz w:val="24"/>
          <w:szCs w:val="24"/>
        </w:rPr>
        <w:t>M</w:t>
      </w:r>
      <w:r>
        <w:rPr>
          <w:rFonts w:hint="eastAsia"/>
          <w:i/>
          <w:iCs/>
          <w:sz w:val="24"/>
          <w:szCs w:val="24"/>
          <w:vertAlign w:val="subscript"/>
        </w:rPr>
        <w:t>DOX</w:t>
      </w:r>
      <w:r>
        <w:rPr>
          <w:sz w:val="24"/>
          <w:szCs w:val="24"/>
        </w:rPr>
        <w:t xml:space="preserve"> and</w:t>
      </w:r>
      <w:r>
        <w:rPr>
          <w:rFonts w:hint="eastAsia"/>
          <w:i/>
          <w:iCs/>
          <w:sz w:val="24"/>
          <w:szCs w:val="24"/>
        </w:rPr>
        <w:t xml:space="preserve"> M</w:t>
      </w:r>
      <w:r>
        <w:rPr>
          <w:rFonts w:hint="eastAsia"/>
          <w:i/>
          <w:iCs/>
          <w:sz w:val="24"/>
          <w:szCs w:val="24"/>
          <w:vertAlign w:val="subscript"/>
        </w:rPr>
        <w:t>PDA</w:t>
      </w:r>
      <w:r>
        <w:rPr>
          <w:rFonts w:hint="eastAsia"/>
          <w:sz w:val="24"/>
          <w:szCs w:val="24"/>
        </w:rPr>
        <w:t xml:space="preserve"> </w:t>
      </w:r>
      <w:r>
        <w:rPr>
          <w:sz w:val="24"/>
          <w:szCs w:val="24"/>
        </w:rPr>
        <w:t>are</w:t>
      </w:r>
      <w:r>
        <w:rPr>
          <w:rFonts w:hint="eastAsia"/>
          <w:sz w:val="24"/>
          <w:szCs w:val="24"/>
        </w:rPr>
        <w:t xml:space="preserve"> </w:t>
      </w:r>
      <w:r>
        <w:rPr>
          <w:sz w:val="24"/>
          <w:szCs w:val="24"/>
        </w:rPr>
        <w:t xml:space="preserve">the </w:t>
      </w:r>
      <w:r>
        <w:rPr>
          <w:rFonts w:hint="eastAsia"/>
          <w:sz w:val="24"/>
          <w:szCs w:val="24"/>
        </w:rPr>
        <w:t xml:space="preserve">total </w:t>
      </w:r>
      <w:r>
        <w:rPr>
          <w:sz w:val="24"/>
          <w:szCs w:val="24"/>
        </w:rPr>
        <w:t xml:space="preserve">DOX and </w:t>
      </w:r>
      <w:r>
        <w:rPr>
          <w:rFonts w:hint="eastAsia"/>
          <w:sz w:val="24"/>
          <w:szCs w:val="24"/>
        </w:rPr>
        <w:t>PDA mass</w:t>
      </w:r>
      <w:r>
        <w:rPr>
          <w:sz w:val="24"/>
          <w:szCs w:val="24"/>
        </w:rPr>
        <w:t xml:space="preserve"> </w:t>
      </w:r>
      <w:r>
        <w:rPr>
          <w:rFonts w:hint="eastAsia"/>
          <w:sz w:val="24"/>
          <w:szCs w:val="24"/>
        </w:rPr>
        <w:t>in</w:t>
      </w:r>
      <w:r>
        <w:rPr>
          <w:sz w:val="24"/>
          <w:szCs w:val="24"/>
        </w:rPr>
        <w:t xml:space="preserve"> the reaction solution, respectively,</w:t>
      </w:r>
      <w:r>
        <w:rPr>
          <w:rFonts w:hint="eastAsia"/>
          <w:sz w:val="24"/>
          <w:szCs w:val="24"/>
        </w:rPr>
        <w:t xml:space="preserve"> </w:t>
      </w:r>
      <w:r>
        <w:rPr>
          <w:rFonts w:hint="eastAsia"/>
          <w:i/>
          <w:iCs/>
          <w:sz w:val="24"/>
          <w:szCs w:val="24"/>
        </w:rPr>
        <w:t>m</w:t>
      </w:r>
      <w:r>
        <w:rPr>
          <w:rFonts w:hint="eastAsia"/>
          <w:i/>
          <w:iCs/>
          <w:sz w:val="24"/>
          <w:szCs w:val="24"/>
          <w:vertAlign w:val="subscript"/>
        </w:rPr>
        <w:t>DOX</w:t>
      </w:r>
      <w:r>
        <w:rPr>
          <w:rFonts w:hint="eastAsia"/>
          <w:sz w:val="24"/>
          <w:szCs w:val="24"/>
        </w:rPr>
        <w:t xml:space="preserve"> is </w:t>
      </w:r>
      <w:r>
        <w:rPr>
          <w:sz w:val="24"/>
          <w:szCs w:val="24"/>
        </w:rPr>
        <w:t xml:space="preserve">the </w:t>
      </w:r>
      <w:r>
        <w:rPr>
          <w:rFonts w:hint="eastAsia"/>
          <w:sz w:val="24"/>
          <w:szCs w:val="24"/>
        </w:rPr>
        <w:t xml:space="preserve">mass of DOX in </w:t>
      </w:r>
      <w:r>
        <w:rPr>
          <w:sz w:val="24"/>
          <w:szCs w:val="24"/>
        </w:rPr>
        <w:t xml:space="preserve">the </w:t>
      </w:r>
      <w:r>
        <w:rPr>
          <w:rFonts w:hint="eastAsia"/>
          <w:sz w:val="24"/>
          <w:szCs w:val="24"/>
        </w:rPr>
        <w:t xml:space="preserve">supernatant </w:t>
      </w:r>
      <w:r>
        <w:rPr>
          <w:sz w:val="24"/>
          <w:szCs w:val="24"/>
        </w:rPr>
        <w:t>collected by</w:t>
      </w:r>
      <w:r>
        <w:rPr>
          <w:rFonts w:hint="eastAsia"/>
          <w:sz w:val="24"/>
          <w:szCs w:val="24"/>
        </w:rPr>
        <w:t xml:space="preserve"> centrifugation.</w:t>
      </w:r>
      <w:r>
        <w:rPr>
          <w:sz w:val="24"/>
          <w:szCs w:val="24"/>
        </w:rPr>
        <w:t xml:space="preserve"> </w:t>
      </w:r>
      <w:r>
        <w:rPr>
          <w:rFonts w:hint="eastAsia"/>
          <w:sz w:val="24"/>
        </w:rPr>
        <w:t xml:space="preserve">After </w:t>
      </w:r>
      <w:r>
        <w:rPr>
          <w:sz w:val="24"/>
        </w:rPr>
        <w:t xml:space="preserve">comparison </w:t>
      </w:r>
      <w:r>
        <w:rPr>
          <w:rFonts w:hint="eastAsia"/>
          <w:sz w:val="24"/>
        </w:rPr>
        <w:t>a</w:t>
      </w:r>
      <w:r>
        <w:rPr>
          <w:sz w:val="24"/>
        </w:rPr>
        <w:t>nd analysis</w:t>
      </w:r>
      <w:r>
        <w:rPr>
          <w:rFonts w:hint="eastAsia"/>
          <w:sz w:val="24"/>
        </w:rPr>
        <w:t>, the mass ratio of 1:0.75 was chosen to synthe</w:t>
      </w:r>
      <w:r>
        <w:rPr>
          <w:sz w:val="24"/>
        </w:rPr>
        <w:t>s</w:t>
      </w:r>
      <w:r>
        <w:rPr>
          <w:rFonts w:hint="eastAsia"/>
          <w:sz w:val="24"/>
        </w:rPr>
        <w:t xml:space="preserve">ize PDA(DOX) for future use. Finally, we have </w:t>
      </w:r>
      <w:r>
        <w:rPr>
          <w:sz w:val="24"/>
        </w:rPr>
        <w:t>obtained</w:t>
      </w:r>
      <w:r>
        <w:rPr>
          <w:rFonts w:hint="eastAsia"/>
          <w:sz w:val="24"/>
        </w:rPr>
        <w:t xml:space="preserve"> sufficient </w:t>
      </w:r>
      <w:r>
        <w:rPr>
          <w:sz w:val="24"/>
        </w:rPr>
        <w:t>PDA(DOX) with a loading capacity of 33.6% and a</w:t>
      </w:r>
      <w:r>
        <w:rPr>
          <w:rFonts w:hint="eastAsia"/>
          <w:sz w:val="24"/>
        </w:rPr>
        <w:t xml:space="preserve"> loading efficiency of 67.5%</w:t>
      </w:r>
      <w:r>
        <w:rPr>
          <w:sz w:val="24"/>
        </w:rPr>
        <w:t xml:space="preserve"> for cell and animal experiments</w:t>
      </w:r>
      <w:r>
        <w:rPr>
          <w:rFonts w:hint="eastAsia"/>
          <w:sz w:val="24"/>
        </w:rPr>
        <w:t>.</w:t>
      </w:r>
    </w:p>
    <w:p w:rsidR="00B9479A" w:rsidRDefault="00533AF7">
      <w:pPr>
        <w:spacing w:line="480" w:lineRule="auto"/>
        <w:ind w:firstLineChars="200" w:firstLine="480"/>
        <w:rPr>
          <w:sz w:val="24"/>
        </w:rPr>
      </w:pPr>
      <w:r>
        <w:rPr>
          <w:rFonts w:hint="eastAsia"/>
          <w:bCs/>
          <w:sz w:val="24"/>
          <w:szCs w:val="24"/>
        </w:rPr>
        <w:t>T</w:t>
      </w:r>
      <w:r>
        <w:rPr>
          <w:bCs/>
          <w:sz w:val="24"/>
          <w:szCs w:val="24"/>
        </w:rPr>
        <w:t xml:space="preserve">he PDA morphology </w:t>
      </w:r>
      <w:r>
        <w:rPr>
          <w:rFonts w:hint="eastAsia"/>
          <w:bCs/>
          <w:sz w:val="24"/>
          <w:szCs w:val="24"/>
        </w:rPr>
        <w:t>w</w:t>
      </w:r>
      <w:r>
        <w:rPr>
          <w:bCs/>
          <w:sz w:val="24"/>
          <w:szCs w:val="24"/>
        </w:rPr>
        <w:t xml:space="preserve">as characterized with </w:t>
      </w:r>
      <w:r>
        <w:rPr>
          <w:sz w:val="24"/>
        </w:rPr>
        <w:t xml:space="preserve">Transmission electron microscopy </w:t>
      </w:r>
      <w:r>
        <w:rPr>
          <w:sz w:val="24"/>
          <w:szCs w:val="24"/>
        </w:rPr>
        <w:t>(</w:t>
      </w:r>
      <w:r>
        <w:rPr>
          <w:rFonts w:hint="eastAsia"/>
          <w:sz w:val="24"/>
          <w:szCs w:val="24"/>
        </w:rPr>
        <w:t>JE</w:t>
      </w:r>
      <w:r>
        <w:rPr>
          <w:sz w:val="24"/>
          <w:szCs w:val="24"/>
        </w:rPr>
        <w:t>M-2100F, Japan)</w:t>
      </w:r>
      <w:r>
        <w:rPr>
          <w:sz w:val="24"/>
        </w:rPr>
        <w:t>. And t</w:t>
      </w:r>
      <w:r>
        <w:rPr>
          <w:sz w:val="24"/>
          <w:szCs w:val="24"/>
        </w:rPr>
        <w:t xml:space="preserve">he </w:t>
      </w:r>
      <w:r>
        <w:rPr>
          <w:rFonts w:hint="eastAsia"/>
          <w:sz w:val="24"/>
          <w:szCs w:val="24"/>
        </w:rPr>
        <w:t>average</w:t>
      </w:r>
      <w:r>
        <w:rPr>
          <w:sz w:val="24"/>
          <w:szCs w:val="24"/>
        </w:rPr>
        <w:t xml:space="preserve"> and standard deviation of particle size with 100 PDA nanoparticles were calculated by Nano Measurer 1.2 software. </w:t>
      </w:r>
      <w:r>
        <w:rPr>
          <w:sz w:val="24"/>
        </w:rPr>
        <w:t>A laser particle sizer (Nano ZS, Malvern Instruments, UK) determined the dynamic light scattering and Zeta potential of PDA and PDA(DOX).</w:t>
      </w:r>
      <w:r>
        <w:rPr>
          <w:rFonts w:hint="eastAsia"/>
          <w:sz w:val="24"/>
        </w:rPr>
        <w:t xml:space="preserve"> Fluorescence spectr</w:t>
      </w:r>
      <w:r>
        <w:rPr>
          <w:sz w:val="24"/>
        </w:rPr>
        <w:t>a</w:t>
      </w:r>
      <w:r>
        <w:rPr>
          <w:rFonts w:hint="eastAsia"/>
          <w:sz w:val="24"/>
        </w:rPr>
        <w:t xml:space="preserve"> were obtained by Fluorescence spectrometer</w:t>
      </w:r>
      <w:r>
        <w:rPr>
          <w:sz w:val="24"/>
        </w:rPr>
        <w:t xml:space="preserve"> </w:t>
      </w:r>
      <w:r>
        <w:rPr>
          <w:rFonts w:hint="eastAsia"/>
          <w:sz w:val="24"/>
        </w:rPr>
        <w:t>(</w:t>
      </w:r>
      <w:r>
        <w:rPr>
          <w:sz w:val="24"/>
        </w:rPr>
        <w:t>RF-6000, SHIMADZU)</w:t>
      </w:r>
      <w:r>
        <w:rPr>
          <w:rFonts w:hint="eastAsia"/>
          <w:sz w:val="24"/>
        </w:rPr>
        <w:t xml:space="preserve">. </w:t>
      </w:r>
      <w:r>
        <w:rPr>
          <w:sz w:val="24"/>
        </w:rPr>
        <w:t>A UV-Vis spectrometer (UV-1900, Shimadzu, Japan) recorded the UV-Vis-NIR absorbance spectra.</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.3. Photothermal performance evaluation</w:t>
      </w:r>
    </w:p>
    <w:p w:rsidR="00B9479A" w:rsidRDefault="00533AF7">
      <w:pPr>
        <w:spacing w:line="480" w:lineRule="auto"/>
        <w:ind w:firstLineChars="200" w:firstLine="480"/>
        <w:rPr>
          <w:sz w:val="24"/>
          <w:szCs w:val="24"/>
        </w:rPr>
      </w:pPr>
      <w:r>
        <w:rPr>
          <w:sz w:val="24"/>
        </w:rPr>
        <w:t>PDA and PDA(DOX) were diluted to 50 μg/mL (the concentration of PDA) and conducted with a UV-1900 spectrometer to determine the absorption spectra</w:t>
      </w:r>
      <w:r>
        <w:rPr>
          <w:rFonts w:hint="eastAsia"/>
          <w:sz w:val="24"/>
        </w:rPr>
        <w:t xml:space="preserve">. </w:t>
      </w:r>
      <w:r>
        <w:rPr>
          <w:rFonts w:hint="eastAsia"/>
          <w:sz w:val="24"/>
          <w:szCs w:val="24"/>
        </w:rPr>
        <w:t>The photothermal performance</w:t>
      </w:r>
      <w:r>
        <w:rPr>
          <w:sz w:val="24"/>
          <w:szCs w:val="24"/>
        </w:rPr>
        <w:t>s</w:t>
      </w:r>
      <w:r>
        <w:rPr>
          <w:rFonts w:hint="eastAsia"/>
          <w:sz w:val="24"/>
          <w:szCs w:val="24"/>
        </w:rPr>
        <w:t xml:space="preserve"> of </w:t>
      </w:r>
      <w:r>
        <w:rPr>
          <w:sz w:val="24"/>
          <w:szCs w:val="24"/>
        </w:rPr>
        <w:t xml:space="preserve">PDA and </w:t>
      </w:r>
      <w:r>
        <w:rPr>
          <w:rFonts w:hint="eastAsia"/>
          <w:sz w:val="24"/>
          <w:szCs w:val="24"/>
        </w:rPr>
        <w:t>PDA(DOX)</w:t>
      </w:r>
      <w:r>
        <w:rPr>
          <w:sz w:val="24"/>
          <w:szCs w:val="24"/>
        </w:rPr>
        <w:t xml:space="preserve"> nanoparticles were</w:t>
      </w:r>
      <w:r>
        <w:rPr>
          <w:rFonts w:hint="eastAsia"/>
          <w:sz w:val="24"/>
          <w:szCs w:val="24"/>
        </w:rPr>
        <w:t xml:space="preserve"> evaluated</w:t>
      </w:r>
      <w:r>
        <w:rPr>
          <w:sz w:val="24"/>
          <w:szCs w:val="24"/>
        </w:rPr>
        <w:t xml:space="preserve"> </w:t>
      </w:r>
      <w:r>
        <w:rPr>
          <w:rFonts w:hint="eastAsia"/>
          <w:i/>
          <w:iCs/>
          <w:sz w:val="24"/>
          <w:szCs w:val="24"/>
        </w:rPr>
        <w:t>via</w:t>
      </w:r>
      <w:r>
        <w:rPr>
          <w:rFonts w:hint="eastAsia"/>
          <w:sz w:val="24"/>
          <w:szCs w:val="24"/>
        </w:rPr>
        <w:t xml:space="preserve"> the temperature rise curve, photothermal conversion efficiency, and photothermal stability.</w:t>
      </w:r>
      <w:r>
        <w:rPr>
          <w:sz w:val="24"/>
          <w:szCs w:val="24"/>
        </w:rPr>
        <w:t xml:space="preserve"> First,</w:t>
      </w:r>
      <w:r>
        <w:rPr>
          <w:rFonts w:hint="eastAsia"/>
          <w:sz w:val="24"/>
          <w:szCs w:val="24"/>
        </w:rPr>
        <w:t xml:space="preserve"> PDA and PDA(DOX) were </w:t>
      </w:r>
      <w:r>
        <w:rPr>
          <w:sz w:val="24"/>
          <w:szCs w:val="24"/>
        </w:rPr>
        <w:t xml:space="preserve">aqueous suspensions </w:t>
      </w:r>
      <w:r>
        <w:rPr>
          <w:rFonts w:hint="eastAsia"/>
          <w:sz w:val="24"/>
          <w:szCs w:val="24"/>
        </w:rPr>
        <w:t>diluted at different concentrations (</w:t>
      </w:r>
      <w:r>
        <w:rPr>
          <w:sz w:val="24"/>
          <w:szCs w:val="24"/>
        </w:rPr>
        <w:t xml:space="preserve">PDA concentrations were </w:t>
      </w:r>
      <w:r>
        <w:rPr>
          <w:rFonts w:hint="eastAsia"/>
          <w:sz w:val="24"/>
          <w:szCs w:val="24"/>
        </w:rPr>
        <w:t xml:space="preserve">50, 100, 200, 300, and 400 </w:t>
      </w:r>
      <w:r>
        <w:rPr>
          <w:sz w:val="24"/>
        </w:rPr>
        <w:t>μg/mL</w:t>
      </w:r>
      <w:r>
        <w:rPr>
          <w:rFonts w:hint="eastAsia"/>
          <w:sz w:val="24"/>
          <w:szCs w:val="24"/>
        </w:rPr>
        <w:t>)</w:t>
      </w:r>
      <w:r>
        <w:rPr>
          <w:sz w:val="24"/>
          <w:szCs w:val="24"/>
        </w:rPr>
        <w:t xml:space="preserve">. Then, 1 mL PDA or PDA(DOX) was held </w:t>
      </w:r>
      <w:r>
        <w:rPr>
          <w:rFonts w:hint="eastAsia"/>
          <w:sz w:val="24"/>
          <w:szCs w:val="24"/>
        </w:rPr>
        <w:t xml:space="preserve">in a quartz cuvette irradiated with an 808 nm NIR laser at a laser power of 1.5 W for 300 s. The temperature was measured </w:t>
      </w:r>
      <w:r>
        <w:rPr>
          <w:sz w:val="24"/>
          <w:szCs w:val="24"/>
        </w:rPr>
        <w:t>throughout th</w:t>
      </w:r>
      <w:r>
        <w:rPr>
          <w:rFonts w:hint="eastAsia"/>
          <w:sz w:val="24"/>
          <w:szCs w:val="24"/>
        </w:rPr>
        <w:t>e process</w:t>
      </w:r>
      <w:r>
        <w:rPr>
          <w:sz w:val="24"/>
          <w:szCs w:val="24"/>
        </w:rPr>
        <w:t>,</w:t>
      </w:r>
      <w:r>
        <w:rPr>
          <w:rFonts w:hint="eastAsia"/>
          <w:sz w:val="24"/>
          <w:szCs w:val="24"/>
        </w:rPr>
        <w:t xml:space="preserve"> and thermal images were recorded by </w:t>
      </w:r>
      <w:r>
        <w:rPr>
          <w:sz w:val="24"/>
          <w:szCs w:val="24"/>
        </w:rPr>
        <w:t xml:space="preserve">the </w:t>
      </w:r>
      <w:r>
        <w:rPr>
          <w:rFonts w:hint="eastAsia"/>
          <w:sz w:val="24"/>
          <w:szCs w:val="24"/>
        </w:rPr>
        <w:t xml:space="preserve">thermal imaging system (PI400, Optris, Germany). Furthermore, </w:t>
      </w:r>
      <w:r>
        <w:rPr>
          <w:sz w:val="24"/>
          <w:szCs w:val="24"/>
        </w:rPr>
        <w:t>u</w:t>
      </w:r>
      <w:r>
        <w:rPr>
          <w:rFonts w:hint="eastAsia"/>
          <w:sz w:val="24"/>
          <w:szCs w:val="24"/>
        </w:rPr>
        <w:t xml:space="preserve">nder the same condition, 50 </w:t>
      </w:r>
      <w:r>
        <w:rPr>
          <w:sz w:val="24"/>
        </w:rPr>
        <w:t>μg/mL</w:t>
      </w:r>
      <w:r>
        <w:rPr>
          <w:rFonts w:hint="eastAsia"/>
          <w:sz w:val="24"/>
          <w:szCs w:val="24"/>
        </w:rPr>
        <w:t xml:space="preserve"> PDA and PDA(DOX) </w:t>
      </w:r>
      <w:r>
        <w:rPr>
          <w:sz w:val="24"/>
          <w:szCs w:val="24"/>
        </w:rPr>
        <w:t xml:space="preserve">samples </w:t>
      </w:r>
      <w:r>
        <w:rPr>
          <w:rFonts w:hint="eastAsia"/>
          <w:sz w:val="24"/>
          <w:szCs w:val="24"/>
        </w:rPr>
        <w:t xml:space="preserve">were heated to thermal </w:t>
      </w:r>
      <w:r>
        <w:rPr>
          <w:sz w:val="24"/>
          <w:szCs w:val="24"/>
        </w:rPr>
        <w:t xml:space="preserve">equilibrium and </w:t>
      </w:r>
      <w:r>
        <w:rPr>
          <w:rFonts w:hint="eastAsia"/>
          <w:sz w:val="24"/>
        </w:rPr>
        <w:t xml:space="preserve">turned </w:t>
      </w:r>
      <w:r>
        <w:rPr>
          <w:sz w:val="24"/>
        </w:rPr>
        <w:t xml:space="preserve">off </w:t>
      </w:r>
      <w:r>
        <w:rPr>
          <w:rFonts w:hint="eastAsia"/>
          <w:sz w:val="24"/>
        </w:rPr>
        <w:t>the laser</w:t>
      </w:r>
      <w:r>
        <w:rPr>
          <w:sz w:val="24"/>
        </w:rPr>
        <w:t>. Then the suspensions were naturally cooled to room temperature.</w:t>
      </w:r>
      <w:r>
        <w:rPr>
          <w:rFonts w:hint="eastAsia"/>
          <w:sz w:val="24"/>
          <w:szCs w:val="24"/>
        </w:rPr>
        <w:t xml:space="preserve"> The </w:t>
      </w:r>
      <w:r>
        <w:rPr>
          <w:sz w:val="24"/>
          <w:szCs w:val="24"/>
        </w:rPr>
        <w:t>temperature variation</w:t>
      </w:r>
      <w:r>
        <w:rPr>
          <w:rFonts w:hint="eastAsia"/>
          <w:sz w:val="24"/>
          <w:szCs w:val="24"/>
        </w:rPr>
        <w:t xml:space="preserve"> in the cooling process was recorded to calculate photothermal conversion efficiency (</w:t>
      </w:r>
      <w:r>
        <w:rPr>
          <w:sz w:val="24"/>
          <w:szCs w:val="24"/>
        </w:rPr>
        <w:t>η</w:t>
      </w:r>
      <w:r>
        <w:rPr>
          <w:rFonts w:hint="eastAsia"/>
          <w:sz w:val="24"/>
          <w:szCs w:val="24"/>
        </w:rPr>
        <w:t xml:space="preserve">). Finally, photothermal stability was evaluated through five </w:t>
      </w:r>
      <w:r>
        <w:rPr>
          <w:sz w:val="24"/>
          <w:szCs w:val="24"/>
        </w:rPr>
        <w:t>laser cycles</w:t>
      </w:r>
      <w:r>
        <w:rPr>
          <w:rFonts w:hint="eastAsia"/>
          <w:sz w:val="24"/>
          <w:szCs w:val="24"/>
        </w:rPr>
        <w:t xml:space="preserve"> on or off</w:t>
      </w:r>
      <w:r>
        <w:rPr>
          <w:sz w:val="24"/>
          <w:szCs w:val="24"/>
        </w:rPr>
        <w:t xml:space="preserve">. That is, the </w:t>
      </w:r>
      <w:r>
        <w:rPr>
          <w:rFonts w:hint="eastAsia"/>
          <w:sz w:val="24"/>
          <w:szCs w:val="24"/>
        </w:rPr>
        <w:t>1 mL sample was irradiated under 808 nm laser at 1.5 W for 5 min, followed by natural cooling for 5 min.</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.4. Multienzyme-like activity of PDA(DOX) nanoplatform</w:t>
      </w:r>
    </w:p>
    <w:p w:rsidR="00B9479A" w:rsidRDefault="00533AF7">
      <w:pPr>
        <w:spacing w:afterLines="50" w:after="156" w:line="480" w:lineRule="auto"/>
        <w:ind w:firstLineChars="200" w:firstLine="482"/>
        <w:rPr>
          <w:sz w:val="24"/>
        </w:rPr>
      </w:pPr>
      <w:r>
        <w:rPr>
          <w:b/>
          <w:bCs/>
          <w:sz w:val="24"/>
          <w:szCs w:val="24"/>
        </w:rPr>
        <w:t xml:space="preserve">Superoxide dismutase-like activity. </w:t>
      </w:r>
      <w:r>
        <w:rPr>
          <w:sz w:val="24"/>
          <w:szCs w:val="24"/>
        </w:rPr>
        <w:t>The s</w:t>
      </w:r>
      <w:r>
        <w:rPr>
          <w:rFonts w:hint="eastAsia"/>
          <w:sz w:val="24"/>
          <w:szCs w:val="24"/>
        </w:rPr>
        <w:t>uperoxide dismutase</w:t>
      </w:r>
      <w:r>
        <w:rPr>
          <w:sz w:val="24"/>
          <w:szCs w:val="24"/>
        </w:rPr>
        <w:t xml:space="preserve"> activity of</w:t>
      </w:r>
      <w:r>
        <w:rPr>
          <w:rFonts w:hint="eastAsia"/>
          <w:sz w:val="24"/>
          <w:szCs w:val="24"/>
        </w:rPr>
        <w:t xml:space="preserve"> </w:t>
      </w:r>
      <w:r>
        <w:rPr>
          <w:sz w:val="24"/>
          <w:szCs w:val="24"/>
        </w:rPr>
        <w:t xml:space="preserve">the </w:t>
      </w:r>
      <w:r>
        <w:rPr>
          <w:rFonts w:hint="eastAsia"/>
          <w:sz w:val="24"/>
          <w:szCs w:val="24"/>
        </w:rPr>
        <w:t>PDA</w:t>
      </w:r>
      <w:r>
        <w:rPr>
          <w:sz w:val="24"/>
          <w:szCs w:val="24"/>
        </w:rPr>
        <w:t xml:space="preserve"> nanozyme</w:t>
      </w:r>
      <w:r>
        <w:rPr>
          <w:rFonts w:hint="eastAsia"/>
          <w:sz w:val="24"/>
          <w:szCs w:val="24"/>
        </w:rPr>
        <w:t xml:space="preserve"> was analyzed </w:t>
      </w:r>
      <w:r>
        <w:rPr>
          <w:sz w:val="24"/>
          <w:szCs w:val="24"/>
        </w:rPr>
        <w:t>by the</w:t>
      </w:r>
      <w:r>
        <w:rPr>
          <w:rFonts w:hint="eastAsia"/>
          <w:sz w:val="24"/>
          <w:szCs w:val="24"/>
        </w:rPr>
        <w:t xml:space="preserve"> SOD assay kit with WST-8. 20 </w:t>
      </w:r>
      <w:r>
        <w:rPr>
          <w:sz w:val="24"/>
          <w:szCs w:val="24"/>
        </w:rPr>
        <w:t>μL</w:t>
      </w:r>
      <w:r>
        <w:rPr>
          <w:rFonts w:hint="eastAsia"/>
          <w:sz w:val="24"/>
          <w:szCs w:val="24"/>
        </w:rPr>
        <w:t xml:space="preserve"> PDA or PDA(DOX) </w:t>
      </w:r>
      <w:r>
        <w:rPr>
          <w:sz w:val="24"/>
          <w:szCs w:val="24"/>
        </w:rPr>
        <w:t>dispersions were</w:t>
      </w:r>
      <w:r>
        <w:rPr>
          <w:rFonts w:hint="eastAsia"/>
          <w:sz w:val="24"/>
          <w:szCs w:val="24"/>
        </w:rPr>
        <w:t xml:space="preserve"> added to 160 </w:t>
      </w:r>
      <w:r>
        <w:rPr>
          <w:sz w:val="24"/>
          <w:szCs w:val="24"/>
        </w:rPr>
        <w:t>μL</w:t>
      </w:r>
      <w:r>
        <w:rPr>
          <w:rFonts w:hint="eastAsia"/>
          <w:sz w:val="24"/>
          <w:szCs w:val="24"/>
        </w:rPr>
        <w:t xml:space="preserve"> WST-8/enzy</w:t>
      </w:r>
      <w:r>
        <w:rPr>
          <w:sz w:val="24"/>
          <w:szCs w:val="24"/>
        </w:rPr>
        <w:t>me working solution</w:t>
      </w:r>
      <w:r>
        <w:rPr>
          <w:rFonts w:hint="eastAsia"/>
          <w:sz w:val="24"/>
          <w:szCs w:val="24"/>
        </w:rPr>
        <w:t xml:space="preserve"> (the PDA </w:t>
      </w:r>
      <w:r>
        <w:rPr>
          <w:sz w:val="24"/>
          <w:szCs w:val="24"/>
        </w:rPr>
        <w:t xml:space="preserve">final </w:t>
      </w:r>
      <w:r>
        <w:rPr>
          <w:rFonts w:hint="eastAsia"/>
          <w:sz w:val="24"/>
          <w:szCs w:val="24"/>
        </w:rPr>
        <w:t>concentration</w:t>
      </w:r>
      <w:r>
        <w:rPr>
          <w:sz w:val="24"/>
          <w:szCs w:val="24"/>
        </w:rPr>
        <w:t>s</w:t>
      </w:r>
      <w:r>
        <w:rPr>
          <w:rFonts w:hint="eastAsia"/>
          <w:sz w:val="24"/>
          <w:szCs w:val="24"/>
        </w:rPr>
        <w:t xml:space="preserve"> were 0.025, 0.05, 0.1, </w:t>
      </w:r>
      <w:r>
        <w:rPr>
          <w:sz w:val="24"/>
          <w:szCs w:val="24"/>
        </w:rPr>
        <w:t xml:space="preserve">and </w:t>
      </w:r>
      <w:r>
        <w:rPr>
          <w:rFonts w:hint="eastAsia"/>
          <w:sz w:val="24"/>
          <w:szCs w:val="24"/>
        </w:rPr>
        <w:t>0.2 m</w:t>
      </w:r>
      <w:r>
        <w:rPr>
          <w:sz w:val="24"/>
        </w:rPr>
        <w:t>g mL</w:t>
      </w:r>
      <w:r>
        <w:rPr>
          <w:sz w:val="24"/>
          <w:vertAlign w:val="superscript"/>
        </w:rPr>
        <w:t>-1</w:t>
      </w:r>
      <w:r>
        <w:rPr>
          <w:rFonts w:hint="eastAsia"/>
          <w:sz w:val="24"/>
          <w:szCs w:val="24"/>
        </w:rPr>
        <w:t>)</w:t>
      </w:r>
      <w:r>
        <w:rPr>
          <w:sz w:val="24"/>
          <w:szCs w:val="24"/>
        </w:rPr>
        <w:t>.</w:t>
      </w:r>
      <w:r>
        <w:rPr>
          <w:rFonts w:hint="eastAsia"/>
          <w:sz w:val="24"/>
        </w:rPr>
        <w:t xml:space="preserve"> </w:t>
      </w:r>
      <w:r>
        <w:rPr>
          <w:sz w:val="24"/>
        </w:rPr>
        <w:t xml:space="preserve">After adding 20 </w:t>
      </w:r>
      <w:r>
        <w:rPr>
          <w:sz w:val="24"/>
          <w:szCs w:val="24"/>
        </w:rPr>
        <w:t>μL</w:t>
      </w:r>
      <w:r>
        <w:rPr>
          <w:sz w:val="24"/>
        </w:rPr>
        <w:t xml:space="preserve"> reaction starting solution and incubating at </w:t>
      </w:r>
      <w:r>
        <w:rPr>
          <w:rFonts w:hint="eastAsia"/>
          <w:sz w:val="24"/>
          <w:szCs w:val="24"/>
        </w:rPr>
        <w:t>37</w:t>
      </w:r>
      <w:r>
        <w:rPr>
          <w:sz w:val="24"/>
        </w:rPr>
        <w:t>°C</w:t>
      </w:r>
      <w:r>
        <w:rPr>
          <w:rFonts w:hint="eastAsia"/>
          <w:sz w:val="24"/>
        </w:rPr>
        <w:t xml:space="preserve"> for </w:t>
      </w:r>
      <w:r>
        <w:rPr>
          <w:rFonts w:hint="eastAsia"/>
          <w:sz w:val="24"/>
          <w:szCs w:val="24"/>
        </w:rPr>
        <w:t>30 min</w:t>
      </w:r>
      <w:r>
        <w:rPr>
          <w:sz w:val="24"/>
        </w:rPr>
        <w:t xml:space="preserve">, </w:t>
      </w:r>
      <w:bookmarkStart w:id="1" w:name="_Hlk125727541"/>
      <w:r>
        <w:rPr>
          <w:sz w:val="24"/>
        </w:rPr>
        <w:t xml:space="preserve">the absorbance at </w:t>
      </w:r>
      <w:bookmarkEnd w:id="1"/>
      <w:r>
        <w:rPr>
          <w:sz w:val="24"/>
        </w:rPr>
        <w:t xml:space="preserve">450 nm and 650 nm were obtained through the microplate reader </w:t>
      </w:r>
      <w:r>
        <w:rPr>
          <w:sz w:val="24"/>
          <w:szCs w:val="24"/>
        </w:rPr>
        <w:t>(SpectraMax i3, Molecular Devices, USA)</w:t>
      </w:r>
      <w:r>
        <w:rPr>
          <w:sz w:val="24"/>
        </w:rPr>
        <w:t>, which is used to calculate the inhibition rate of SOD.</w:t>
      </w:r>
    </w:p>
    <w:p w:rsidR="00B9479A" w:rsidRDefault="00533AF7">
      <w:pPr>
        <w:spacing w:beforeLines="50" w:before="156" w:afterLines="50" w:after="156" w:line="480" w:lineRule="auto"/>
        <w:ind w:firstLineChars="200" w:firstLine="482"/>
        <w:rPr>
          <w:sz w:val="24"/>
          <w:szCs w:val="24"/>
        </w:rPr>
      </w:pPr>
      <w:r>
        <w:rPr>
          <w:b/>
          <w:bCs/>
          <w:sz w:val="24"/>
          <w:szCs w:val="24"/>
        </w:rPr>
        <w:t xml:space="preserve">Total antioxidant capacity. </w:t>
      </w:r>
      <w:r>
        <w:rPr>
          <w:sz w:val="24"/>
          <w:szCs w:val="24"/>
        </w:rPr>
        <w:t>A t</w:t>
      </w:r>
      <w:r>
        <w:rPr>
          <w:rFonts w:hint="eastAsia"/>
          <w:sz w:val="24"/>
          <w:szCs w:val="24"/>
        </w:rPr>
        <w:t xml:space="preserve">otal antioxidant capacity assay kit with a rapid ABTS method was used to assess PDA and PDA(DOX). </w:t>
      </w:r>
      <w:r>
        <w:rPr>
          <w:sz w:val="24"/>
          <w:szCs w:val="24"/>
        </w:rPr>
        <w:t>T</w:t>
      </w:r>
      <w:r>
        <w:rPr>
          <w:rFonts w:hint="eastAsia"/>
          <w:sz w:val="24"/>
          <w:szCs w:val="24"/>
        </w:rPr>
        <w:t xml:space="preserve">he PDA concentrations of different nanoparticles were 3.125, 6.25, 12.5, 18.75, </w:t>
      </w:r>
      <w:r>
        <w:rPr>
          <w:sz w:val="24"/>
          <w:szCs w:val="24"/>
        </w:rPr>
        <w:t xml:space="preserve">and </w:t>
      </w:r>
      <w:r>
        <w:rPr>
          <w:rFonts w:hint="eastAsia"/>
          <w:sz w:val="24"/>
          <w:szCs w:val="24"/>
        </w:rPr>
        <w:t xml:space="preserve">25 </w:t>
      </w:r>
      <w:r>
        <w:rPr>
          <w:sz w:val="24"/>
        </w:rPr>
        <w:t>μg/mL</w:t>
      </w:r>
      <w:r>
        <w:rPr>
          <w:rFonts w:hint="eastAsia"/>
          <w:sz w:val="24"/>
          <w:szCs w:val="24"/>
        </w:rPr>
        <w:t>.</w:t>
      </w:r>
      <w:r>
        <w:rPr>
          <w:sz w:val="24"/>
          <w:szCs w:val="24"/>
        </w:rPr>
        <w:t xml:space="preserve"> First,</w:t>
      </w:r>
      <w:r>
        <w:rPr>
          <w:rFonts w:hint="eastAsia"/>
          <w:sz w:val="24"/>
          <w:szCs w:val="24"/>
        </w:rPr>
        <w:t xml:space="preserve"> </w:t>
      </w:r>
      <w:r>
        <w:rPr>
          <w:sz w:val="24"/>
          <w:szCs w:val="24"/>
        </w:rPr>
        <w:t xml:space="preserve">a </w:t>
      </w:r>
      <w:r>
        <w:rPr>
          <w:rFonts w:hint="eastAsia"/>
          <w:sz w:val="24"/>
          <w:szCs w:val="24"/>
        </w:rPr>
        <w:t xml:space="preserve">10 </w:t>
      </w:r>
      <w:r>
        <w:rPr>
          <w:sz w:val="24"/>
          <w:szCs w:val="24"/>
        </w:rPr>
        <w:t>μL</w:t>
      </w:r>
      <w:r>
        <w:rPr>
          <w:rFonts w:hint="eastAsia"/>
          <w:sz w:val="24"/>
          <w:szCs w:val="24"/>
        </w:rPr>
        <w:t xml:space="preserve"> sample was added to </w:t>
      </w:r>
      <w:r>
        <w:rPr>
          <w:sz w:val="24"/>
          <w:szCs w:val="24"/>
        </w:rPr>
        <w:t xml:space="preserve">a </w:t>
      </w:r>
      <w:r>
        <w:rPr>
          <w:rFonts w:hint="eastAsia"/>
          <w:sz w:val="24"/>
          <w:szCs w:val="24"/>
        </w:rPr>
        <w:t xml:space="preserve">20 </w:t>
      </w:r>
      <w:r>
        <w:rPr>
          <w:sz w:val="24"/>
          <w:szCs w:val="24"/>
        </w:rPr>
        <w:t>μL</w:t>
      </w:r>
      <w:r>
        <w:rPr>
          <w:rFonts w:hint="eastAsia"/>
          <w:sz w:val="24"/>
          <w:szCs w:val="24"/>
        </w:rPr>
        <w:t xml:space="preserve"> peroxidase working solution. After that, each mixed solution was incubated with 170 </w:t>
      </w:r>
      <w:r>
        <w:rPr>
          <w:sz w:val="24"/>
          <w:szCs w:val="24"/>
        </w:rPr>
        <w:t>μL</w:t>
      </w:r>
      <w:r>
        <w:rPr>
          <w:rFonts w:hint="eastAsia"/>
          <w:sz w:val="24"/>
          <w:szCs w:val="24"/>
        </w:rPr>
        <w:t xml:space="preserve"> ABTS working solution at room temperature for 6 min. </w:t>
      </w:r>
      <w:r>
        <w:rPr>
          <w:sz w:val="24"/>
        </w:rPr>
        <w:t>The microplate reader determined the absorbance at 414 nm of the solution</w:t>
      </w:r>
      <w:r>
        <w:rPr>
          <w:rFonts w:hint="eastAsia"/>
          <w:sz w:val="24"/>
        </w:rPr>
        <w:t>. And the ABTS radical (ABTS</w:t>
      </w:r>
      <w:r>
        <w:rPr>
          <w:rFonts w:ascii="Microsoft YaHei" w:eastAsia="Microsoft YaHei" w:hAnsi="Microsoft YaHei" w:cs="Microsoft YaHei" w:hint="eastAsia"/>
          <w:sz w:val="24"/>
        </w:rPr>
        <w:t>•</w:t>
      </w:r>
      <w:r>
        <w:rPr>
          <w:rFonts w:hint="eastAsia"/>
          <w:sz w:val="24"/>
          <w:vertAlign w:val="superscript"/>
        </w:rPr>
        <w:t>+</w:t>
      </w:r>
      <w:r>
        <w:rPr>
          <w:rFonts w:hint="eastAsia"/>
          <w:sz w:val="24"/>
        </w:rPr>
        <w:t>) scavenging abilities were calculated as follows: ABTS</w:t>
      </w:r>
      <w:r>
        <w:rPr>
          <w:rFonts w:ascii="Microsoft YaHei" w:eastAsia="Microsoft YaHei" w:hAnsi="Microsoft YaHei" w:cs="Microsoft YaHei" w:hint="eastAsia"/>
          <w:sz w:val="24"/>
        </w:rPr>
        <w:t>•</w:t>
      </w:r>
      <w:r>
        <w:rPr>
          <w:rFonts w:hint="eastAsia"/>
          <w:sz w:val="24"/>
          <w:vertAlign w:val="superscript"/>
        </w:rPr>
        <w:t xml:space="preserve">+ </w:t>
      </w:r>
      <w:r>
        <w:rPr>
          <w:rFonts w:hint="eastAsia"/>
          <w:sz w:val="24"/>
        </w:rPr>
        <w:t>scavenging ratio (%) = (1 - A</w:t>
      </w:r>
      <w:r>
        <w:rPr>
          <w:rFonts w:hint="eastAsia"/>
          <w:sz w:val="24"/>
          <w:vertAlign w:val="subscript"/>
        </w:rPr>
        <w:t>sample</w:t>
      </w:r>
      <w:r>
        <w:rPr>
          <w:rFonts w:hint="eastAsia"/>
          <w:sz w:val="24"/>
        </w:rPr>
        <w:t xml:space="preserve"> / A</w:t>
      </w:r>
      <w:r>
        <w:rPr>
          <w:rFonts w:hint="eastAsia"/>
          <w:sz w:val="24"/>
          <w:vertAlign w:val="subscript"/>
        </w:rPr>
        <w:t>control</w:t>
      </w:r>
      <w:r>
        <w:rPr>
          <w:rFonts w:hint="eastAsia"/>
          <w:sz w:val="24"/>
        </w:rPr>
        <w:t xml:space="preserve">) </w:t>
      </w:r>
      <w:r>
        <w:rPr>
          <w:sz w:val="24"/>
        </w:rPr>
        <w:t>×</w:t>
      </w:r>
      <w:r>
        <w:rPr>
          <w:rFonts w:hint="eastAsia"/>
          <w:sz w:val="24"/>
        </w:rPr>
        <w:t xml:space="preserve"> 100. A</w:t>
      </w:r>
      <w:r>
        <w:rPr>
          <w:rFonts w:hint="eastAsia"/>
          <w:sz w:val="24"/>
          <w:vertAlign w:val="subscript"/>
        </w:rPr>
        <w:t>control</w:t>
      </w:r>
      <w:r>
        <w:rPr>
          <w:rFonts w:hint="eastAsia"/>
          <w:sz w:val="24"/>
        </w:rPr>
        <w:t xml:space="preserve"> </w:t>
      </w:r>
      <w:r>
        <w:rPr>
          <w:sz w:val="24"/>
        </w:rPr>
        <w:t>is</w:t>
      </w:r>
      <w:r>
        <w:rPr>
          <w:rFonts w:hint="eastAsia"/>
          <w:sz w:val="24"/>
        </w:rPr>
        <w:t xml:space="preserve"> the absorbance value of a standard solution without any radical scavengers, and</w:t>
      </w:r>
      <w:r>
        <w:rPr>
          <w:sz w:val="24"/>
        </w:rPr>
        <w:t xml:space="preserve"> </w:t>
      </w:r>
      <w:r>
        <w:rPr>
          <w:rFonts w:hint="eastAsia"/>
          <w:sz w:val="24"/>
        </w:rPr>
        <w:t>A</w:t>
      </w:r>
      <w:r>
        <w:rPr>
          <w:rFonts w:hint="eastAsia"/>
          <w:sz w:val="24"/>
          <w:vertAlign w:val="subscript"/>
        </w:rPr>
        <w:t>sample</w:t>
      </w:r>
      <w:r>
        <w:rPr>
          <w:rFonts w:hint="eastAsia"/>
          <w:sz w:val="24"/>
        </w:rPr>
        <w:t xml:space="preserve"> </w:t>
      </w:r>
      <w:r>
        <w:rPr>
          <w:sz w:val="24"/>
        </w:rPr>
        <w:t>is the</w:t>
      </w:r>
      <w:r>
        <w:rPr>
          <w:rFonts w:hint="eastAsia"/>
          <w:sz w:val="24"/>
        </w:rPr>
        <w:t xml:space="preserve"> absorbance value after the reaction with the radical scavengers, respectively.</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.5.</w:t>
      </w:r>
      <w:r w:rsidR="00533AF7">
        <w:rPr>
          <w:b/>
          <w:bCs/>
          <w:i/>
          <w:iCs/>
          <w:sz w:val="24"/>
          <w:szCs w:val="24"/>
        </w:rPr>
        <w:t xml:space="preserve"> </w:t>
      </w:r>
      <w:r w:rsidR="00533AF7">
        <w:rPr>
          <w:rFonts w:hint="eastAsia"/>
          <w:b/>
          <w:bCs/>
          <w:i/>
          <w:iCs/>
          <w:sz w:val="24"/>
          <w:szCs w:val="24"/>
        </w:rPr>
        <w:t>I</w:t>
      </w:r>
      <w:r w:rsidR="00533AF7">
        <w:rPr>
          <w:b/>
          <w:bCs/>
          <w:i/>
          <w:iCs/>
          <w:sz w:val="24"/>
          <w:szCs w:val="24"/>
        </w:rPr>
        <w:t>n vitro</w:t>
      </w:r>
      <w:r w:rsidR="00533AF7">
        <w:rPr>
          <w:b/>
          <w:bCs/>
          <w:sz w:val="24"/>
          <w:szCs w:val="24"/>
        </w:rPr>
        <w:t xml:space="preserve"> DOX release experiments</w:t>
      </w:r>
    </w:p>
    <w:p w:rsidR="00B9479A" w:rsidRDefault="00533AF7">
      <w:pPr>
        <w:spacing w:line="480" w:lineRule="auto"/>
        <w:ind w:firstLineChars="200" w:firstLine="480"/>
        <w:rPr>
          <w:sz w:val="24"/>
        </w:rPr>
      </w:pPr>
      <w:r>
        <w:rPr>
          <w:sz w:val="24"/>
        </w:rPr>
        <w:t>The d</w:t>
      </w:r>
      <w:r>
        <w:rPr>
          <w:rFonts w:hint="eastAsia"/>
          <w:sz w:val="24"/>
        </w:rPr>
        <w:t>ialysis</w:t>
      </w:r>
      <w:r>
        <w:rPr>
          <w:sz w:val="24"/>
        </w:rPr>
        <w:t xml:space="preserve"> method was used to assess</w:t>
      </w:r>
      <w:r>
        <w:rPr>
          <w:rFonts w:hint="eastAsia"/>
          <w:sz w:val="24"/>
        </w:rPr>
        <w:t xml:space="preserve"> the DOX release</w:t>
      </w:r>
      <w:r>
        <w:rPr>
          <w:sz w:val="24"/>
        </w:rPr>
        <w:t xml:space="preserve"> kinetics</w:t>
      </w:r>
      <w:r>
        <w:rPr>
          <w:rFonts w:hint="eastAsia"/>
          <w:sz w:val="24"/>
        </w:rPr>
        <w:t xml:space="preserve"> </w:t>
      </w:r>
      <w:r>
        <w:rPr>
          <w:sz w:val="24"/>
        </w:rPr>
        <w:t xml:space="preserve">with the stimulation of </w:t>
      </w:r>
      <w:r>
        <w:rPr>
          <w:rFonts w:hint="eastAsia"/>
          <w:sz w:val="24"/>
        </w:rPr>
        <w:t>pH and temperature, set four groups as follows</w:t>
      </w:r>
      <w:r>
        <w:rPr>
          <w:sz w:val="24"/>
        </w:rPr>
        <w:t>:</w:t>
      </w:r>
      <w:r>
        <w:rPr>
          <w:rFonts w:hint="eastAsia"/>
          <w:sz w:val="24"/>
        </w:rPr>
        <w:t xml:space="preserve"> (1) pH = 7.4, 25</w:t>
      </w:r>
      <w:r>
        <w:rPr>
          <w:sz w:val="24"/>
        </w:rPr>
        <w:t>°C</w:t>
      </w:r>
      <w:r>
        <w:rPr>
          <w:rFonts w:hint="eastAsia"/>
          <w:sz w:val="24"/>
        </w:rPr>
        <w:t xml:space="preserve"> (2) pH = 7.4</w:t>
      </w:r>
      <w:r>
        <w:rPr>
          <w:sz w:val="24"/>
        </w:rPr>
        <w:t>,</w:t>
      </w:r>
      <w:r>
        <w:rPr>
          <w:rFonts w:hint="eastAsia"/>
          <w:sz w:val="24"/>
        </w:rPr>
        <w:t xml:space="preserve"> 37</w:t>
      </w:r>
      <w:r>
        <w:rPr>
          <w:sz w:val="24"/>
        </w:rPr>
        <w:t>°C</w:t>
      </w:r>
      <w:r>
        <w:rPr>
          <w:rFonts w:hint="eastAsia"/>
          <w:sz w:val="24"/>
        </w:rPr>
        <w:t xml:space="preserve"> (3) pH = 5.7</w:t>
      </w:r>
      <w:r>
        <w:rPr>
          <w:sz w:val="24"/>
        </w:rPr>
        <w:t>,</w:t>
      </w:r>
      <w:r>
        <w:rPr>
          <w:rFonts w:hint="eastAsia"/>
          <w:sz w:val="24"/>
        </w:rPr>
        <w:t xml:space="preserve"> 25</w:t>
      </w:r>
      <w:r>
        <w:rPr>
          <w:sz w:val="24"/>
        </w:rPr>
        <w:t>°C</w:t>
      </w:r>
      <w:r>
        <w:rPr>
          <w:rFonts w:hint="eastAsia"/>
          <w:sz w:val="24"/>
        </w:rPr>
        <w:t xml:space="preserve"> (4) pH = </w:t>
      </w:r>
      <w:r>
        <w:rPr>
          <w:sz w:val="24"/>
        </w:rPr>
        <w:t>5.7,</w:t>
      </w:r>
      <w:r>
        <w:rPr>
          <w:rFonts w:hint="eastAsia"/>
          <w:sz w:val="24"/>
        </w:rPr>
        <w:t xml:space="preserve"> 37</w:t>
      </w:r>
      <w:r>
        <w:rPr>
          <w:sz w:val="24"/>
        </w:rPr>
        <w:t>°C</w:t>
      </w:r>
      <w:r>
        <w:rPr>
          <w:rFonts w:hint="eastAsia"/>
          <w:sz w:val="24"/>
        </w:rPr>
        <w:t>. 2 mL of PDA(DOX) at a concentration of 5 m</w:t>
      </w:r>
      <w:r>
        <w:rPr>
          <w:sz w:val="24"/>
        </w:rPr>
        <w:t>g mL</w:t>
      </w:r>
      <w:r>
        <w:rPr>
          <w:sz w:val="24"/>
          <w:vertAlign w:val="superscript"/>
        </w:rPr>
        <w:t>-1</w:t>
      </w:r>
      <w:r>
        <w:rPr>
          <w:rFonts w:hint="eastAsia"/>
          <w:sz w:val="24"/>
        </w:rPr>
        <w:t xml:space="preserve"> were packaged in dialysis bags (MWCO = 3.5 kDa), immersed within 250 mL PBS under magnetic stirring at </w:t>
      </w:r>
      <w:r>
        <w:rPr>
          <w:sz w:val="24"/>
        </w:rPr>
        <w:t xml:space="preserve">the </w:t>
      </w:r>
      <w:r>
        <w:rPr>
          <w:rFonts w:hint="eastAsia"/>
          <w:sz w:val="24"/>
        </w:rPr>
        <w:t xml:space="preserve">corresponding temperature. </w:t>
      </w:r>
      <w:r>
        <w:rPr>
          <w:sz w:val="24"/>
        </w:rPr>
        <w:t xml:space="preserve">In addition, </w:t>
      </w:r>
      <w:r>
        <w:rPr>
          <w:rFonts w:hint="eastAsia"/>
          <w:sz w:val="24"/>
        </w:rPr>
        <w:t xml:space="preserve">300 </w:t>
      </w:r>
      <w:r>
        <w:rPr>
          <w:sz w:val="24"/>
        </w:rPr>
        <w:t>μ</w:t>
      </w:r>
      <w:r>
        <w:rPr>
          <w:rFonts w:hint="eastAsia"/>
          <w:sz w:val="24"/>
        </w:rPr>
        <w:t xml:space="preserve">L of </w:t>
      </w:r>
      <w:r>
        <w:rPr>
          <w:sz w:val="24"/>
        </w:rPr>
        <w:t>supernatant</w:t>
      </w:r>
      <w:r>
        <w:rPr>
          <w:rFonts w:hint="eastAsia"/>
          <w:sz w:val="24"/>
        </w:rPr>
        <w:t xml:space="preserve"> was </w:t>
      </w:r>
      <w:r>
        <w:rPr>
          <w:sz w:val="24"/>
        </w:rPr>
        <w:t>taken out</w:t>
      </w:r>
      <w:r>
        <w:rPr>
          <w:rFonts w:hint="eastAsia"/>
          <w:sz w:val="24"/>
        </w:rPr>
        <w:t xml:space="preserve"> at different</w:t>
      </w:r>
      <w:r>
        <w:rPr>
          <w:sz w:val="24"/>
        </w:rPr>
        <w:t xml:space="preserve"> time</w:t>
      </w:r>
      <w:r>
        <w:rPr>
          <w:rFonts w:hint="eastAsia"/>
          <w:sz w:val="24"/>
        </w:rPr>
        <w:t xml:space="preserve"> points</w:t>
      </w:r>
      <w:r>
        <w:rPr>
          <w:sz w:val="24"/>
        </w:rPr>
        <w:t>, and the same amount of fresh PBS was added</w:t>
      </w:r>
      <w:r>
        <w:rPr>
          <w:rFonts w:hint="eastAsia"/>
          <w:sz w:val="24"/>
        </w:rPr>
        <w:t xml:space="preserve">. </w:t>
      </w:r>
      <w:r>
        <w:rPr>
          <w:sz w:val="24"/>
        </w:rPr>
        <w:t>The DOX concentration in the supernatant was measured by fluorescence intensity at 588 nm. Finally, the cumulative release percentages of DOX were calculated to evaluate the release kinetics</w:t>
      </w:r>
      <w:r>
        <w:rPr>
          <w:rFonts w:hint="eastAsia"/>
          <w:sz w:val="24"/>
        </w:rPr>
        <w:t>.</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.6. Cell experiments</w:t>
      </w:r>
    </w:p>
    <w:p w:rsidR="00B9479A" w:rsidRDefault="00533AF7">
      <w:pPr>
        <w:spacing w:line="480" w:lineRule="auto"/>
        <w:ind w:firstLineChars="200" w:firstLine="482"/>
        <w:rPr>
          <w:sz w:val="24"/>
        </w:rPr>
      </w:pPr>
      <w:r>
        <w:rPr>
          <w:b/>
          <w:bCs/>
          <w:sz w:val="24"/>
          <w:szCs w:val="24"/>
        </w:rPr>
        <w:t>Cell culture.</w:t>
      </w:r>
      <w:r>
        <w:rPr>
          <w:sz w:val="24"/>
          <w:szCs w:val="24"/>
        </w:rPr>
        <w:t xml:space="preserve"> </w:t>
      </w:r>
      <w:r>
        <w:rPr>
          <w:rFonts w:hint="eastAsia"/>
          <w:sz w:val="24"/>
          <w:szCs w:val="24"/>
        </w:rPr>
        <w:t>There were three different types of cell lines, Murine breast cancer 4T1 cell line (4T1), rat cardiomyocyte cell line (H9C2), and human mammary epithelial cell line (MCF 10A). 4T1</w:t>
      </w:r>
      <w:r>
        <w:rPr>
          <w:sz w:val="24"/>
          <w:szCs w:val="24"/>
        </w:rPr>
        <w:t xml:space="preserve"> and H9C2 cells were cultivated in the </w:t>
      </w:r>
      <w:r>
        <w:rPr>
          <w:rFonts w:hint="eastAsia"/>
          <w:sz w:val="24"/>
          <w:szCs w:val="24"/>
        </w:rPr>
        <w:t>RPMI-1640 medium</w:t>
      </w:r>
      <w:r>
        <w:rPr>
          <w:sz w:val="24"/>
          <w:szCs w:val="24"/>
        </w:rPr>
        <w:t xml:space="preserve"> and </w:t>
      </w:r>
      <w:r>
        <w:rPr>
          <w:rFonts w:hint="eastAsia"/>
          <w:sz w:val="24"/>
          <w:szCs w:val="24"/>
        </w:rPr>
        <w:t>high g</w:t>
      </w:r>
      <w:r>
        <w:rPr>
          <w:sz w:val="24"/>
          <w:szCs w:val="24"/>
        </w:rPr>
        <w:t>lu</w:t>
      </w:r>
      <w:r>
        <w:rPr>
          <w:rFonts w:hint="eastAsia"/>
          <w:sz w:val="24"/>
          <w:szCs w:val="24"/>
        </w:rPr>
        <w:t>cose DMEM mediu</w:t>
      </w:r>
      <w:r>
        <w:rPr>
          <w:sz w:val="24"/>
          <w:szCs w:val="24"/>
        </w:rPr>
        <w:t>m, respectively, containing</w:t>
      </w:r>
      <w:r>
        <w:rPr>
          <w:rFonts w:hint="eastAsia"/>
          <w:sz w:val="24"/>
          <w:szCs w:val="24"/>
        </w:rPr>
        <w:t xml:space="preserve"> 10% fetal bovine serum</w:t>
      </w:r>
      <w:r>
        <w:rPr>
          <w:sz w:val="24"/>
          <w:szCs w:val="24"/>
        </w:rPr>
        <w:t xml:space="preserve"> and 1% penicillin/streptomycin at </w:t>
      </w:r>
      <w:r>
        <w:rPr>
          <w:rFonts w:hint="eastAsia"/>
          <w:sz w:val="24"/>
          <w:szCs w:val="24"/>
        </w:rPr>
        <w:t>37</w:t>
      </w:r>
      <w:r>
        <w:rPr>
          <w:sz w:val="24"/>
        </w:rPr>
        <w:t>°C</w:t>
      </w:r>
      <w:r>
        <w:rPr>
          <w:rFonts w:hint="eastAsia"/>
          <w:sz w:val="24"/>
        </w:rPr>
        <w:t xml:space="preserve"> in 5% CO</w:t>
      </w:r>
      <w:r>
        <w:rPr>
          <w:rFonts w:hint="eastAsia"/>
          <w:sz w:val="24"/>
          <w:vertAlign w:val="subscript"/>
        </w:rPr>
        <w:t>2</w:t>
      </w:r>
      <w:r>
        <w:rPr>
          <w:sz w:val="24"/>
          <w:szCs w:val="24"/>
        </w:rPr>
        <w:t xml:space="preserve">. </w:t>
      </w:r>
      <w:r>
        <w:rPr>
          <w:rFonts w:hint="eastAsia"/>
          <w:sz w:val="24"/>
          <w:szCs w:val="24"/>
        </w:rPr>
        <w:t xml:space="preserve">MCF 10A cells were cultured in </w:t>
      </w:r>
      <w:r>
        <w:rPr>
          <w:sz w:val="24"/>
          <w:szCs w:val="24"/>
        </w:rPr>
        <w:t xml:space="preserve">the </w:t>
      </w:r>
      <w:r>
        <w:rPr>
          <w:rFonts w:hint="eastAsia"/>
          <w:sz w:val="24"/>
          <w:szCs w:val="24"/>
        </w:rPr>
        <w:t>MCF 10A</w:t>
      </w:r>
      <w:r>
        <w:rPr>
          <w:sz w:val="24"/>
          <w:szCs w:val="24"/>
        </w:rPr>
        <w:t>-</w:t>
      </w:r>
      <w:r>
        <w:rPr>
          <w:rFonts w:hint="eastAsia"/>
          <w:sz w:val="24"/>
          <w:szCs w:val="24"/>
        </w:rPr>
        <w:t>specific medium</w:t>
      </w:r>
      <w:r>
        <w:rPr>
          <w:rFonts w:hint="eastAsia"/>
          <w:sz w:val="24"/>
        </w:rPr>
        <w:t>.</w:t>
      </w:r>
    </w:p>
    <w:p w:rsidR="00B9479A" w:rsidRDefault="00533AF7">
      <w:pPr>
        <w:spacing w:line="480" w:lineRule="auto"/>
        <w:ind w:firstLineChars="200" w:firstLine="482"/>
        <w:rPr>
          <w:sz w:val="24"/>
          <w:szCs w:val="24"/>
        </w:rPr>
      </w:pPr>
      <w:r>
        <w:rPr>
          <w:b/>
          <w:bCs/>
          <w:sz w:val="24"/>
        </w:rPr>
        <w:t>Cytotoxicity assays.</w:t>
      </w:r>
      <w:r>
        <w:rPr>
          <w:sz w:val="24"/>
        </w:rPr>
        <w:t xml:space="preserve"> Cytotoxicity assays of PDA(DOX) were an</w:t>
      </w:r>
      <w:r>
        <w:rPr>
          <w:rFonts w:hint="eastAsia"/>
          <w:sz w:val="24"/>
        </w:rPr>
        <w:t>alyzed on 4T1, H9C2, and MCF 10A.</w:t>
      </w:r>
      <w:r>
        <w:rPr>
          <w:sz w:val="24"/>
        </w:rPr>
        <w:t xml:space="preserve"> First, the relative cell activities were determined through the standard MTT assays.</w:t>
      </w:r>
      <w:r>
        <w:rPr>
          <w:rFonts w:hint="eastAsia"/>
          <w:sz w:val="24"/>
        </w:rPr>
        <w:t xml:space="preserve"> </w:t>
      </w:r>
      <w:r>
        <w:rPr>
          <w:sz w:val="24"/>
        </w:rPr>
        <w:t>Then, c</w:t>
      </w:r>
      <w:r>
        <w:rPr>
          <w:rFonts w:hint="eastAsia"/>
          <w:sz w:val="24"/>
        </w:rPr>
        <w:t xml:space="preserve">ells were </w:t>
      </w:r>
      <w:r>
        <w:rPr>
          <w:sz w:val="24"/>
        </w:rPr>
        <w:t>incubat</w:t>
      </w:r>
      <w:r>
        <w:rPr>
          <w:rFonts w:hint="eastAsia"/>
          <w:sz w:val="24"/>
        </w:rPr>
        <w:t>ed i</w:t>
      </w:r>
      <w:r>
        <w:rPr>
          <w:sz w:val="24"/>
        </w:rPr>
        <w:t xml:space="preserve">n </w:t>
      </w:r>
      <w:r>
        <w:rPr>
          <w:rFonts w:hint="eastAsia"/>
          <w:sz w:val="24"/>
        </w:rPr>
        <w:t>96-well plate</w:t>
      </w:r>
      <w:r>
        <w:rPr>
          <w:sz w:val="24"/>
        </w:rPr>
        <w:t>s</w:t>
      </w:r>
      <w:r>
        <w:rPr>
          <w:rFonts w:hint="eastAsia"/>
          <w:sz w:val="24"/>
        </w:rPr>
        <w:t xml:space="preserve"> </w:t>
      </w:r>
      <w:r>
        <w:rPr>
          <w:sz w:val="24"/>
        </w:rPr>
        <w:t>at 10</w:t>
      </w:r>
      <w:r>
        <w:rPr>
          <w:sz w:val="24"/>
          <w:vertAlign w:val="superscript"/>
        </w:rPr>
        <w:t>4</w:t>
      </w:r>
      <w:r>
        <w:rPr>
          <w:sz w:val="24"/>
        </w:rPr>
        <w:t xml:space="preserve"> cells</w:t>
      </w:r>
      <w:r>
        <w:rPr>
          <w:rFonts w:hint="eastAsia"/>
          <w:sz w:val="24"/>
        </w:rPr>
        <w:t xml:space="preserve"> per well and incubated overnight at 37</w:t>
      </w:r>
      <w:r>
        <w:rPr>
          <w:sz w:val="24"/>
        </w:rPr>
        <w:t>°C</w:t>
      </w:r>
      <w:r>
        <w:rPr>
          <w:rFonts w:hint="eastAsia"/>
          <w:sz w:val="24"/>
        </w:rPr>
        <w:t xml:space="preserve"> under a hu</w:t>
      </w:r>
      <w:r>
        <w:rPr>
          <w:sz w:val="24"/>
        </w:rPr>
        <w:t>m</w:t>
      </w:r>
      <w:r>
        <w:rPr>
          <w:rFonts w:hint="eastAsia"/>
          <w:sz w:val="24"/>
        </w:rPr>
        <w:t>idified 5% CO</w:t>
      </w:r>
      <w:r>
        <w:rPr>
          <w:rFonts w:hint="eastAsia"/>
          <w:sz w:val="24"/>
          <w:vertAlign w:val="subscript"/>
        </w:rPr>
        <w:t>2</w:t>
      </w:r>
      <w:r>
        <w:rPr>
          <w:rFonts w:hint="eastAsia"/>
          <w:sz w:val="24"/>
        </w:rPr>
        <w:t>.</w:t>
      </w:r>
      <w:r>
        <w:rPr>
          <w:sz w:val="24"/>
        </w:rPr>
        <w:t xml:space="preserve"> Next,</w:t>
      </w:r>
      <w:r>
        <w:rPr>
          <w:rFonts w:hint="eastAsia"/>
          <w:sz w:val="24"/>
        </w:rPr>
        <w:t xml:space="preserve"> PDA(DOX) and DOX with different concentration</w:t>
      </w:r>
      <w:r>
        <w:rPr>
          <w:sz w:val="24"/>
        </w:rPr>
        <w:t>s</w:t>
      </w:r>
      <w:r>
        <w:rPr>
          <w:rFonts w:hint="eastAsia"/>
          <w:sz w:val="24"/>
        </w:rPr>
        <w:t xml:space="preserve"> (the final measured DOX concentrations were 6.3, 12.6, 25.2, </w:t>
      </w:r>
      <w:r>
        <w:rPr>
          <w:sz w:val="24"/>
        </w:rPr>
        <w:t xml:space="preserve">and </w:t>
      </w:r>
      <w:r>
        <w:rPr>
          <w:rFonts w:hint="eastAsia"/>
          <w:sz w:val="24"/>
        </w:rPr>
        <w:t xml:space="preserve">50.4 </w:t>
      </w:r>
      <w:r>
        <w:rPr>
          <w:sz w:val="24"/>
        </w:rPr>
        <w:t>μg/mL</w:t>
      </w:r>
      <w:r>
        <w:rPr>
          <w:rFonts w:hint="eastAsia"/>
          <w:sz w:val="24"/>
          <w:szCs w:val="24"/>
        </w:rPr>
        <w:t>) were added into wells for 24 h. After that, the cells were washed with PBS twice and treated with MTT to allow formazan dye formation.</w:t>
      </w:r>
      <w:r>
        <w:rPr>
          <w:sz w:val="24"/>
          <w:szCs w:val="24"/>
        </w:rPr>
        <w:t xml:space="preserve"> Then,</w:t>
      </w:r>
      <w:r>
        <w:rPr>
          <w:rFonts w:hint="eastAsia"/>
          <w:sz w:val="24"/>
          <w:szCs w:val="24"/>
        </w:rPr>
        <w:t xml:space="preserve"> 4 h later, the purple formazan in each well was dissolved with DMSO for 10 min. Finally, the </w:t>
      </w:r>
      <w:r>
        <w:rPr>
          <w:sz w:val="24"/>
          <w:szCs w:val="24"/>
        </w:rPr>
        <w:t>microplate reader (SpectraMax i3, Molecular Devices, USA) measured the absorption of formazan at 490 nm</w:t>
      </w:r>
      <w:r>
        <w:rPr>
          <w:rFonts w:hint="eastAsia"/>
          <w:sz w:val="24"/>
          <w:szCs w:val="24"/>
        </w:rPr>
        <w:t>.</w:t>
      </w:r>
    </w:p>
    <w:p w:rsidR="00B9479A" w:rsidRDefault="00533AF7">
      <w:pPr>
        <w:spacing w:line="480" w:lineRule="auto"/>
        <w:ind w:firstLine="475"/>
        <w:rPr>
          <w:sz w:val="24"/>
          <w:szCs w:val="24"/>
        </w:rPr>
      </w:pPr>
      <w:r>
        <w:rPr>
          <w:b/>
          <w:bCs/>
          <w:sz w:val="24"/>
        </w:rPr>
        <w:t xml:space="preserve">Cellular uptake observation. </w:t>
      </w:r>
      <w:r>
        <w:rPr>
          <w:rFonts w:hint="eastAsia"/>
          <w:sz w:val="24"/>
        </w:rPr>
        <w:t>C</w:t>
      </w:r>
      <w:r>
        <w:rPr>
          <w:sz w:val="24"/>
        </w:rPr>
        <w:t xml:space="preserve">ellular uptake of DOX </w:t>
      </w:r>
      <w:r>
        <w:rPr>
          <w:rFonts w:hint="eastAsia"/>
          <w:sz w:val="24"/>
        </w:rPr>
        <w:t>and</w:t>
      </w:r>
      <w:r>
        <w:rPr>
          <w:sz w:val="24"/>
        </w:rPr>
        <w:t xml:space="preserve"> PDA(DOX) was detected on 4T1 and H9C2 cells. </w:t>
      </w:r>
      <w:r>
        <w:rPr>
          <w:sz w:val="24"/>
          <w:szCs w:val="24"/>
        </w:rPr>
        <w:t>C</w:t>
      </w:r>
      <w:r>
        <w:rPr>
          <w:rFonts w:hint="eastAsia"/>
          <w:sz w:val="24"/>
          <w:szCs w:val="24"/>
        </w:rPr>
        <w:t xml:space="preserve">ells were seeded into </w:t>
      </w:r>
      <w:r>
        <w:rPr>
          <w:sz w:val="24"/>
          <w:szCs w:val="24"/>
        </w:rPr>
        <w:t xml:space="preserve">a </w:t>
      </w:r>
      <w:r>
        <w:rPr>
          <w:rFonts w:hint="eastAsia"/>
          <w:sz w:val="24"/>
          <w:szCs w:val="24"/>
        </w:rPr>
        <w:t>four-well chambered cover</w:t>
      </w:r>
      <w:r>
        <w:rPr>
          <w:sz w:val="24"/>
          <w:szCs w:val="24"/>
        </w:rPr>
        <w:t xml:space="preserve"> </w:t>
      </w:r>
      <w:r>
        <w:rPr>
          <w:rFonts w:hint="eastAsia"/>
          <w:sz w:val="24"/>
          <w:szCs w:val="24"/>
        </w:rPr>
        <w:t xml:space="preserve">glass at a density of 6 </w:t>
      </w:r>
      <w:r>
        <w:rPr>
          <w:sz w:val="24"/>
          <w:szCs w:val="24"/>
        </w:rPr>
        <w:t>×</w:t>
      </w:r>
      <w:r>
        <w:rPr>
          <w:rFonts w:hint="eastAsia"/>
          <w:sz w:val="24"/>
          <w:szCs w:val="24"/>
        </w:rPr>
        <w:t xml:space="preserve"> 10</w:t>
      </w:r>
      <w:r>
        <w:rPr>
          <w:rFonts w:hint="eastAsia"/>
          <w:sz w:val="24"/>
          <w:szCs w:val="24"/>
          <w:vertAlign w:val="superscript"/>
        </w:rPr>
        <w:t>4</w:t>
      </w:r>
      <w:r>
        <w:rPr>
          <w:rFonts w:hint="eastAsia"/>
          <w:sz w:val="24"/>
          <w:szCs w:val="24"/>
        </w:rPr>
        <w:t xml:space="preserve"> per well</w:t>
      </w:r>
      <w:r>
        <w:rPr>
          <w:sz w:val="24"/>
          <w:szCs w:val="24"/>
        </w:rPr>
        <w:t>.</w:t>
      </w:r>
      <w:r>
        <w:rPr>
          <w:rFonts w:hint="eastAsia"/>
          <w:sz w:val="24"/>
          <w:szCs w:val="24"/>
        </w:rPr>
        <w:t xml:space="preserve"> DOX or PDA(DOX) was added to wells to make the final concentrations 0.025, 0.05, </w:t>
      </w:r>
      <w:r>
        <w:rPr>
          <w:sz w:val="24"/>
          <w:szCs w:val="24"/>
        </w:rPr>
        <w:t xml:space="preserve">0.1, </w:t>
      </w:r>
      <w:r>
        <w:rPr>
          <w:rFonts w:hint="eastAsia"/>
          <w:sz w:val="24"/>
          <w:szCs w:val="24"/>
        </w:rPr>
        <w:t xml:space="preserve">and </w:t>
      </w:r>
      <w:r>
        <w:rPr>
          <w:sz w:val="24"/>
          <w:szCs w:val="24"/>
        </w:rPr>
        <w:t xml:space="preserve">0.2 </w:t>
      </w:r>
      <w:r>
        <w:rPr>
          <w:sz w:val="24"/>
        </w:rPr>
        <w:t>μg/mL</w:t>
      </w:r>
      <w:r>
        <w:rPr>
          <w:rFonts w:hint="eastAsia"/>
          <w:sz w:val="24"/>
          <w:szCs w:val="24"/>
        </w:rPr>
        <w:t xml:space="preserve"> (</w:t>
      </w:r>
      <w:bookmarkStart w:id="2" w:name="_Hlk125730603"/>
      <w:r>
        <w:rPr>
          <w:rFonts w:hint="eastAsia"/>
          <w:sz w:val="24"/>
          <w:szCs w:val="24"/>
        </w:rPr>
        <w:t>in terms of DOX</w:t>
      </w:r>
      <w:bookmarkEnd w:id="2"/>
      <w:r>
        <w:rPr>
          <w:rFonts w:hint="eastAsia"/>
          <w:sz w:val="24"/>
          <w:szCs w:val="24"/>
        </w:rPr>
        <w:t>)</w:t>
      </w:r>
      <w:r>
        <w:rPr>
          <w:sz w:val="24"/>
          <w:szCs w:val="24"/>
        </w:rPr>
        <w:t xml:space="preserve"> after ensuring that the cells were adherent. Then, 2 h or 4 h later, PBS was washed three times, and 4% paraformaldehyde fix solution was added into each well for 30 min. After PBS washing, DiO </w:t>
      </w:r>
      <w:r>
        <w:rPr>
          <w:rFonts w:hint="eastAsia"/>
          <w:sz w:val="24"/>
          <w:szCs w:val="24"/>
        </w:rPr>
        <w:t>staining</w:t>
      </w:r>
      <w:r>
        <w:rPr>
          <w:sz w:val="24"/>
          <w:szCs w:val="24"/>
        </w:rPr>
        <w:t xml:space="preserve"> solution was added for incubating at 37</w:t>
      </w:r>
      <w:r>
        <w:rPr>
          <w:sz w:val="24"/>
        </w:rPr>
        <w:t>°C</w:t>
      </w:r>
      <w:r>
        <w:rPr>
          <w:sz w:val="24"/>
          <w:szCs w:val="24"/>
        </w:rPr>
        <w:t xml:space="preserve"> protected from light for 10 min. Then, DAPI staining solution was added for dye at room temperature for 4 min. Finally, PBS </w:t>
      </w:r>
      <w:r>
        <w:rPr>
          <w:rFonts w:hint="eastAsia"/>
          <w:sz w:val="24"/>
          <w:szCs w:val="24"/>
        </w:rPr>
        <w:t>was</w:t>
      </w:r>
      <w:r>
        <w:rPr>
          <w:sz w:val="24"/>
          <w:szCs w:val="24"/>
        </w:rPr>
        <w:t xml:space="preserve"> washed thrice for 4 minutes each, and fluorescence images were taken through a</w:t>
      </w:r>
      <w:r>
        <w:rPr>
          <w:rFonts w:hint="eastAsia"/>
          <w:sz w:val="24"/>
          <w:szCs w:val="24"/>
        </w:rPr>
        <w:t xml:space="preserve"> </w:t>
      </w:r>
      <w:r>
        <w:rPr>
          <w:rFonts w:hint="eastAsia"/>
          <w:sz w:val="24"/>
        </w:rPr>
        <w:t>laser</w:t>
      </w:r>
      <w:r>
        <w:rPr>
          <w:sz w:val="24"/>
        </w:rPr>
        <w:t xml:space="preserve"> scanning</w:t>
      </w:r>
      <w:r>
        <w:rPr>
          <w:rFonts w:hint="eastAsia"/>
          <w:sz w:val="24"/>
        </w:rPr>
        <w:t xml:space="preserve"> confocal microscop</w:t>
      </w:r>
      <w:r>
        <w:rPr>
          <w:sz w:val="24"/>
        </w:rPr>
        <w:t>e (Zeiss, LSM 900)</w:t>
      </w:r>
      <w:r>
        <w:rPr>
          <w:rFonts w:hint="eastAsia"/>
          <w:sz w:val="24"/>
          <w:szCs w:val="24"/>
        </w:rPr>
        <w:t xml:space="preserve">. </w:t>
      </w:r>
    </w:p>
    <w:p w:rsidR="00B9479A" w:rsidRDefault="00533AF7">
      <w:pPr>
        <w:spacing w:line="480" w:lineRule="auto"/>
        <w:ind w:firstLine="475"/>
        <w:rPr>
          <w:b/>
          <w:bCs/>
          <w:sz w:val="24"/>
          <w:szCs w:val="24"/>
        </w:rPr>
      </w:pPr>
      <w:r>
        <w:rPr>
          <w:b/>
          <w:bCs/>
          <w:sz w:val="24"/>
          <w:szCs w:val="24"/>
        </w:rPr>
        <w:t xml:space="preserve">Apoptosis assay. </w:t>
      </w:r>
      <w:r>
        <w:rPr>
          <w:sz w:val="24"/>
          <w:szCs w:val="24"/>
        </w:rPr>
        <w:t>Annexin V-FITC/PI apoptosis detection kit was used to evaluate 4T1. First, cells were seeded into a 6-well plate at a density of 4 × 10</w:t>
      </w:r>
      <w:r>
        <w:rPr>
          <w:sz w:val="24"/>
          <w:szCs w:val="24"/>
          <w:vertAlign w:val="superscript"/>
        </w:rPr>
        <w:t>5</w:t>
      </w:r>
      <w:r>
        <w:rPr>
          <w:sz w:val="24"/>
          <w:szCs w:val="24"/>
        </w:rPr>
        <w:t xml:space="preserve"> per well. After the cell adhesion, DOX (0.05, 0.10 μg/mL) or PDA(DOX) (0.15, 0.30 μg/mL) was added into the wells. Then, 24 h later, cells were collected, washed with pre-chilled PBS, and dispersed into the 1×</w:t>
      </w:r>
      <w:r>
        <w:rPr>
          <w:rFonts w:hint="eastAsia"/>
          <w:sz w:val="24"/>
          <w:szCs w:val="24"/>
        </w:rPr>
        <w:t xml:space="preserve"> bind</w:t>
      </w:r>
      <w:r>
        <w:rPr>
          <w:sz w:val="24"/>
          <w:szCs w:val="24"/>
        </w:rPr>
        <w:t>ing buffer, respectively. Finally, 200 μL cells were stained with Annexin V-FITC (10 μL) and PI (5 μL) for flow cytometry (Beckman Coulter, Cytoflex, USA) analysis.</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.7.</w:t>
      </w:r>
      <w:r w:rsidR="00533AF7">
        <w:rPr>
          <w:b/>
          <w:bCs/>
          <w:i/>
          <w:iCs/>
          <w:sz w:val="24"/>
          <w:szCs w:val="24"/>
        </w:rPr>
        <w:t xml:space="preserve"> In vitro</w:t>
      </w:r>
      <w:r w:rsidR="00533AF7">
        <w:rPr>
          <w:b/>
          <w:bCs/>
          <w:sz w:val="24"/>
          <w:szCs w:val="24"/>
        </w:rPr>
        <w:t xml:space="preserve"> synergistic chemo-photothermal therapy effect</w:t>
      </w:r>
    </w:p>
    <w:p w:rsidR="00B9479A" w:rsidRDefault="00533AF7">
      <w:pPr>
        <w:spacing w:line="480" w:lineRule="auto"/>
        <w:ind w:firstLineChars="200" w:firstLine="480"/>
        <w:rPr>
          <w:sz w:val="24"/>
          <w:szCs w:val="24"/>
        </w:rPr>
      </w:pPr>
      <w:r>
        <w:rPr>
          <w:sz w:val="24"/>
          <w:szCs w:val="24"/>
        </w:rPr>
        <w:t>The s</w:t>
      </w:r>
      <w:r>
        <w:rPr>
          <w:rFonts w:hint="eastAsia"/>
          <w:sz w:val="24"/>
          <w:szCs w:val="24"/>
        </w:rPr>
        <w:t xml:space="preserve">ynergistic </w:t>
      </w:r>
      <w:r>
        <w:rPr>
          <w:sz w:val="24"/>
          <w:szCs w:val="24"/>
        </w:rPr>
        <w:t>c</w:t>
      </w:r>
      <w:r>
        <w:rPr>
          <w:rFonts w:hint="eastAsia"/>
          <w:sz w:val="24"/>
          <w:szCs w:val="24"/>
        </w:rPr>
        <w:t xml:space="preserve">hemo-photothermal therapy effect of PDA(DOX) </w:t>
      </w:r>
      <w:r>
        <w:rPr>
          <w:rFonts w:hint="eastAsia"/>
          <w:i/>
          <w:iCs/>
          <w:sz w:val="24"/>
          <w:szCs w:val="24"/>
        </w:rPr>
        <w:t>in vitro</w:t>
      </w:r>
      <w:r>
        <w:rPr>
          <w:rFonts w:hint="eastAsia"/>
          <w:sz w:val="24"/>
          <w:szCs w:val="24"/>
        </w:rPr>
        <w:t xml:space="preserve"> was evaluated on 4T1 cells. </w:t>
      </w:r>
      <w:r>
        <w:rPr>
          <w:sz w:val="24"/>
          <w:szCs w:val="24"/>
        </w:rPr>
        <w:t xml:space="preserve">First, the </w:t>
      </w:r>
      <w:r>
        <w:rPr>
          <w:rFonts w:hint="eastAsia"/>
          <w:sz w:val="24"/>
          <w:szCs w:val="24"/>
        </w:rPr>
        <w:t>4T1 cells were cultured in 96-well plate</w:t>
      </w:r>
      <w:r>
        <w:rPr>
          <w:sz w:val="24"/>
          <w:szCs w:val="24"/>
        </w:rPr>
        <w:t>s</w:t>
      </w:r>
      <w:r>
        <w:rPr>
          <w:rFonts w:hint="eastAsia"/>
          <w:sz w:val="24"/>
          <w:szCs w:val="24"/>
        </w:rPr>
        <w:t xml:space="preserve"> at </w:t>
      </w:r>
      <w:r>
        <w:rPr>
          <w:sz w:val="24"/>
          <w:szCs w:val="24"/>
        </w:rPr>
        <w:t>1</w:t>
      </w:r>
      <w:r>
        <w:rPr>
          <w:rFonts w:hint="eastAsia"/>
          <w:sz w:val="24"/>
          <w:szCs w:val="24"/>
        </w:rPr>
        <w:t>0</w:t>
      </w:r>
      <w:r>
        <w:rPr>
          <w:rFonts w:hint="eastAsia"/>
          <w:sz w:val="24"/>
          <w:szCs w:val="24"/>
          <w:vertAlign w:val="superscript"/>
        </w:rPr>
        <w:t xml:space="preserve">4 </w:t>
      </w:r>
      <w:r>
        <w:rPr>
          <w:rFonts w:hint="eastAsia"/>
          <w:sz w:val="24"/>
          <w:szCs w:val="24"/>
        </w:rPr>
        <w:t xml:space="preserve">cells per well overnight at 37 </w:t>
      </w:r>
      <w:r>
        <w:rPr>
          <w:sz w:val="24"/>
        </w:rPr>
        <w:t>°C</w:t>
      </w:r>
      <w:r>
        <w:rPr>
          <w:rFonts w:hint="eastAsia"/>
          <w:sz w:val="24"/>
        </w:rPr>
        <w:t>. The cells were d</w:t>
      </w:r>
      <w:r>
        <w:rPr>
          <w:sz w:val="24"/>
        </w:rPr>
        <w:t>i</w:t>
      </w:r>
      <w:r>
        <w:rPr>
          <w:rFonts w:hint="eastAsia"/>
          <w:sz w:val="24"/>
        </w:rPr>
        <w:t>vided into five groups</w:t>
      </w:r>
      <w:r>
        <w:rPr>
          <w:sz w:val="24"/>
        </w:rPr>
        <w:t>:</w:t>
      </w:r>
      <w:r>
        <w:rPr>
          <w:rFonts w:hint="eastAsia"/>
          <w:sz w:val="24"/>
        </w:rPr>
        <w:t xml:space="preserve"> control, </w:t>
      </w:r>
      <w:r>
        <w:rPr>
          <w:sz w:val="24"/>
        </w:rPr>
        <w:t xml:space="preserve">only </w:t>
      </w:r>
      <w:r>
        <w:rPr>
          <w:rFonts w:hint="eastAsia"/>
          <w:sz w:val="24"/>
        </w:rPr>
        <w:t xml:space="preserve">laser, PDA + laser, PDA(DOX) + laser, and PDA(DOX). Then, cells were incubated with corresponding drugs </w:t>
      </w:r>
      <w:r>
        <w:rPr>
          <w:rFonts w:hint="eastAsia"/>
          <w:sz w:val="24"/>
          <w:szCs w:val="24"/>
        </w:rPr>
        <w:t xml:space="preserve">for 4 h. </w:t>
      </w:r>
      <w:r>
        <w:rPr>
          <w:sz w:val="24"/>
          <w:szCs w:val="24"/>
        </w:rPr>
        <w:t xml:space="preserve">The </w:t>
      </w:r>
      <w:r>
        <w:rPr>
          <w:rFonts w:hint="eastAsia"/>
          <w:sz w:val="24"/>
          <w:szCs w:val="24"/>
        </w:rPr>
        <w:t xml:space="preserve">drugs had the same PDA concentrations, 25, 50, and 100 </w:t>
      </w:r>
      <w:r>
        <w:rPr>
          <w:sz w:val="24"/>
        </w:rPr>
        <w:t>μg/mL</w:t>
      </w:r>
      <w:r>
        <w:rPr>
          <w:rFonts w:hint="eastAsia"/>
          <w:sz w:val="24"/>
          <w:szCs w:val="24"/>
        </w:rPr>
        <w:t>, respectively</w:t>
      </w:r>
      <w:r>
        <w:rPr>
          <w:sz w:val="24"/>
          <w:szCs w:val="24"/>
        </w:rPr>
        <w:t>. Therefore, t</w:t>
      </w:r>
      <w:r>
        <w:rPr>
          <w:rFonts w:hint="eastAsia"/>
          <w:sz w:val="24"/>
          <w:szCs w:val="24"/>
        </w:rPr>
        <w:t>h</w:t>
      </w:r>
      <w:r>
        <w:rPr>
          <w:sz w:val="24"/>
          <w:szCs w:val="24"/>
        </w:rPr>
        <w:t>e PDA(DOX) concentrations</w:t>
      </w:r>
      <w:r>
        <w:rPr>
          <w:rFonts w:hint="eastAsia"/>
          <w:sz w:val="24"/>
          <w:szCs w:val="24"/>
        </w:rPr>
        <w:t xml:space="preserve"> were 37.5, 75, and 150 </w:t>
      </w:r>
      <w:r>
        <w:rPr>
          <w:sz w:val="24"/>
        </w:rPr>
        <w:t>μg/mL</w:t>
      </w:r>
      <w:r>
        <w:rPr>
          <w:rFonts w:hint="eastAsia"/>
          <w:sz w:val="24"/>
          <w:szCs w:val="24"/>
        </w:rPr>
        <w:t xml:space="preserve">. After that, cells in laser groups </w:t>
      </w:r>
      <w:r>
        <w:rPr>
          <w:sz w:val="24"/>
          <w:szCs w:val="24"/>
        </w:rPr>
        <w:t xml:space="preserve">were </w:t>
      </w:r>
      <w:r>
        <w:rPr>
          <w:rFonts w:hint="eastAsia"/>
          <w:sz w:val="24"/>
          <w:szCs w:val="24"/>
        </w:rPr>
        <w:t xml:space="preserve">irradiated with an 808 nm laser at a laser power of 1.5 W for 5 min. </w:t>
      </w:r>
      <w:r>
        <w:rPr>
          <w:sz w:val="24"/>
          <w:szCs w:val="24"/>
        </w:rPr>
        <w:t>Then, c</w:t>
      </w:r>
      <w:r>
        <w:rPr>
          <w:rFonts w:hint="eastAsia"/>
          <w:sz w:val="24"/>
          <w:szCs w:val="24"/>
        </w:rPr>
        <w:t xml:space="preserve">ells </w:t>
      </w:r>
      <w:r>
        <w:rPr>
          <w:sz w:val="24"/>
          <w:szCs w:val="24"/>
        </w:rPr>
        <w:t xml:space="preserve">continued to </w:t>
      </w:r>
      <w:r>
        <w:rPr>
          <w:rFonts w:hint="eastAsia"/>
          <w:sz w:val="24"/>
          <w:szCs w:val="24"/>
        </w:rPr>
        <w:t>incubat</w:t>
      </w:r>
      <w:r>
        <w:rPr>
          <w:sz w:val="24"/>
          <w:szCs w:val="24"/>
        </w:rPr>
        <w:t>e</w:t>
      </w:r>
      <w:r>
        <w:rPr>
          <w:rFonts w:hint="eastAsia"/>
          <w:sz w:val="24"/>
          <w:szCs w:val="24"/>
        </w:rPr>
        <w:t xml:space="preserve"> for 20 h </w:t>
      </w:r>
      <w:r>
        <w:rPr>
          <w:sz w:val="24"/>
          <w:szCs w:val="24"/>
        </w:rPr>
        <w:t xml:space="preserve">and </w:t>
      </w:r>
      <w:r>
        <w:rPr>
          <w:rFonts w:hint="eastAsia"/>
          <w:sz w:val="24"/>
          <w:szCs w:val="24"/>
        </w:rPr>
        <w:t>were washed with PBS twice</w:t>
      </w:r>
      <w:r>
        <w:rPr>
          <w:sz w:val="24"/>
          <w:szCs w:val="24"/>
        </w:rPr>
        <w:t>. Finally, t</w:t>
      </w:r>
      <w:r>
        <w:rPr>
          <w:rFonts w:hint="eastAsia"/>
          <w:sz w:val="24"/>
          <w:szCs w:val="24"/>
        </w:rPr>
        <w:t>he</w:t>
      </w:r>
      <w:r>
        <w:rPr>
          <w:sz w:val="24"/>
          <w:szCs w:val="24"/>
        </w:rPr>
        <w:t xml:space="preserve"> standard</w:t>
      </w:r>
      <w:r>
        <w:rPr>
          <w:rFonts w:hint="eastAsia"/>
          <w:sz w:val="24"/>
          <w:szCs w:val="24"/>
        </w:rPr>
        <w:t xml:space="preserve"> MTT assay was carried out to determine the </w:t>
      </w:r>
      <w:r>
        <w:rPr>
          <w:sz w:val="24"/>
          <w:szCs w:val="24"/>
        </w:rPr>
        <w:t xml:space="preserve">relative </w:t>
      </w:r>
      <w:r>
        <w:rPr>
          <w:rFonts w:hint="eastAsia"/>
          <w:sz w:val="24"/>
          <w:szCs w:val="24"/>
        </w:rPr>
        <w:t>cell viabilit</w:t>
      </w:r>
      <w:r>
        <w:rPr>
          <w:sz w:val="24"/>
          <w:szCs w:val="24"/>
        </w:rPr>
        <w:t>y after s</w:t>
      </w:r>
      <w:r>
        <w:rPr>
          <w:rFonts w:hint="eastAsia"/>
          <w:sz w:val="24"/>
          <w:szCs w:val="24"/>
        </w:rPr>
        <w:t xml:space="preserve">ynergistic </w:t>
      </w:r>
      <w:r>
        <w:rPr>
          <w:sz w:val="24"/>
          <w:szCs w:val="24"/>
        </w:rPr>
        <w:t>c</w:t>
      </w:r>
      <w:r>
        <w:rPr>
          <w:rFonts w:hint="eastAsia"/>
          <w:sz w:val="24"/>
          <w:szCs w:val="24"/>
        </w:rPr>
        <w:t>hemo-photothermal</w:t>
      </w:r>
      <w:r>
        <w:rPr>
          <w:sz w:val="24"/>
          <w:szCs w:val="24"/>
        </w:rPr>
        <w:t xml:space="preserve"> treatment</w:t>
      </w:r>
      <w:r>
        <w:rPr>
          <w:rFonts w:hint="eastAsia"/>
          <w:sz w:val="24"/>
          <w:szCs w:val="24"/>
        </w:rPr>
        <w:t>.</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 xml:space="preserve">.8. </w:t>
      </w:r>
      <w:r w:rsidR="00533AF7">
        <w:rPr>
          <w:rFonts w:hint="eastAsia"/>
          <w:b/>
          <w:bCs/>
          <w:sz w:val="24"/>
          <w:szCs w:val="24"/>
        </w:rPr>
        <w:t>O</w:t>
      </w:r>
      <w:r w:rsidR="00533AF7">
        <w:rPr>
          <w:b/>
          <w:bCs/>
          <w:sz w:val="24"/>
          <w:szCs w:val="24"/>
        </w:rPr>
        <w:t>xidative stress of H9C2 cell evaluation</w:t>
      </w:r>
    </w:p>
    <w:p w:rsidR="00B9479A" w:rsidRDefault="00533AF7">
      <w:pPr>
        <w:spacing w:line="480" w:lineRule="auto"/>
        <w:ind w:firstLine="475"/>
        <w:rPr>
          <w:sz w:val="24"/>
          <w:szCs w:val="24"/>
        </w:rPr>
      </w:pPr>
      <w:r>
        <w:rPr>
          <w:rFonts w:hint="eastAsia"/>
          <w:sz w:val="24"/>
          <w:szCs w:val="24"/>
        </w:rPr>
        <w:t>DCFH-DA staining was used to detect intracellular ROS levels.</w:t>
      </w:r>
      <w:r>
        <w:rPr>
          <w:sz w:val="24"/>
          <w:szCs w:val="24"/>
        </w:rPr>
        <w:t xml:space="preserve"> First,</w:t>
      </w:r>
      <w:r>
        <w:rPr>
          <w:rFonts w:hint="eastAsia"/>
          <w:sz w:val="24"/>
          <w:szCs w:val="24"/>
        </w:rPr>
        <w:t xml:space="preserve"> H9C2 cells were seeded into </w:t>
      </w:r>
      <w:r>
        <w:rPr>
          <w:sz w:val="24"/>
          <w:szCs w:val="24"/>
        </w:rPr>
        <w:t xml:space="preserve">a </w:t>
      </w:r>
      <w:r>
        <w:rPr>
          <w:rFonts w:hint="eastAsia"/>
          <w:sz w:val="24"/>
          <w:szCs w:val="24"/>
        </w:rPr>
        <w:t>four-well chambered cover</w:t>
      </w:r>
      <w:r>
        <w:rPr>
          <w:sz w:val="24"/>
          <w:szCs w:val="24"/>
        </w:rPr>
        <w:t xml:space="preserve"> </w:t>
      </w:r>
      <w:r>
        <w:rPr>
          <w:rFonts w:hint="eastAsia"/>
          <w:sz w:val="24"/>
          <w:szCs w:val="24"/>
        </w:rPr>
        <w:t xml:space="preserve">glass at a density of 6 </w:t>
      </w:r>
      <w:r>
        <w:rPr>
          <w:sz w:val="24"/>
          <w:szCs w:val="24"/>
        </w:rPr>
        <w:t>×</w:t>
      </w:r>
      <w:r>
        <w:rPr>
          <w:rFonts w:hint="eastAsia"/>
          <w:sz w:val="24"/>
          <w:szCs w:val="24"/>
        </w:rPr>
        <w:t xml:space="preserve"> 10</w:t>
      </w:r>
      <w:r>
        <w:rPr>
          <w:rFonts w:hint="eastAsia"/>
          <w:sz w:val="24"/>
          <w:szCs w:val="24"/>
          <w:vertAlign w:val="superscript"/>
        </w:rPr>
        <w:t>4</w:t>
      </w:r>
      <w:r>
        <w:rPr>
          <w:rFonts w:hint="eastAsia"/>
          <w:sz w:val="24"/>
          <w:szCs w:val="24"/>
        </w:rPr>
        <w:t xml:space="preserve"> per well</w:t>
      </w:r>
      <w:r>
        <w:rPr>
          <w:sz w:val="24"/>
          <w:szCs w:val="24"/>
        </w:rPr>
        <w:t>,</w:t>
      </w:r>
      <w:r>
        <w:rPr>
          <w:rFonts w:hint="eastAsia"/>
          <w:sz w:val="24"/>
          <w:szCs w:val="24"/>
        </w:rPr>
        <w:t xml:space="preserve"> cultivating overnight until adhe</w:t>
      </w:r>
      <w:r>
        <w:rPr>
          <w:sz w:val="24"/>
          <w:szCs w:val="24"/>
        </w:rPr>
        <w:t>sion</w:t>
      </w:r>
      <w:r>
        <w:rPr>
          <w:rFonts w:hint="eastAsia"/>
          <w:sz w:val="24"/>
          <w:szCs w:val="24"/>
        </w:rPr>
        <w:t>.</w:t>
      </w:r>
      <w:r>
        <w:rPr>
          <w:sz w:val="24"/>
          <w:szCs w:val="24"/>
        </w:rPr>
        <w:t xml:space="preserve"> Then,</w:t>
      </w:r>
      <w:r>
        <w:rPr>
          <w:rFonts w:hint="eastAsia"/>
          <w:sz w:val="24"/>
          <w:szCs w:val="24"/>
        </w:rPr>
        <w:t xml:space="preserve"> </w:t>
      </w:r>
      <w:bookmarkStart w:id="3" w:name="_Hlk123565025"/>
      <w:r>
        <w:rPr>
          <w:rFonts w:hint="eastAsia"/>
          <w:sz w:val="24"/>
          <w:szCs w:val="24"/>
        </w:rPr>
        <w:t xml:space="preserve">DOX or PDA(DOX) was added </w:t>
      </w:r>
      <w:r>
        <w:rPr>
          <w:sz w:val="24"/>
          <w:szCs w:val="24"/>
        </w:rPr>
        <w:t>in</w:t>
      </w:r>
      <w:r>
        <w:rPr>
          <w:rFonts w:hint="eastAsia"/>
          <w:sz w:val="24"/>
          <w:szCs w:val="24"/>
        </w:rPr>
        <w:t xml:space="preserve">to wells to make the final concentrations </w:t>
      </w:r>
      <w:r>
        <w:rPr>
          <w:sz w:val="24"/>
          <w:szCs w:val="24"/>
        </w:rPr>
        <w:t xml:space="preserve">of </w:t>
      </w:r>
      <w:r>
        <w:rPr>
          <w:rFonts w:hint="eastAsia"/>
          <w:sz w:val="24"/>
          <w:szCs w:val="24"/>
        </w:rPr>
        <w:t xml:space="preserve">0.025, 0.05, and </w:t>
      </w:r>
      <w:r>
        <w:rPr>
          <w:sz w:val="24"/>
          <w:szCs w:val="24"/>
        </w:rPr>
        <w:t xml:space="preserve">0.1 </w:t>
      </w:r>
      <w:r>
        <w:rPr>
          <w:sz w:val="24"/>
        </w:rPr>
        <w:t>μg/mL</w:t>
      </w:r>
      <w:r>
        <w:rPr>
          <w:rFonts w:hint="eastAsia"/>
          <w:sz w:val="24"/>
          <w:szCs w:val="24"/>
        </w:rPr>
        <w:t xml:space="preserve"> (in terms of DOX). </w:t>
      </w:r>
      <w:bookmarkEnd w:id="3"/>
      <w:r>
        <w:rPr>
          <w:rFonts w:hint="eastAsia"/>
          <w:sz w:val="24"/>
          <w:szCs w:val="24"/>
        </w:rPr>
        <w:t>The treated cells were cultured for 24 h, and then the reactive oxygen species assay kit was adopt</w:t>
      </w:r>
      <w:r>
        <w:rPr>
          <w:sz w:val="24"/>
          <w:szCs w:val="24"/>
        </w:rPr>
        <w:t>ed</w:t>
      </w:r>
      <w:r>
        <w:rPr>
          <w:rFonts w:hint="eastAsia"/>
          <w:sz w:val="24"/>
          <w:szCs w:val="24"/>
        </w:rPr>
        <w:t xml:space="preserve"> to evaluate the level of ROS in cells by fluorescence of DCF. After DCFH incubation for 20 minutes, </w:t>
      </w:r>
      <w:r>
        <w:rPr>
          <w:sz w:val="24"/>
          <w:szCs w:val="24"/>
        </w:rPr>
        <w:t>cells were</w:t>
      </w:r>
      <w:r>
        <w:rPr>
          <w:rFonts w:hint="eastAsia"/>
          <w:sz w:val="24"/>
          <w:szCs w:val="24"/>
        </w:rPr>
        <w:t xml:space="preserve"> washed three times</w:t>
      </w:r>
      <w:r>
        <w:rPr>
          <w:sz w:val="24"/>
          <w:szCs w:val="24"/>
        </w:rPr>
        <w:t xml:space="preserve"> by DMEM</w:t>
      </w:r>
      <w:r>
        <w:rPr>
          <w:rFonts w:hint="eastAsia"/>
          <w:sz w:val="24"/>
          <w:szCs w:val="24"/>
        </w:rPr>
        <w:t xml:space="preserve">. Finally, fluorescence images </w:t>
      </w:r>
      <w:r>
        <w:rPr>
          <w:sz w:val="24"/>
          <w:szCs w:val="24"/>
        </w:rPr>
        <w:t xml:space="preserve">were </w:t>
      </w:r>
      <w:r>
        <w:rPr>
          <w:rFonts w:hint="eastAsia"/>
          <w:sz w:val="24"/>
          <w:szCs w:val="24"/>
        </w:rPr>
        <w:t xml:space="preserve">taken through </w:t>
      </w:r>
      <w:r>
        <w:rPr>
          <w:sz w:val="24"/>
          <w:szCs w:val="24"/>
        </w:rPr>
        <w:t xml:space="preserve">the </w:t>
      </w:r>
      <w:r>
        <w:rPr>
          <w:rFonts w:hint="eastAsia"/>
          <w:sz w:val="24"/>
        </w:rPr>
        <w:t>laser</w:t>
      </w:r>
      <w:r>
        <w:rPr>
          <w:sz w:val="24"/>
        </w:rPr>
        <w:t xml:space="preserve">-scanning </w:t>
      </w:r>
      <w:r>
        <w:rPr>
          <w:rFonts w:hint="eastAsia"/>
          <w:sz w:val="24"/>
        </w:rPr>
        <w:t>confocal microscop</w:t>
      </w:r>
      <w:r>
        <w:rPr>
          <w:sz w:val="24"/>
        </w:rPr>
        <w:t>e</w:t>
      </w:r>
      <w:r>
        <w:rPr>
          <w:rFonts w:hint="eastAsia"/>
          <w:sz w:val="24"/>
          <w:szCs w:val="24"/>
        </w:rPr>
        <w:t xml:space="preserve">. </w:t>
      </w:r>
    </w:p>
    <w:p w:rsidR="00B9479A" w:rsidRDefault="00533AF7">
      <w:pPr>
        <w:spacing w:line="480" w:lineRule="auto"/>
        <w:ind w:firstLine="475"/>
        <w:rPr>
          <w:sz w:val="24"/>
          <w:szCs w:val="24"/>
        </w:rPr>
      </w:pPr>
      <w:r>
        <w:rPr>
          <w:sz w:val="24"/>
          <w:szCs w:val="24"/>
        </w:rPr>
        <w:t>An enhanced mitochondrial membrane potential assay kit with JC-1 was carried out to test mitochondrial membrane potentiality</w:t>
      </w:r>
      <w:r>
        <w:rPr>
          <w:rFonts w:hint="eastAsia"/>
          <w:sz w:val="24"/>
          <w:szCs w:val="24"/>
        </w:rPr>
        <w:t>.</w:t>
      </w:r>
      <w:r>
        <w:rPr>
          <w:sz w:val="24"/>
          <w:szCs w:val="24"/>
        </w:rPr>
        <w:t xml:space="preserve"> First,</w:t>
      </w:r>
      <w:r>
        <w:rPr>
          <w:rFonts w:hint="eastAsia"/>
          <w:sz w:val="24"/>
          <w:szCs w:val="24"/>
        </w:rPr>
        <w:t xml:space="preserve"> H9C2 cells </w:t>
      </w:r>
      <w:r>
        <w:rPr>
          <w:sz w:val="24"/>
          <w:szCs w:val="24"/>
        </w:rPr>
        <w:t>(</w:t>
      </w:r>
      <w:r>
        <w:rPr>
          <w:rFonts w:hint="eastAsia"/>
          <w:sz w:val="24"/>
          <w:szCs w:val="24"/>
        </w:rPr>
        <w:t xml:space="preserve">6 </w:t>
      </w:r>
      <w:r>
        <w:rPr>
          <w:sz w:val="24"/>
          <w:szCs w:val="24"/>
        </w:rPr>
        <w:t>×</w:t>
      </w:r>
      <w:r>
        <w:rPr>
          <w:rFonts w:hint="eastAsia"/>
          <w:sz w:val="24"/>
          <w:szCs w:val="24"/>
        </w:rPr>
        <w:t xml:space="preserve"> 10</w:t>
      </w:r>
      <w:r>
        <w:rPr>
          <w:rFonts w:hint="eastAsia"/>
          <w:sz w:val="24"/>
          <w:szCs w:val="24"/>
          <w:vertAlign w:val="superscript"/>
        </w:rPr>
        <w:t>4</w:t>
      </w:r>
      <w:r>
        <w:rPr>
          <w:rFonts w:hint="eastAsia"/>
          <w:sz w:val="24"/>
          <w:szCs w:val="24"/>
        </w:rPr>
        <w:t xml:space="preserve"> per well</w:t>
      </w:r>
      <w:r>
        <w:rPr>
          <w:sz w:val="24"/>
          <w:szCs w:val="24"/>
        </w:rPr>
        <w:t xml:space="preserve">) </w:t>
      </w:r>
      <w:r>
        <w:rPr>
          <w:rFonts w:hint="eastAsia"/>
          <w:sz w:val="24"/>
          <w:szCs w:val="24"/>
        </w:rPr>
        <w:t xml:space="preserve">were seeded overnight in </w:t>
      </w:r>
      <w:r>
        <w:rPr>
          <w:sz w:val="24"/>
          <w:szCs w:val="24"/>
        </w:rPr>
        <w:t xml:space="preserve">a </w:t>
      </w:r>
      <w:r>
        <w:rPr>
          <w:rFonts w:hint="eastAsia"/>
          <w:sz w:val="24"/>
          <w:szCs w:val="24"/>
        </w:rPr>
        <w:t>four-well chambered cover</w:t>
      </w:r>
      <w:r>
        <w:rPr>
          <w:sz w:val="24"/>
          <w:szCs w:val="24"/>
        </w:rPr>
        <w:t xml:space="preserve"> </w:t>
      </w:r>
      <w:r>
        <w:rPr>
          <w:rFonts w:hint="eastAsia"/>
          <w:sz w:val="24"/>
          <w:szCs w:val="24"/>
        </w:rPr>
        <w:t>glass until adhe</w:t>
      </w:r>
      <w:r>
        <w:rPr>
          <w:sz w:val="24"/>
          <w:szCs w:val="24"/>
        </w:rPr>
        <w:t>sion[3]</w:t>
      </w:r>
      <w:r>
        <w:rPr>
          <w:rFonts w:hint="eastAsia"/>
          <w:sz w:val="24"/>
          <w:szCs w:val="24"/>
        </w:rPr>
        <w:t>.</w:t>
      </w:r>
      <w:r>
        <w:rPr>
          <w:sz w:val="24"/>
          <w:szCs w:val="24"/>
        </w:rPr>
        <w:t xml:space="preserve"> Then,</w:t>
      </w:r>
      <w:r>
        <w:rPr>
          <w:rFonts w:hint="eastAsia"/>
          <w:sz w:val="24"/>
          <w:szCs w:val="24"/>
        </w:rPr>
        <w:t xml:space="preserve"> DOX or PDA(DOX) was added into wells with different DOX concentrations of 0.025, 0.05, and 0.1 </w:t>
      </w:r>
      <w:r>
        <w:rPr>
          <w:sz w:val="24"/>
        </w:rPr>
        <w:t>μg/mL</w:t>
      </w:r>
      <w:r>
        <w:rPr>
          <w:rFonts w:hint="eastAsia"/>
          <w:sz w:val="24"/>
          <w:szCs w:val="24"/>
        </w:rPr>
        <w:t xml:space="preserve">. After 24 h incubation, </w:t>
      </w:r>
      <w:r>
        <w:rPr>
          <w:sz w:val="24"/>
          <w:szCs w:val="24"/>
        </w:rPr>
        <w:t xml:space="preserve">the </w:t>
      </w:r>
      <w:r>
        <w:rPr>
          <w:rFonts w:hint="eastAsia"/>
          <w:sz w:val="24"/>
          <w:szCs w:val="24"/>
        </w:rPr>
        <w:t>cell medium was absorbed</w:t>
      </w:r>
      <w:r>
        <w:rPr>
          <w:sz w:val="24"/>
          <w:szCs w:val="24"/>
        </w:rPr>
        <w:t>,</w:t>
      </w:r>
      <w:r>
        <w:rPr>
          <w:rFonts w:hint="eastAsia"/>
          <w:sz w:val="24"/>
          <w:szCs w:val="24"/>
        </w:rPr>
        <w:t xml:space="preserve"> and cells were incubated with JC-1 staining solution for 20 min at 37 </w:t>
      </w:r>
      <w:r>
        <w:rPr>
          <w:sz w:val="24"/>
        </w:rPr>
        <w:t>°C</w:t>
      </w:r>
      <w:r>
        <w:rPr>
          <w:rFonts w:hint="eastAsia"/>
          <w:sz w:val="24"/>
        </w:rPr>
        <w:t>. After</w:t>
      </w:r>
      <w:r>
        <w:rPr>
          <w:sz w:val="24"/>
        </w:rPr>
        <w:t xml:space="preserve"> </w:t>
      </w:r>
      <w:r>
        <w:rPr>
          <w:rFonts w:hint="eastAsia"/>
          <w:sz w:val="24"/>
        </w:rPr>
        <w:t xml:space="preserve">that, washed twice with JC-1 dye buffer </w:t>
      </w:r>
      <w:r>
        <w:rPr>
          <w:sz w:val="24"/>
        </w:rPr>
        <w:t xml:space="preserve">and </w:t>
      </w:r>
      <w:r>
        <w:rPr>
          <w:rFonts w:hint="eastAsia"/>
          <w:sz w:val="24"/>
        </w:rPr>
        <w:t xml:space="preserve">observed under </w:t>
      </w:r>
      <w:r>
        <w:rPr>
          <w:sz w:val="24"/>
        </w:rPr>
        <w:t xml:space="preserve">a </w:t>
      </w:r>
      <w:r>
        <w:rPr>
          <w:rFonts w:hint="eastAsia"/>
          <w:sz w:val="24"/>
        </w:rPr>
        <w:t xml:space="preserve">laser </w:t>
      </w:r>
      <w:r>
        <w:rPr>
          <w:sz w:val="24"/>
        </w:rPr>
        <w:t xml:space="preserve">scanning </w:t>
      </w:r>
      <w:r>
        <w:rPr>
          <w:rFonts w:hint="eastAsia"/>
          <w:sz w:val="24"/>
        </w:rPr>
        <w:t>confocal microscop</w:t>
      </w:r>
      <w:r>
        <w:rPr>
          <w:sz w:val="24"/>
        </w:rPr>
        <w:t>e</w:t>
      </w:r>
      <w:r>
        <w:rPr>
          <w:rFonts w:hint="eastAsia"/>
          <w:sz w:val="24"/>
        </w:rPr>
        <w:t>.</w:t>
      </w:r>
      <w:r>
        <w:rPr>
          <w:rFonts w:hint="eastAsia"/>
          <w:sz w:val="24"/>
          <w:szCs w:val="24"/>
        </w:rPr>
        <w:t xml:space="preserve"> </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.9. Tumor model</w:t>
      </w:r>
    </w:p>
    <w:p w:rsidR="00B9479A" w:rsidRDefault="00533AF7">
      <w:pPr>
        <w:spacing w:line="480" w:lineRule="auto"/>
        <w:ind w:firstLineChars="200" w:firstLine="480"/>
        <w:rPr>
          <w:color w:val="FF0000"/>
          <w:sz w:val="24"/>
          <w:szCs w:val="24"/>
        </w:rPr>
      </w:pPr>
      <w:r>
        <w:rPr>
          <w:rFonts w:hint="eastAsia"/>
          <w:sz w:val="24"/>
          <w:szCs w:val="24"/>
        </w:rPr>
        <w:t>The murine breast cancer cell line 4T1 w</w:t>
      </w:r>
      <w:r>
        <w:rPr>
          <w:sz w:val="24"/>
          <w:szCs w:val="24"/>
        </w:rPr>
        <w:t>as</w:t>
      </w:r>
      <w:r>
        <w:rPr>
          <w:rFonts w:hint="eastAsia"/>
          <w:sz w:val="24"/>
          <w:szCs w:val="24"/>
        </w:rPr>
        <w:t xml:space="preserve"> injected into female Balb/c mice </w:t>
      </w:r>
      <w:r>
        <w:rPr>
          <w:sz w:val="24"/>
          <w:szCs w:val="24"/>
        </w:rPr>
        <w:t xml:space="preserve">(4-6 weeks old) </w:t>
      </w:r>
      <w:r>
        <w:rPr>
          <w:rFonts w:hint="eastAsia"/>
          <w:sz w:val="24"/>
          <w:szCs w:val="24"/>
        </w:rPr>
        <w:t xml:space="preserve">to construct </w:t>
      </w:r>
      <w:r>
        <w:rPr>
          <w:sz w:val="24"/>
          <w:szCs w:val="24"/>
        </w:rPr>
        <w:t xml:space="preserve">a </w:t>
      </w:r>
      <w:r>
        <w:rPr>
          <w:rFonts w:hint="eastAsia"/>
          <w:sz w:val="24"/>
          <w:szCs w:val="24"/>
        </w:rPr>
        <w:t>subcutaneous breast cancer model. 10</w:t>
      </w:r>
      <w:r>
        <w:rPr>
          <w:rFonts w:hint="eastAsia"/>
          <w:sz w:val="24"/>
          <w:szCs w:val="24"/>
          <w:vertAlign w:val="superscript"/>
        </w:rPr>
        <w:t>6</w:t>
      </w:r>
      <w:r>
        <w:rPr>
          <w:rFonts w:hint="eastAsia"/>
          <w:sz w:val="24"/>
          <w:szCs w:val="24"/>
        </w:rPr>
        <w:t xml:space="preserve"> 4T1 cells were suspended in 50 </w:t>
      </w:r>
      <w:r>
        <w:rPr>
          <w:sz w:val="24"/>
          <w:szCs w:val="24"/>
        </w:rPr>
        <w:t>μL</w:t>
      </w:r>
      <w:r>
        <w:rPr>
          <w:rFonts w:hint="eastAsia"/>
          <w:sz w:val="24"/>
          <w:szCs w:val="24"/>
        </w:rPr>
        <w:t xml:space="preserve"> of serum</w:t>
      </w:r>
      <w:r>
        <w:rPr>
          <w:sz w:val="24"/>
          <w:szCs w:val="24"/>
        </w:rPr>
        <w:t>-</w:t>
      </w:r>
      <w:r>
        <w:rPr>
          <w:rFonts w:hint="eastAsia"/>
          <w:sz w:val="24"/>
          <w:szCs w:val="24"/>
        </w:rPr>
        <w:t xml:space="preserve">free cell medium </w:t>
      </w:r>
      <w:r>
        <w:rPr>
          <w:sz w:val="24"/>
          <w:szCs w:val="24"/>
        </w:rPr>
        <w:t>and</w:t>
      </w:r>
      <w:r>
        <w:rPr>
          <w:rFonts w:hint="eastAsia"/>
          <w:sz w:val="24"/>
          <w:szCs w:val="24"/>
        </w:rPr>
        <w:t xml:space="preserve"> subcutaneously injected in f</w:t>
      </w:r>
      <w:r>
        <w:rPr>
          <w:sz w:val="24"/>
          <w:szCs w:val="24"/>
        </w:rPr>
        <w:t>e</w:t>
      </w:r>
      <w:r>
        <w:rPr>
          <w:rFonts w:hint="eastAsia"/>
          <w:sz w:val="24"/>
          <w:szCs w:val="24"/>
        </w:rPr>
        <w:t>male Balb/c mice, re</w:t>
      </w:r>
      <w:r>
        <w:rPr>
          <w:sz w:val="24"/>
          <w:szCs w:val="24"/>
        </w:rPr>
        <w:t>s</w:t>
      </w:r>
      <w:r>
        <w:rPr>
          <w:rFonts w:hint="eastAsia"/>
          <w:sz w:val="24"/>
          <w:szCs w:val="24"/>
        </w:rPr>
        <w:t>pectively. The mice were used for further experiments when the tumor volume had grown to 50 - 60 mm</w:t>
      </w:r>
      <w:r>
        <w:rPr>
          <w:rFonts w:hint="eastAsia"/>
          <w:sz w:val="24"/>
          <w:szCs w:val="24"/>
          <w:vertAlign w:val="superscript"/>
        </w:rPr>
        <w:t>3</w:t>
      </w:r>
      <w:r>
        <w:rPr>
          <w:rFonts w:hint="eastAsia"/>
          <w:sz w:val="24"/>
          <w:szCs w:val="24"/>
        </w:rPr>
        <w:t>. The tumor sizes were measured by a</w:t>
      </w:r>
      <w:r>
        <w:rPr>
          <w:sz w:val="24"/>
          <w:szCs w:val="24"/>
        </w:rPr>
        <w:t xml:space="preserve"> digital </w:t>
      </w:r>
      <w:r>
        <w:rPr>
          <w:rFonts w:hint="eastAsia"/>
          <w:sz w:val="24"/>
          <w:szCs w:val="24"/>
        </w:rPr>
        <w:t>caliper and calculated as the volume. Tumor volume was calculated as</w:t>
      </w:r>
      <w:r>
        <w:rPr>
          <w:sz w:val="24"/>
          <w:szCs w:val="24"/>
        </w:rPr>
        <w:t xml:space="preserve"> </w:t>
      </w:r>
      <w:r>
        <w:rPr>
          <w:rFonts w:hint="eastAsia"/>
          <w:sz w:val="24"/>
          <w:szCs w:val="24"/>
        </w:rPr>
        <w:t>V = W</w:t>
      </w:r>
      <w:r>
        <w:rPr>
          <w:rFonts w:hint="eastAsia"/>
          <w:sz w:val="24"/>
          <w:szCs w:val="24"/>
          <w:vertAlign w:val="superscript"/>
        </w:rPr>
        <w:t>2</w:t>
      </w:r>
      <w:r>
        <w:rPr>
          <w:rFonts w:hint="eastAsia"/>
          <w:sz w:val="24"/>
          <w:szCs w:val="24"/>
        </w:rPr>
        <w:t xml:space="preserve"> </w:t>
      </w:r>
      <w:r>
        <w:rPr>
          <w:sz w:val="24"/>
          <w:szCs w:val="24"/>
        </w:rPr>
        <w:t>×</w:t>
      </w:r>
      <w:r>
        <w:rPr>
          <w:rFonts w:hint="eastAsia"/>
          <w:sz w:val="24"/>
          <w:szCs w:val="24"/>
        </w:rPr>
        <w:t xml:space="preserve"> L/2</w:t>
      </w:r>
      <w:r>
        <w:rPr>
          <w:sz w:val="24"/>
          <w:szCs w:val="24"/>
        </w:rPr>
        <w:t>, w</w:t>
      </w:r>
      <w:r>
        <w:rPr>
          <w:rFonts w:hint="eastAsia"/>
          <w:sz w:val="24"/>
          <w:szCs w:val="24"/>
        </w:rPr>
        <w:t>here W</w:t>
      </w:r>
      <w:r>
        <w:rPr>
          <w:sz w:val="24"/>
          <w:szCs w:val="24"/>
        </w:rPr>
        <w:t xml:space="preserve"> and L are</w:t>
      </w:r>
      <w:r>
        <w:rPr>
          <w:rFonts w:hint="eastAsia"/>
          <w:sz w:val="24"/>
          <w:szCs w:val="24"/>
        </w:rPr>
        <w:t xml:space="preserve"> the tumor width</w:t>
      </w:r>
      <w:r>
        <w:rPr>
          <w:sz w:val="24"/>
          <w:szCs w:val="24"/>
        </w:rPr>
        <w:t xml:space="preserve"> </w:t>
      </w:r>
      <w:r>
        <w:rPr>
          <w:rFonts w:hint="eastAsia"/>
          <w:sz w:val="24"/>
          <w:szCs w:val="24"/>
        </w:rPr>
        <w:t>and length</w:t>
      </w:r>
      <w:r>
        <w:rPr>
          <w:sz w:val="24"/>
          <w:szCs w:val="24"/>
        </w:rPr>
        <w:t>, respectively</w:t>
      </w:r>
      <w:r>
        <w:rPr>
          <w:rFonts w:hint="eastAsia"/>
          <w:sz w:val="24"/>
          <w:szCs w:val="24"/>
        </w:rPr>
        <w:t>.</w:t>
      </w:r>
      <w:r>
        <w:rPr>
          <w:sz w:val="24"/>
          <w:szCs w:val="24"/>
        </w:rPr>
        <w:t xml:space="preserve"> The tumor growth inhibition index (TGI) was calculated as follows: </w:t>
      </w:r>
      <w:r>
        <w:rPr>
          <w:position w:val="-12"/>
          <w:sz w:val="24"/>
          <w:szCs w:val="24"/>
        </w:rPr>
        <w:object w:dxaOrig="1848" w:dyaOrig="312">
          <v:shape id="_x0000_i1027" type="#_x0000_t75" style="width:92.55pt;height:15.9pt" o:ole="">
            <v:imagedata r:id="rId12" o:title=""/>
          </v:shape>
          <o:OLEObject Type="Embed" ProgID="Equation.DSMT4" ShapeID="_x0000_i1027" DrawAspect="Content" ObjectID="_1754210749" r:id="rId13"/>
        </w:object>
      </w:r>
      <w:r>
        <w:rPr>
          <w:sz w:val="24"/>
          <w:szCs w:val="24"/>
        </w:rPr>
        <w:t xml:space="preserve">. </w:t>
      </w:r>
      <w:r>
        <w:rPr>
          <w:i/>
          <w:iCs/>
          <w:sz w:val="24"/>
          <w:szCs w:val="24"/>
        </w:rPr>
        <w:t>V</w:t>
      </w:r>
      <w:r>
        <w:rPr>
          <w:i/>
          <w:iCs/>
          <w:sz w:val="24"/>
          <w:szCs w:val="24"/>
          <w:vertAlign w:val="subscript"/>
        </w:rPr>
        <w:t>T</w:t>
      </w:r>
      <w:r>
        <w:rPr>
          <w:sz w:val="24"/>
          <w:szCs w:val="24"/>
        </w:rPr>
        <w:t xml:space="preserve"> and </w:t>
      </w:r>
      <w:r>
        <w:rPr>
          <w:i/>
          <w:iCs/>
          <w:sz w:val="24"/>
          <w:szCs w:val="24"/>
        </w:rPr>
        <w:t>V</w:t>
      </w:r>
      <w:r>
        <w:rPr>
          <w:i/>
          <w:iCs/>
          <w:sz w:val="24"/>
          <w:szCs w:val="24"/>
          <w:vertAlign w:val="subscript"/>
        </w:rPr>
        <w:t>C</w:t>
      </w:r>
      <w:r>
        <w:rPr>
          <w:sz w:val="24"/>
          <w:szCs w:val="24"/>
        </w:rPr>
        <w:t xml:space="preserve"> are the mean volumes of treated and controlled tumors.</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.10.</w:t>
      </w:r>
      <w:r w:rsidR="00533AF7">
        <w:rPr>
          <w:b/>
          <w:bCs/>
          <w:i/>
          <w:iCs/>
          <w:sz w:val="24"/>
          <w:szCs w:val="24"/>
        </w:rPr>
        <w:t xml:space="preserve"> In vivo</w:t>
      </w:r>
      <w:r w:rsidR="00533AF7">
        <w:rPr>
          <w:b/>
          <w:bCs/>
          <w:sz w:val="24"/>
          <w:szCs w:val="24"/>
        </w:rPr>
        <w:t xml:space="preserve"> chemo-photothermal synergistic therapy studies</w:t>
      </w:r>
    </w:p>
    <w:p w:rsidR="00B9479A" w:rsidRDefault="00533AF7">
      <w:pPr>
        <w:spacing w:line="480" w:lineRule="auto"/>
        <w:ind w:firstLineChars="200" w:firstLine="480"/>
        <w:rPr>
          <w:sz w:val="24"/>
          <w:szCs w:val="24"/>
        </w:rPr>
      </w:pPr>
      <w:r>
        <w:rPr>
          <w:rFonts w:hint="eastAsia"/>
          <w:sz w:val="24"/>
          <w:szCs w:val="24"/>
        </w:rPr>
        <w:t xml:space="preserve">The tumor-bearing mice were randomly divided into six groups (n = 6 </w:t>
      </w:r>
      <w:r>
        <w:rPr>
          <w:sz w:val="24"/>
          <w:szCs w:val="24"/>
        </w:rPr>
        <w:t xml:space="preserve">for </w:t>
      </w:r>
      <w:r>
        <w:rPr>
          <w:rFonts w:hint="eastAsia"/>
          <w:sz w:val="24"/>
          <w:szCs w:val="24"/>
        </w:rPr>
        <w:t>each group): saline (I), saline + laser (II), PDA + laser (III), DOX (IV), PDA(DOX) (V), and PDA(DOX) + laser (VI), intra</w:t>
      </w:r>
      <w:r>
        <w:rPr>
          <w:sz w:val="24"/>
          <w:szCs w:val="24"/>
        </w:rPr>
        <w:t>t</w:t>
      </w:r>
      <w:r>
        <w:rPr>
          <w:rFonts w:hint="eastAsia"/>
          <w:sz w:val="24"/>
          <w:szCs w:val="24"/>
        </w:rPr>
        <w:t xml:space="preserve">umorally injected with 50 </w:t>
      </w:r>
      <w:r>
        <w:rPr>
          <w:sz w:val="24"/>
          <w:szCs w:val="24"/>
        </w:rPr>
        <w:t>μL</w:t>
      </w:r>
      <w:r>
        <w:rPr>
          <w:rFonts w:hint="eastAsia"/>
          <w:sz w:val="24"/>
          <w:szCs w:val="24"/>
        </w:rPr>
        <w:t xml:space="preserve"> drug (PDA 2 m</w:t>
      </w:r>
      <w:r>
        <w:rPr>
          <w:sz w:val="24"/>
        </w:rPr>
        <w:t>g mL</w:t>
      </w:r>
      <w:r>
        <w:rPr>
          <w:sz w:val="24"/>
          <w:vertAlign w:val="superscript"/>
        </w:rPr>
        <w:t>-1</w:t>
      </w:r>
      <w:r>
        <w:rPr>
          <w:rFonts w:hint="eastAsia"/>
          <w:sz w:val="24"/>
          <w:szCs w:val="24"/>
        </w:rPr>
        <w:t>, PDA(DOX) 3 m</w:t>
      </w:r>
      <w:r>
        <w:rPr>
          <w:sz w:val="24"/>
        </w:rPr>
        <w:t>g mL</w:t>
      </w:r>
      <w:r>
        <w:rPr>
          <w:sz w:val="24"/>
          <w:vertAlign w:val="superscript"/>
        </w:rPr>
        <w:t>-1</w:t>
      </w:r>
      <w:r>
        <w:rPr>
          <w:rFonts w:hint="eastAsia"/>
          <w:sz w:val="24"/>
          <w:szCs w:val="24"/>
        </w:rPr>
        <w:t>, and DOX 1</w:t>
      </w:r>
      <w:r>
        <w:rPr>
          <w:sz w:val="24"/>
        </w:rPr>
        <w:t xml:space="preserve"> mg mL</w:t>
      </w:r>
      <w:r>
        <w:rPr>
          <w:sz w:val="24"/>
          <w:vertAlign w:val="superscript"/>
        </w:rPr>
        <w:t>-1</w:t>
      </w:r>
      <w:r>
        <w:rPr>
          <w:rFonts w:hint="eastAsia"/>
          <w:sz w:val="24"/>
          <w:szCs w:val="24"/>
        </w:rPr>
        <w:t>) per mouse.</w:t>
      </w:r>
      <w:r>
        <w:rPr>
          <w:sz w:val="24"/>
          <w:szCs w:val="24"/>
        </w:rPr>
        <w:t xml:space="preserve"> Then,</w:t>
      </w:r>
      <w:r>
        <w:rPr>
          <w:rFonts w:hint="eastAsia"/>
          <w:sz w:val="24"/>
          <w:szCs w:val="24"/>
        </w:rPr>
        <w:t xml:space="preserve"> 4 h of drug diffusion later, the tumor of group</w:t>
      </w:r>
      <w:r>
        <w:rPr>
          <w:sz w:val="24"/>
          <w:szCs w:val="24"/>
        </w:rPr>
        <w:t>s</w:t>
      </w:r>
      <w:r>
        <w:rPr>
          <w:rFonts w:hint="eastAsia"/>
          <w:sz w:val="24"/>
          <w:szCs w:val="24"/>
        </w:rPr>
        <w:t xml:space="preserve"> II, III, and VI received 808 nm laser </w:t>
      </w:r>
      <w:r>
        <w:rPr>
          <w:sz w:val="24"/>
          <w:szCs w:val="24"/>
        </w:rPr>
        <w:t xml:space="preserve">radiation </w:t>
      </w:r>
      <w:r>
        <w:rPr>
          <w:rFonts w:hint="eastAsia"/>
          <w:sz w:val="24"/>
          <w:szCs w:val="24"/>
        </w:rPr>
        <w:t xml:space="preserve">at </w:t>
      </w:r>
      <w:r>
        <w:rPr>
          <w:sz w:val="24"/>
          <w:szCs w:val="24"/>
        </w:rPr>
        <w:t xml:space="preserve">a </w:t>
      </w:r>
      <w:r>
        <w:rPr>
          <w:rFonts w:hint="eastAsia"/>
          <w:sz w:val="24"/>
          <w:szCs w:val="24"/>
        </w:rPr>
        <w:t xml:space="preserve">power of </w:t>
      </w:r>
      <w:r>
        <w:rPr>
          <w:sz w:val="24"/>
          <w:szCs w:val="24"/>
        </w:rPr>
        <w:t>2</w:t>
      </w:r>
      <w:r>
        <w:rPr>
          <w:rFonts w:hint="eastAsia"/>
          <w:sz w:val="24"/>
          <w:szCs w:val="24"/>
        </w:rPr>
        <w:t>.</w:t>
      </w:r>
      <w:r>
        <w:rPr>
          <w:sz w:val="24"/>
          <w:szCs w:val="24"/>
        </w:rPr>
        <w:t>0</w:t>
      </w:r>
      <w:r>
        <w:rPr>
          <w:rFonts w:hint="eastAsia"/>
          <w:sz w:val="24"/>
          <w:szCs w:val="24"/>
        </w:rPr>
        <w:t xml:space="preserve"> W</w:t>
      </w:r>
      <w:r>
        <w:rPr>
          <w:sz w:val="24"/>
          <w:szCs w:val="24"/>
        </w:rPr>
        <w:t xml:space="preserve"> cm</w:t>
      </w:r>
      <w:r>
        <w:rPr>
          <w:sz w:val="24"/>
          <w:szCs w:val="24"/>
          <w:vertAlign w:val="superscript"/>
        </w:rPr>
        <w:t>-2</w:t>
      </w:r>
      <w:r>
        <w:rPr>
          <w:rFonts w:hint="eastAsia"/>
          <w:sz w:val="24"/>
          <w:szCs w:val="24"/>
        </w:rPr>
        <w:t xml:space="preserve"> for 5 min. The thermal images visually recorded the temperature change</w:t>
      </w:r>
      <w:r>
        <w:rPr>
          <w:sz w:val="24"/>
          <w:szCs w:val="24"/>
        </w:rPr>
        <w:t>.</w:t>
      </w:r>
      <w:r>
        <w:rPr>
          <w:rFonts w:hint="eastAsia"/>
          <w:sz w:val="24"/>
          <w:szCs w:val="24"/>
        </w:rPr>
        <w:t xml:space="preserve"> The tumor sizes and body weight were measured every other day after treatment. On the 21</w:t>
      </w:r>
      <w:r>
        <w:rPr>
          <w:rFonts w:hint="eastAsia"/>
          <w:sz w:val="24"/>
          <w:szCs w:val="24"/>
          <w:vertAlign w:val="superscript"/>
        </w:rPr>
        <w:t xml:space="preserve">st </w:t>
      </w:r>
      <w:r>
        <w:rPr>
          <w:rFonts w:hint="eastAsia"/>
          <w:sz w:val="24"/>
          <w:szCs w:val="24"/>
        </w:rPr>
        <w:t xml:space="preserve">day of the </w:t>
      </w:r>
      <w:r>
        <w:rPr>
          <w:sz w:val="24"/>
          <w:szCs w:val="24"/>
        </w:rPr>
        <w:t>synergistic</w:t>
      </w:r>
      <w:r>
        <w:rPr>
          <w:rFonts w:hint="eastAsia"/>
          <w:sz w:val="24"/>
          <w:szCs w:val="24"/>
        </w:rPr>
        <w:t xml:space="preserve"> therapy, all the mice were sacrificed, </w:t>
      </w:r>
      <w:r>
        <w:rPr>
          <w:sz w:val="24"/>
          <w:szCs w:val="24"/>
        </w:rPr>
        <w:t>and the b</w:t>
      </w:r>
      <w:r>
        <w:rPr>
          <w:rFonts w:hint="eastAsia"/>
          <w:sz w:val="24"/>
          <w:szCs w:val="24"/>
        </w:rPr>
        <w:t>lood was used to detect routine blood test</w:t>
      </w:r>
      <w:r>
        <w:rPr>
          <w:sz w:val="24"/>
          <w:szCs w:val="24"/>
        </w:rPr>
        <w:t>s</w:t>
      </w:r>
      <w:r>
        <w:rPr>
          <w:rFonts w:hint="eastAsia"/>
          <w:sz w:val="24"/>
          <w:szCs w:val="24"/>
        </w:rPr>
        <w:t xml:space="preserve"> and biochemical studies</w:t>
      </w:r>
      <w:r>
        <w:rPr>
          <w:sz w:val="24"/>
          <w:szCs w:val="24"/>
        </w:rPr>
        <w:t>.</w:t>
      </w:r>
      <w:r>
        <w:rPr>
          <w:rFonts w:hint="eastAsia"/>
          <w:sz w:val="24"/>
          <w:szCs w:val="24"/>
        </w:rPr>
        <w:t xml:space="preserve"> </w:t>
      </w:r>
      <w:r>
        <w:rPr>
          <w:sz w:val="24"/>
          <w:szCs w:val="24"/>
        </w:rPr>
        <w:t xml:space="preserve">And </w:t>
      </w:r>
      <w:r>
        <w:rPr>
          <w:rFonts w:hint="eastAsia"/>
          <w:sz w:val="24"/>
          <w:szCs w:val="24"/>
        </w:rPr>
        <w:t xml:space="preserve">the main organs (heart, liver, spleen, lung, and kidney) and tumors were collected for </w:t>
      </w:r>
      <w:r>
        <w:rPr>
          <w:sz w:val="24"/>
          <w:szCs w:val="24"/>
        </w:rPr>
        <w:t>organ coefficient and</w:t>
      </w:r>
      <w:r>
        <w:rPr>
          <w:rFonts w:hint="eastAsia"/>
          <w:sz w:val="24"/>
          <w:szCs w:val="24"/>
        </w:rPr>
        <w:t xml:space="preserve"> histology analysis.</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.11. Electrocardiogram and echocardiography for cardiac functions evaluation</w:t>
      </w:r>
    </w:p>
    <w:p w:rsidR="00B9479A" w:rsidRDefault="00533AF7">
      <w:pPr>
        <w:spacing w:line="480" w:lineRule="auto"/>
        <w:rPr>
          <w:rFonts w:eastAsia="DengXian"/>
          <w:sz w:val="24"/>
          <w:szCs w:val="24"/>
        </w:rPr>
      </w:pPr>
      <w:r>
        <w:rPr>
          <w:rFonts w:hint="eastAsia"/>
          <w:sz w:val="24"/>
          <w:szCs w:val="24"/>
        </w:rPr>
        <w:t xml:space="preserve">    For stud</w:t>
      </w:r>
      <w:r>
        <w:rPr>
          <w:sz w:val="24"/>
          <w:szCs w:val="24"/>
        </w:rPr>
        <w:t>y</w:t>
      </w:r>
      <w:r>
        <w:rPr>
          <w:rFonts w:hint="eastAsia"/>
          <w:sz w:val="24"/>
          <w:szCs w:val="24"/>
        </w:rPr>
        <w:t>ing the eff</w:t>
      </w:r>
      <w:r>
        <w:rPr>
          <w:sz w:val="24"/>
          <w:szCs w:val="24"/>
        </w:rPr>
        <w:t>icacy</w:t>
      </w:r>
      <w:r>
        <w:rPr>
          <w:rFonts w:hint="eastAsia"/>
          <w:sz w:val="24"/>
          <w:szCs w:val="24"/>
        </w:rPr>
        <w:t xml:space="preserve"> of PDA(DOX)</w:t>
      </w:r>
      <w:r>
        <w:rPr>
          <w:sz w:val="24"/>
          <w:szCs w:val="24"/>
        </w:rPr>
        <w:t xml:space="preserve"> on attenuating </w:t>
      </w:r>
      <w:r>
        <w:rPr>
          <w:rFonts w:hint="eastAsia"/>
          <w:sz w:val="24"/>
          <w:szCs w:val="24"/>
        </w:rPr>
        <w:t xml:space="preserve">DIC, </w:t>
      </w:r>
      <w:r>
        <w:rPr>
          <w:sz w:val="24"/>
          <w:szCs w:val="24"/>
        </w:rPr>
        <w:t>t</w:t>
      </w:r>
      <w:r>
        <w:rPr>
          <w:rFonts w:hint="eastAsia"/>
          <w:sz w:val="24"/>
          <w:szCs w:val="24"/>
        </w:rPr>
        <w:t xml:space="preserve">he tumor-bearing mice were randomly divided into five groups (n = 8 </w:t>
      </w:r>
      <w:r>
        <w:rPr>
          <w:sz w:val="24"/>
          <w:szCs w:val="24"/>
        </w:rPr>
        <w:t xml:space="preserve">for </w:t>
      </w:r>
      <w:r>
        <w:rPr>
          <w:rFonts w:hint="eastAsia"/>
          <w:sz w:val="24"/>
          <w:szCs w:val="24"/>
        </w:rPr>
        <w:t>each group): saline, 2 mg/kg DOX, 4 mg/kg DOX, and 12 mg/kg PDA(DOX). When the tumor</w:t>
      </w:r>
      <w:r>
        <w:rPr>
          <w:sz w:val="24"/>
          <w:szCs w:val="24"/>
        </w:rPr>
        <w:t xml:space="preserve"> volume reached 50 mm</w:t>
      </w:r>
      <w:r>
        <w:rPr>
          <w:sz w:val="24"/>
          <w:szCs w:val="24"/>
          <w:vertAlign w:val="superscript"/>
        </w:rPr>
        <w:t>3</w:t>
      </w:r>
      <w:r>
        <w:rPr>
          <w:sz w:val="24"/>
          <w:szCs w:val="24"/>
        </w:rPr>
        <w:t>, it injected</w:t>
      </w:r>
      <w:r>
        <w:rPr>
          <w:rFonts w:hint="eastAsia"/>
          <w:sz w:val="24"/>
          <w:szCs w:val="24"/>
        </w:rPr>
        <w:t xml:space="preserve"> corresponding drugs intravenously. </w:t>
      </w:r>
      <w:r>
        <w:rPr>
          <w:sz w:val="24"/>
          <w:szCs w:val="24"/>
        </w:rPr>
        <w:t>D</w:t>
      </w:r>
      <w:r>
        <w:rPr>
          <w:rFonts w:hint="eastAsia"/>
          <w:sz w:val="24"/>
          <w:szCs w:val="24"/>
        </w:rPr>
        <w:t>uring</w:t>
      </w:r>
      <w:r>
        <w:rPr>
          <w:sz w:val="24"/>
          <w:szCs w:val="24"/>
        </w:rPr>
        <w:t xml:space="preserve"> 21 days, chemotherapy drugs were injected intravenously eight times.</w:t>
      </w:r>
    </w:p>
    <w:p w:rsidR="00B9479A" w:rsidRDefault="00533AF7">
      <w:pPr>
        <w:spacing w:line="480" w:lineRule="auto"/>
        <w:ind w:firstLineChars="200" w:firstLine="480"/>
        <w:rPr>
          <w:sz w:val="24"/>
          <w:szCs w:val="24"/>
        </w:rPr>
      </w:pPr>
      <w:r>
        <w:rPr>
          <w:rFonts w:hint="eastAsia"/>
          <w:sz w:val="24"/>
          <w:szCs w:val="24"/>
        </w:rPr>
        <w:t xml:space="preserve">Cardiac functions were evaluated by electrocardiogram </w:t>
      </w:r>
      <w:r>
        <w:rPr>
          <w:sz w:val="24"/>
          <w:szCs w:val="24"/>
        </w:rPr>
        <w:t xml:space="preserve">(EGC) </w:t>
      </w:r>
      <w:r>
        <w:rPr>
          <w:rFonts w:hint="eastAsia"/>
          <w:sz w:val="24"/>
          <w:szCs w:val="24"/>
        </w:rPr>
        <w:t xml:space="preserve">and echocardiography. </w:t>
      </w:r>
      <w:r>
        <w:rPr>
          <w:sz w:val="24"/>
          <w:szCs w:val="24"/>
        </w:rPr>
        <w:t xml:space="preserve">The tumor-bearing mice were anesthetized with isoflurane using a small animal anesthesia device (R500IE, RWD, Shenzhen, China). Two acupuncture needle electrodes were inserted under the skin of the right front paw (negative electrode) and left hind leg paws (positive electrode), respectively. A biological signal analytical system (BL-420N, Taimeng software, Chengdu, China) recorded standard lead II electrocardiogram signals. In addition, the ECG pattern changes of the </w:t>
      </w:r>
      <w:r>
        <w:rPr>
          <w:rFonts w:hint="eastAsia"/>
          <w:sz w:val="24"/>
          <w:szCs w:val="24"/>
        </w:rPr>
        <w:t xml:space="preserve">QT interval </w:t>
      </w:r>
      <w:r>
        <w:rPr>
          <w:sz w:val="24"/>
          <w:szCs w:val="24"/>
        </w:rPr>
        <w:t>were determined</w:t>
      </w:r>
      <w:r>
        <w:rPr>
          <w:rFonts w:hint="eastAsia"/>
          <w:sz w:val="24"/>
          <w:szCs w:val="24"/>
        </w:rPr>
        <w:t xml:space="preserve">. </w:t>
      </w:r>
      <w:r>
        <w:rPr>
          <w:sz w:val="24"/>
          <w:szCs w:val="24"/>
        </w:rPr>
        <w:t>And the heart rate was calculated by spectral analysis of the R-R interval from the ECG signal. Cardiac echocardiography was assessed using the GE LOGIQ E10 system equipped with an 18 MHz linear ultrasonic transducer (GE L8-18i linear transducer). The morpho-functional parameters for cardiac function evaluation include l</w:t>
      </w:r>
      <w:r>
        <w:rPr>
          <w:rFonts w:hint="eastAsia"/>
          <w:sz w:val="24"/>
          <w:szCs w:val="24"/>
        </w:rPr>
        <w:t>eft ventricular</w:t>
      </w:r>
      <w:r>
        <w:rPr>
          <w:sz w:val="24"/>
          <w:szCs w:val="24"/>
        </w:rPr>
        <w:t xml:space="preserve"> inner diameter diastole (LVIDd)</w:t>
      </w:r>
      <w:r>
        <w:rPr>
          <w:rFonts w:hint="eastAsia"/>
          <w:sz w:val="24"/>
          <w:szCs w:val="24"/>
        </w:rPr>
        <w:t>,</w:t>
      </w:r>
      <w:r>
        <w:rPr>
          <w:sz w:val="24"/>
          <w:szCs w:val="24"/>
        </w:rPr>
        <w:t xml:space="preserve"> l</w:t>
      </w:r>
      <w:r>
        <w:rPr>
          <w:rFonts w:hint="eastAsia"/>
          <w:sz w:val="24"/>
          <w:szCs w:val="24"/>
        </w:rPr>
        <w:t>eft ventricular</w:t>
      </w:r>
      <w:r>
        <w:rPr>
          <w:sz w:val="24"/>
          <w:szCs w:val="24"/>
        </w:rPr>
        <w:t xml:space="preserve"> inner diameter systole (LVIDs), l</w:t>
      </w:r>
      <w:r>
        <w:rPr>
          <w:rFonts w:hint="eastAsia"/>
          <w:sz w:val="24"/>
          <w:szCs w:val="24"/>
        </w:rPr>
        <w:t xml:space="preserve">eft ventricular ejection fraction (LVEF), </w:t>
      </w:r>
      <w:r>
        <w:rPr>
          <w:sz w:val="24"/>
          <w:szCs w:val="24"/>
        </w:rPr>
        <w:t xml:space="preserve">and LV </w:t>
      </w:r>
      <w:r>
        <w:rPr>
          <w:rFonts w:hint="eastAsia"/>
          <w:sz w:val="24"/>
          <w:szCs w:val="24"/>
        </w:rPr>
        <w:t>fractional shortening (LVFS).</w:t>
      </w:r>
    </w:p>
    <w:p w:rsidR="00B9479A" w:rsidRDefault="00622E0F">
      <w:pPr>
        <w:spacing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.12.</w:t>
      </w:r>
      <w:r w:rsidR="00533AF7">
        <w:rPr>
          <w:b/>
          <w:bCs/>
          <w:i/>
          <w:iCs/>
          <w:sz w:val="24"/>
          <w:szCs w:val="24"/>
        </w:rPr>
        <w:t xml:space="preserve"> In vivo</w:t>
      </w:r>
      <w:r w:rsidR="00533AF7">
        <w:rPr>
          <w:b/>
          <w:bCs/>
          <w:sz w:val="24"/>
          <w:szCs w:val="24"/>
        </w:rPr>
        <w:t xml:space="preserve"> acute toxicity assessment</w:t>
      </w:r>
    </w:p>
    <w:p w:rsidR="00B9479A" w:rsidRDefault="00533AF7">
      <w:pPr>
        <w:spacing w:line="480" w:lineRule="auto"/>
        <w:ind w:firstLineChars="200" w:firstLine="480"/>
        <w:rPr>
          <w:sz w:val="24"/>
          <w:szCs w:val="24"/>
        </w:rPr>
      </w:pPr>
      <w:r>
        <w:rPr>
          <w:rFonts w:hint="eastAsia"/>
          <w:sz w:val="24"/>
          <w:szCs w:val="24"/>
        </w:rPr>
        <w:t xml:space="preserve">Male ICR mice (4 - 6 weeks) were prepared </w:t>
      </w:r>
      <w:r>
        <w:rPr>
          <w:sz w:val="24"/>
          <w:szCs w:val="24"/>
        </w:rPr>
        <w:t>to</w:t>
      </w:r>
      <w:r>
        <w:rPr>
          <w:rFonts w:hint="eastAsia"/>
          <w:sz w:val="24"/>
          <w:szCs w:val="24"/>
        </w:rPr>
        <w:t xml:space="preserve"> evaluat</w:t>
      </w:r>
      <w:r>
        <w:rPr>
          <w:sz w:val="24"/>
          <w:szCs w:val="24"/>
        </w:rPr>
        <w:t xml:space="preserve">e the </w:t>
      </w:r>
      <w:r>
        <w:rPr>
          <w:rFonts w:hint="eastAsia"/>
          <w:sz w:val="24"/>
          <w:szCs w:val="24"/>
        </w:rPr>
        <w:t xml:space="preserve">acute toxicity of PDA(DOX). The mice were randomly divided into four groups (n = 6 </w:t>
      </w:r>
      <w:r>
        <w:rPr>
          <w:sz w:val="24"/>
          <w:szCs w:val="24"/>
        </w:rPr>
        <w:t xml:space="preserve">for </w:t>
      </w:r>
      <w:r>
        <w:rPr>
          <w:rFonts w:hint="eastAsia"/>
          <w:sz w:val="24"/>
          <w:szCs w:val="24"/>
        </w:rPr>
        <w:t>each group) as follows, saline, 10 mg/kg PDA(DOX), 50 mg/kg PDA(DOX), and 100 mg/kg PDA(DOX).</w:t>
      </w:r>
      <w:r>
        <w:rPr>
          <w:sz w:val="24"/>
          <w:szCs w:val="24"/>
        </w:rPr>
        <w:t xml:space="preserve"> </w:t>
      </w:r>
      <w:r>
        <w:rPr>
          <w:rFonts w:hint="eastAsia"/>
          <w:sz w:val="24"/>
          <w:szCs w:val="24"/>
        </w:rPr>
        <w:t xml:space="preserve">Different </w:t>
      </w:r>
      <w:r>
        <w:rPr>
          <w:sz w:val="24"/>
          <w:szCs w:val="24"/>
        </w:rPr>
        <w:t>PDA(DOX) doses</w:t>
      </w:r>
      <w:r>
        <w:rPr>
          <w:rFonts w:hint="eastAsia"/>
          <w:sz w:val="24"/>
          <w:szCs w:val="24"/>
        </w:rPr>
        <w:t xml:space="preserve"> w</w:t>
      </w:r>
      <w:r>
        <w:rPr>
          <w:sz w:val="24"/>
          <w:szCs w:val="24"/>
        </w:rPr>
        <w:t>ere</w:t>
      </w:r>
      <w:r>
        <w:rPr>
          <w:rFonts w:hint="eastAsia"/>
          <w:sz w:val="24"/>
          <w:szCs w:val="24"/>
        </w:rPr>
        <w:t xml:space="preserve"> injected intravenously on the first day. In 35 days, </w:t>
      </w:r>
      <w:r>
        <w:rPr>
          <w:sz w:val="24"/>
          <w:szCs w:val="24"/>
        </w:rPr>
        <w:t xml:space="preserve">the </w:t>
      </w:r>
      <w:r>
        <w:rPr>
          <w:rFonts w:hint="eastAsia"/>
          <w:sz w:val="24"/>
          <w:szCs w:val="24"/>
        </w:rPr>
        <w:t>mice</w:t>
      </w:r>
      <w:r>
        <w:rPr>
          <w:sz w:val="24"/>
          <w:szCs w:val="24"/>
        </w:rPr>
        <w:t>'s</w:t>
      </w:r>
      <w:r>
        <w:rPr>
          <w:rFonts w:hint="eastAsia"/>
          <w:sz w:val="24"/>
          <w:szCs w:val="24"/>
        </w:rPr>
        <w:t xml:space="preserve"> body weight</w:t>
      </w:r>
      <w:r>
        <w:rPr>
          <w:sz w:val="24"/>
          <w:szCs w:val="24"/>
        </w:rPr>
        <w:t xml:space="preserve"> and </w:t>
      </w:r>
      <w:r>
        <w:rPr>
          <w:rFonts w:hint="eastAsia"/>
          <w:sz w:val="24"/>
          <w:szCs w:val="24"/>
        </w:rPr>
        <w:t xml:space="preserve">physical and mental health conditions were assessed every other day. On the last day, </w:t>
      </w:r>
      <w:r>
        <w:rPr>
          <w:sz w:val="24"/>
          <w:szCs w:val="24"/>
        </w:rPr>
        <w:t>b</w:t>
      </w:r>
      <w:r>
        <w:rPr>
          <w:rFonts w:hint="eastAsia"/>
          <w:sz w:val="24"/>
          <w:szCs w:val="24"/>
        </w:rPr>
        <w:t xml:space="preserve">lood </w:t>
      </w:r>
      <w:r>
        <w:rPr>
          <w:sz w:val="24"/>
          <w:szCs w:val="24"/>
        </w:rPr>
        <w:t xml:space="preserve">was </w:t>
      </w:r>
      <w:r>
        <w:rPr>
          <w:rFonts w:hint="eastAsia"/>
          <w:sz w:val="24"/>
          <w:szCs w:val="24"/>
        </w:rPr>
        <w:t>collected from mice</w:t>
      </w:r>
      <w:r>
        <w:rPr>
          <w:sz w:val="24"/>
          <w:szCs w:val="24"/>
        </w:rPr>
        <w:t>'s</w:t>
      </w:r>
      <w:r>
        <w:rPr>
          <w:rFonts w:hint="eastAsia"/>
          <w:sz w:val="24"/>
          <w:szCs w:val="24"/>
        </w:rPr>
        <w:t xml:space="preserve"> eyeballs for routine blood test</w:t>
      </w:r>
      <w:r>
        <w:rPr>
          <w:sz w:val="24"/>
          <w:szCs w:val="24"/>
        </w:rPr>
        <w:t>s</w:t>
      </w:r>
      <w:r>
        <w:rPr>
          <w:rFonts w:hint="eastAsia"/>
          <w:sz w:val="24"/>
          <w:szCs w:val="24"/>
        </w:rPr>
        <w:t xml:space="preserve"> and biochemical studies. </w:t>
      </w:r>
      <w:r>
        <w:rPr>
          <w:sz w:val="24"/>
          <w:szCs w:val="24"/>
        </w:rPr>
        <w:t>In addition, the m</w:t>
      </w:r>
      <w:r>
        <w:rPr>
          <w:rFonts w:hint="eastAsia"/>
          <w:sz w:val="24"/>
          <w:szCs w:val="24"/>
        </w:rPr>
        <w:t>ain organs</w:t>
      </w:r>
      <w:r>
        <w:rPr>
          <w:sz w:val="24"/>
          <w:szCs w:val="24"/>
        </w:rPr>
        <w:t>,</w:t>
      </w:r>
      <w:r>
        <w:rPr>
          <w:rFonts w:hint="eastAsia"/>
          <w:sz w:val="24"/>
          <w:szCs w:val="24"/>
        </w:rPr>
        <w:t xml:space="preserve"> including </w:t>
      </w:r>
      <w:r>
        <w:rPr>
          <w:sz w:val="24"/>
          <w:szCs w:val="24"/>
        </w:rPr>
        <w:t xml:space="preserve">the </w:t>
      </w:r>
      <w:r>
        <w:rPr>
          <w:rFonts w:hint="eastAsia"/>
          <w:sz w:val="24"/>
          <w:szCs w:val="24"/>
        </w:rPr>
        <w:t>heart, liver, spleen, lung, and kidney</w:t>
      </w:r>
      <w:r>
        <w:rPr>
          <w:sz w:val="24"/>
          <w:szCs w:val="24"/>
        </w:rPr>
        <w:t>,</w:t>
      </w:r>
      <w:r>
        <w:rPr>
          <w:rFonts w:hint="eastAsia"/>
          <w:sz w:val="24"/>
          <w:szCs w:val="24"/>
        </w:rPr>
        <w:t xml:space="preserve"> were take</w:t>
      </w:r>
      <w:r>
        <w:rPr>
          <w:sz w:val="24"/>
          <w:szCs w:val="24"/>
        </w:rPr>
        <w:t>n</w:t>
      </w:r>
      <w:r>
        <w:rPr>
          <w:rFonts w:hint="eastAsia"/>
          <w:sz w:val="24"/>
          <w:szCs w:val="24"/>
        </w:rPr>
        <w:t xml:space="preserve"> </w:t>
      </w:r>
      <w:r>
        <w:rPr>
          <w:sz w:val="24"/>
          <w:szCs w:val="24"/>
        </w:rPr>
        <w:t>to calculate</w:t>
      </w:r>
      <w:r>
        <w:rPr>
          <w:rFonts w:hint="eastAsia"/>
          <w:sz w:val="24"/>
          <w:szCs w:val="24"/>
        </w:rPr>
        <w:t xml:space="preserve"> organ coefficient and </w:t>
      </w:r>
      <w:r>
        <w:rPr>
          <w:sz w:val="24"/>
          <w:szCs w:val="24"/>
        </w:rPr>
        <w:t>hematoxylin and eosin (</w:t>
      </w:r>
      <w:r>
        <w:rPr>
          <w:rFonts w:hint="eastAsia"/>
          <w:sz w:val="24"/>
          <w:szCs w:val="24"/>
        </w:rPr>
        <w:t>H&amp;E</w:t>
      </w:r>
      <w:r>
        <w:rPr>
          <w:sz w:val="24"/>
          <w:szCs w:val="24"/>
        </w:rPr>
        <w:t>)</w:t>
      </w:r>
      <w:r>
        <w:rPr>
          <w:rFonts w:hint="eastAsia"/>
          <w:sz w:val="24"/>
          <w:szCs w:val="24"/>
        </w:rPr>
        <w:t xml:space="preserve"> staining.</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 xml:space="preserve">.13. </w:t>
      </w:r>
      <w:r w:rsidR="00533AF7">
        <w:rPr>
          <w:rFonts w:hint="eastAsia"/>
          <w:b/>
          <w:bCs/>
          <w:sz w:val="24"/>
          <w:szCs w:val="24"/>
        </w:rPr>
        <w:t>H</w:t>
      </w:r>
      <w:r w:rsidR="00533AF7">
        <w:rPr>
          <w:b/>
          <w:bCs/>
          <w:sz w:val="24"/>
          <w:szCs w:val="24"/>
        </w:rPr>
        <w:t>istology analysis (H&amp;E, Masson, and TUNEL stain)</w:t>
      </w:r>
    </w:p>
    <w:p w:rsidR="00B9479A" w:rsidRDefault="00533AF7">
      <w:pPr>
        <w:spacing w:line="480" w:lineRule="auto"/>
        <w:ind w:firstLineChars="200" w:firstLine="480"/>
        <w:rPr>
          <w:rFonts w:eastAsia="DengXian"/>
          <w:sz w:val="24"/>
          <w:szCs w:val="24"/>
        </w:rPr>
      </w:pPr>
      <w:r>
        <w:rPr>
          <w:sz w:val="24"/>
          <w:szCs w:val="24"/>
        </w:rPr>
        <w:t xml:space="preserve">Histological changes in main organs tissue were examined by H&amp;E staining. And the cardiac tissues of the mice in the chemotherapy groups were further analyzed by </w:t>
      </w:r>
      <w:r>
        <w:rPr>
          <w:rFonts w:hint="eastAsia"/>
          <w:sz w:val="24"/>
          <w:szCs w:val="24"/>
        </w:rPr>
        <w:t>Masson</w:t>
      </w:r>
      <w:r>
        <w:rPr>
          <w:sz w:val="24"/>
          <w:szCs w:val="24"/>
        </w:rPr>
        <w:t xml:space="preserve"> staining</w:t>
      </w:r>
      <w:r>
        <w:rPr>
          <w:rFonts w:hint="eastAsia"/>
          <w:sz w:val="24"/>
          <w:szCs w:val="24"/>
        </w:rPr>
        <w:t xml:space="preserve"> </w:t>
      </w:r>
      <w:r>
        <w:rPr>
          <w:sz w:val="24"/>
          <w:szCs w:val="24"/>
        </w:rPr>
        <w:t>and TU</w:t>
      </w:r>
      <w:r>
        <w:rPr>
          <w:rFonts w:hint="eastAsia"/>
          <w:sz w:val="24"/>
          <w:szCs w:val="24"/>
        </w:rPr>
        <w:t>N</w:t>
      </w:r>
      <w:r>
        <w:rPr>
          <w:sz w:val="24"/>
          <w:szCs w:val="24"/>
        </w:rPr>
        <w:t>EL</w:t>
      </w:r>
      <w:r>
        <w:rPr>
          <w:rFonts w:hint="eastAsia"/>
          <w:sz w:val="24"/>
          <w:szCs w:val="24"/>
        </w:rPr>
        <w:t xml:space="preserve"> </w:t>
      </w:r>
      <w:r>
        <w:rPr>
          <w:sz w:val="24"/>
          <w:szCs w:val="24"/>
        </w:rPr>
        <w:t>staining</w:t>
      </w:r>
      <w:r>
        <w:rPr>
          <w:rFonts w:hint="eastAsia"/>
          <w:sz w:val="24"/>
          <w:szCs w:val="24"/>
        </w:rPr>
        <w:t xml:space="preserve">. </w:t>
      </w:r>
      <w:r>
        <w:rPr>
          <w:sz w:val="24"/>
          <w:szCs w:val="24"/>
        </w:rPr>
        <w:t xml:space="preserve">Paraffin-embedded organ tissues were cut into 4 μm thick sections. For H&amp;E staining, the tissue sections were deparaffinized by xylene and then stained with hematoxylin and eosin at room temperature. </w:t>
      </w:r>
      <w:r>
        <w:rPr>
          <w:rFonts w:hint="eastAsia"/>
          <w:sz w:val="24"/>
          <w:szCs w:val="24"/>
        </w:rPr>
        <w:t>For Masson stain</w:t>
      </w:r>
      <w:r>
        <w:rPr>
          <w:sz w:val="24"/>
          <w:szCs w:val="24"/>
        </w:rPr>
        <w:t>ing</w:t>
      </w:r>
      <w:r>
        <w:rPr>
          <w:rFonts w:hint="eastAsia"/>
          <w:sz w:val="24"/>
          <w:szCs w:val="24"/>
        </w:rPr>
        <w:t xml:space="preserve">, heart </w:t>
      </w:r>
      <w:r>
        <w:rPr>
          <w:sz w:val="24"/>
          <w:szCs w:val="24"/>
        </w:rPr>
        <w:t>histological</w:t>
      </w:r>
      <w:r>
        <w:rPr>
          <w:rFonts w:hint="eastAsia"/>
          <w:sz w:val="24"/>
          <w:szCs w:val="24"/>
        </w:rPr>
        <w:t xml:space="preserve"> sections were dewaxed </w:t>
      </w:r>
      <w:r>
        <w:rPr>
          <w:sz w:val="24"/>
          <w:szCs w:val="24"/>
        </w:rPr>
        <w:t xml:space="preserve">and stained with Weigert's iron hematoxylin solution, ponceau-acid fuchsin solution, and blue aniline solution turn. Finally, the slices were dehydrated and </w:t>
      </w:r>
      <w:r>
        <w:rPr>
          <w:rFonts w:hint="eastAsia"/>
          <w:sz w:val="24"/>
          <w:szCs w:val="24"/>
        </w:rPr>
        <w:t xml:space="preserve">sealed. For </w:t>
      </w:r>
      <w:r>
        <w:rPr>
          <w:sz w:val="24"/>
          <w:szCs w:val="24"/>
        </w:rPr>
        <w:t xml:space="preserve">the </w:t>
      </w:r>
      <w:r>
        <w:rPr>
          <w:rFonts w:hint="eastAsia"/>
          <w:sz w:val="24"/>
          <w:szCs w:val="24"/>
        </w:rPr>
        <w:t>TUNEL stain</w:t>
      </w:r>
      <w:r>
        <w:rPr>
          <w:sz w:val="24"/>
          <w:szCs w:val="24"/>
        </w:rPr>
        <w:t>ing</w:t>
      </w:r>
      <w:r>
        <w:rPr>
          <w:rFonts w:hint="eastAsia"/>
          <w:sz w:val="24"/>
          <w:szCs w:val="24"/>
        </w:rPr>
        <w:t xml:space="preserve">, heart tissue sections were incubated with proteinase K (free DNase) for 20 min after </w:t>
      </w:r>
      <w:r>
        <w:rPr>
          <w:sz w:val="24"/>
          <w:szCs w:val="24"/>
        </w:rPr>
        <w:t xml:space="preserve">being </w:t>
      </w:r>
      <w:r>
        <w:rPr>
          <w:rFonts w:hint="eastAsia"/>
          <w:sz w:val="24"/>
          <w:szCs w:val="24"/>
        </w:rPr>
        <w:t xml:space="preserve">dewaxed to distilled water. After </w:t>
      </w:r>
      <w:r>
        <w:rPr>
          <w:sz w:val="24"/>
          <w:szCs w:val="24"/>
        </w:rPr>
        <w:t xml:space="preserve">washing </w:t>
      </w:r>
      <w:r>
        <w:rPr>
          <w:rFonts w:hint="eastAsia"/>
          <w:sz w:val="24"/>
          <w:szCs w:val="24"/>
        </w:rPr>
        <w:t>with PBS, incubated with TUNEL dete</w:t>
      </w:r>
      <w:r>
        <w:rPr>
          <w:sz w:val="24"/>
          <w:szCs w:val="24"/>
        </w:rPr>
        <w:t>c</w:t>
      </w:r>
      <w:r>
        <w:rPr>
          <w:rFonts w:hint="eastAsia"/>
          <w:sz w:val="24"/>
          <w:szCs w:val="24"/>
        </w:rPr>
        <w:t>tion solution at 37</w:t>
      </w:r>
      <w:r>
        <w:rPr>
          <w:sz w:val="24"/>
        </w:rPr>
        <w:t>°C</w:t>
      </w:r>
      <w:r>
        <w:rPr>
          <w:rFonts w:hint="eastAsia"/>
          <w:sz w:val="24"/>
        </w:rPr>
        <w:t xml:space="preserve"> in</w:t>
      </w:r>
      <w:r>
        <w:rPr>
          <w:sz w:val="24"/>
        </w:rPr>
        <w:t xml:space="preserve"> the</w:t>
      </w:r>
      <w:r>
        <w:rPr>
          <w:rFonts w:hint="eastAsia"/>
          <w:sz w:val="24"/>
        </w:rPr>
        <w:t xml:space="preserve"> dark for 1 h, stained with DAPI </w:t>
      </w:r>
      <w:r>
        <w:rPr>
          <w:sz w:val="24"/>
        </w:rPr>
        <w:t xml:space="preserve">for </w:t>
      </w:r>
      <w:r>
        <w:rPr>
          <w:rFonts w:hint="eastAsia"/>
          <w:sz w:val="24"/>
        </w:rPr>
        <w:t>5</w:t>
      </w:r>
      <w:r>
        <w:rPr>
          <w:sz w:val="24"/>
        </w:rPr>
        <w:t xml:space="preserve"> </w:t>
      </w:r>
      <w:r>
        <w:rPr>
          <w:rFonts w:hint="eastAsia"/>
          <w:sz w:val="24"/>
        </w:rPr>
        <w:t xml:space="preserve">min. Finally, </w:t>
      </w:r>
      <w:r>
        <w:rPr>
          <w:sz w:val="24"/>
        </w:rPr>
        <w:t xml:space="preserve">the </w:t>
      </w:r>
      <w:r>
        <w:rPr>
          <w:rFonts w:hint="eastAsia"/>
          <w:sz w:val="24"/>
          <w:szCs w:val="24"/>
        </w:rPr>
        <w:t>antifade mounting medium</w:t>
      </w:r>
      <w:r>
        <w:rPr>
          <w:rFonts w:hint="eastAsia"/>
          <w:sz w:val="24"/>
        </w:rPr>
        <w:t xml:space="preserve"> </w:t>
      </w:r>
      <w:r>
        <w:rPr>
          <w:rFonts w:hint="eastAsia"/>
          <w:sz w:val="24"/>
          <w:szCs w:val="24"/>
        </w:rPr>
        <w:t>w</w:t>
      </w:r>
      <w:r>
        <w:rPr>
          <w:sz w:val="24"/>
          <w:szCs w:val="24"/>
        </w:rPr>
        <w:t>as</w:t>
      </w:r>
      <w:r>
        <w:rPr>
          <w:rFonts w:hint="eastAsia"/>
          <w:sz w:val="24"/>
          <w:szCs w:val="24"/>
        </w:rPr>
        <w:t xml:space="preserve"> drop</w:t>
      </w:r>
      <w:r>
        <w:rPr>
          <w:sz w:val="24"/>
          <w:szCs w:val="24"/>
        </w:rPr>
        <w:t>p</w:t>
      </w:r>
      <w:r>
        <w:rPr>
          <w:rFonts w:hint="eastAsia"/>
          <w:sz w:val="24"/>
          <w:szCs w:val="24"/>
        </w:rPr>
        <w:t xml:space="preserve">ed into heart tissue sections for further viewing. </w:t>
      </w:r>
    </w:p>
    <w:p w:rsidR="00B9479A" w:rsidRDefault="00622E0F">
      <w:pPr>
        <w:spacing w:beforeLines="50" w:before="156" w:afterLines="50" w:after="156" w:line="480" w:lineRule="auto"/>
        <w:rPr>
          <w:b/>
          <w:bCs/>
          <w:sz w:val="24"/>
          <w:szCs w:val="24"/>
        </w:rPr>
      </w:pPr>
      <w:r>
        <w:rPr>
          <w:b/>
          <w:bCs/>
          <w:sz w:val="24"/>
          <w:szCs w:val="24"/>
        </w:rPr>
        <w:t>S</w:t>
      </w:r>
      <w:r w:rsidR="00533AF7">
        <w:rPr>
          <w:rFonts w:hint="eastAsia"/>
          <w:b/>
          <w:bCs/>
          <w:sz w:val="24"/>
          <w:szCs w:val="24"/>
        </w:rPr>
        <w:t>1</w:t>
      </w:r>
      <w:r w:rsidR="00533AF7">
        <w:rPr>
          <w:b/>
          <w:bCs/>
          <w:sz w:val="24"/>
          <w:szCs w:val="24"/>
        </w:rPr>
        <w:t>.14. Statistical analysis</w:t>
      </w:r>
    </w:p>
    <w:p w:rsidR="00B9479A" w:rsidRDefault="00533AF7">
      <w:pPr>
        <w:spacing w:line="480" w:lineRule="auto"/>
        <w:ind w:firstLineChars="200" w:firstLine="480"/>
        <w:rPr>
          <w:b/>
          <w:bCs/>
          <w:sz w:val="24"/>
          <w:szCs w:val="24"/>
        </w:rPr>
      </w:pPr>
      <w:r>
        <w:rPr>
          <w:rFonts w:hint="eastAsia"/>
          <w:sz w:val="24"/>
          <w:szCs w:val="24"/>
        </w:rPr>
        <w:t xml:space="preserve">All experimental data were expressed </w:t>
      </w:r>
      <w:r>
        <w:rPr>
          <w:sz w:val="24"/>
          <w:szCs w:val="24"/>
        </w:rPr>
        <w:t>as</w:t>
      </w:r>
      <w:r>
        <w:rPr>
          <w:rFonts w:hint="eastAsia"/>
          <w:sz w:val="24"/>
          <w:szCs w:val="24"/>
        </w:rPr>
        <w:t xml:space="preserve"> </w:t>
      </w:r>
      <w:r>
        <w:rPr>
          <w:sz w:val="24"/>
          <w:szCs w:val="24"/>
        </w:rPr>
        <w:t xml:space="preserve">the </w:t>
      </w:r>
      <w:r>
        <w:rPr>
          <w:rFonts w:hint="eastAsia"/>
          <w:sz w:val="24"/>
          <w:szCs w:val="24"/>
        </w:rPr>
        <w:t xml:space="preserve">mean </w:t>
      </w:r>
      <w:r>
        <w:rPr>
          <w:sz w:val="24"/>
          <w:szCs w:val="24"/>
        </w:rPr>
        <w:t>±</w:t>
      </w:r>
      <w:r>
        <w:rPr>
          <w:rFonts w:hint="eastAsia"/>
          <w:sz w:val="24"/>
          <w:szCs w:val="24"/>
        </w:rPr>
        <w:t xml:space="preserve"> standard deviation</w:t>
      </w:r>
      <w:r>
        <w:rPr>
          <w:sz w:val="24"/>
          <w:szCs w:val="24"/>
        </w:rPr>
        <w:t xml:space="preserve"> </w:t>
      </w:r>
      <w:r>
        <w:rPr>
          <w:rFonts w:hint="eastAsia"/>
          <w:sz w:val="24"/>
          <w:szCs w:val="24"/>
        </w:rPr>
        <w:t xml:space="preserve">and analyzed by student t-test. </w:t>
      </w:r>
      <w:r>
        <w:rPr>
          <w:sz w:val="24"/>
          <w:szCs w:val="24"/>
        </w:rPr>
        <w:t>One-way ANOVA followed by Dunnett’s multiple comparison tests was used to compare the groups. Differences</w:t>
      </w:r>
      <w:r>
        <w:rPr>
          <w:rFonts w:hint="eastAsia"/>
          <w:sz w:val="24"/>
          <w:szCs w:val="24"/>
        </w:rPr>
        <w:t xml:space="preserve"> were</w:t>
      </w:r>
      <w:r>
        <w:rPr>
          <w:sz w:val="24"/>
          <w:szCs w:val="24"/>
        </w:rPr>
        <w:t xml:space="preserve"> considered</w:t>
      </w:r>
      <w:r>
        <w:rPr>
          <w:rFonts w:hint="eastAsia"/>
          <w:sz w:val="24"/>
          <w:szCs w:val="24"/>
        </w:rPr>
        <w:t xml:space="preserve"> statistically significant at</w:t>
      </w:r>
      <w:r>
        <w:rPr>
          <w:sz w:val="24"/>
          <w:szCs w:val="24"/>
        </w:rPr>
        <w:t xml:space="preserve"> </w:t>
      </w:r>
      <w:r>
        <w:rPr>
          <w:rFonts w:hint="eastAsia"/>
          <w:sz w:val="24"/>
          <w:szCs w:val="24"/>
        </w:rPr>
        <w:t>*</w:t>
      </w:r>
      <w:r>
        <w:rPr>
          <w:rFonts w:hint="eastAsia"/>
          <w:i/>
          <w:iCs/>
          <w:sz w:val="24"/>
          <w:szCs w:val="24"/>
        </w:rPr>
        <w:t>p</w:t>
      </w:r>
      <w:r>
        <w:rPr>
          <w:rFonts w:hint="eastAsia"/>
          <w:sz w:val="24"/>
          <w:szCs w:val="24"/>
        </w:rPr>
        <w:t xml:space="preserve"> &lt; 0.05, **</w:t>
      </w:r>
      <w:r>
        <w:rPr>
          <w:rFonts w:hint="eastAsia"/>
          <w:i/>
          <w:iCs/>
          <w:sz w:val="24"/>
          <w:szCs w:val="24"/>
        </w:rPr>
        <w:t>p</w:t>
      </w:r>
      <w:r>
        <w:rPr>
          <w:rFonts w:hint="eastAsia"/>
          <w:sz w:val="24"/>
          <w:szCs w:val="24"/>
        </w:rPr>
        <w:t xml:space="preserve"> &lt; 0.01, and ***</w:t>
      </w:r>
      <w:r>
        <w:rPr>
          <w:rFonts w:hint="eastAsia"/>
          <w:i/>
          <w:iCs/>
          <w:sz w:val="24"/>
          <w:szCs w:val="24"/>
        </w:rPr>
        <w:t>p</w:t>
      </w:r>
      <w:r>
        <w:rPr>
          <w:rFonts w:hint="eastAsia"/>
          <w:sz w:val="24"/>
          <w:szCs w:val="24"/>
        </w:rPr>
        <w:t xml:space="preserve"> &lt; 0.001.</w:t>
      </w:r>
      <w:r>
        <w:rPr>
          <w:b/>
          <w:bCs/>
          <w:sz w:val="24"/>
          <w:szCs w:val="24"/>
        </w:rPr>
        <w:br w:type="page"/>
      </w:r>
    </w:p>
    <w:p w:rsidR="00B9479A" w:rsidRDefault="00622E0F">
      <w:pPr>
        <w:spacing w:beforeLines="50" w:before="156" w:afterLines="50" w:after="156" w:line="480" w:lineRule="auto"/>
        <w:rPr>
          <w:b/>
          <w:bCs/>
          <w:sz w:val="28"/>
          <w:szCs w:val="28"/>
        </w:rPr>
      </w:pPr>
      <w:r>
        <w:rPr>
          <w:b/>
          <w:bCs/>
          <w:sz w:val="28"/>
          <w:szCs w:val="28"/>
        </w:rPr>
        <w:t>S</w:t>
      </w:r>
      <w:r w:rsidR="00533AF7">
        <w:rPr>
          <w:rFonts w:hint="eastAsia"/>
          <w:b/>
          <w:bCs/>
          <w:sz w:val="28"/>
          <w:szCs w:val="28"/>
        </w:rPr>
        <w:t>2</w:t>
      </w:r>
      <w:r w:rsidR="00533AF7">
        <w:rPr>
          <w:b/>
          <w:bCs/>
          <w:sz w:val="28"/>
          <w:szCs w:val="28"/>
        </w:rPr>
        <w:t>.</w:t>
      </w:r>
      <w:r w:rsidR="00533AF7">
        <w:rPr>
          <w:rFonts w:hint="eastAsia"/>
          <w:b/>
          <w:bCs/>
          <w:sz w:val="28"/>
          <w:szCs w:val="28"/>
        </w:rPr>
        <w:t xml:space="preserve"> Theoretical Calculation and Analysis of photothermal performance results</w:t>
      </w:r>
    </w:p>
    <w:p w:rsidR="00B9479A" w:rsidRDefault="00533AF7">
      <w:pPr>
        <w:spacing w:line="480" w:lineRule="auto"/>
        <w:rPr>
          <w:sz w:val="24"/>
          <w:szCs w:val="24"/>
        </w:rPr>
      </w:pPr>
      <w:r>
        <w:rPr>
          <w:sz w:val="24"/>
          <w:szCs w:val="24"/>
        </w:rPr>
        <w:t>To elucidate the effect of PDA sizes on their photothermal properties, we further calculated the photothermal conversion efficiency</w:t>
      </w:r>
      <w:r>
        <w:rPr>
          <w:rFonts w:hint="eastAsia"/>
          <w:sz w:val="24"/>
          <w:szCs w:val="24"/>
        </w:rPr>
        <w:t>,</w:t>
      </w:r>
      <w:r>
        <w:rPr>
          <w:sz w:val="24"/>
          <w:szCs w:val="24"/>
        </w:rPr>
        <w:t xml:space="preserve"> absorption cross-section, absorption efficiency factor, and molar absorption coefficient of PDA nanoparticles with different particle size</w:t>
      </w:r>
      <w:r>
        <w:rPr>
          <w:rFonts w:hint="eastAsia"/>
          <w:sz w:val="24"/>
          <w:szCs w:val="24"/>
        </w:rPr>
        <w:t>s</w:t>
      </w:r>
      <w:r>
        <w:rPr>
          <w:sz w:val="24"/>
          <w:szCs w:val="24"/>
        </w:rPr>
        <w:t xml:space="preserve">. </w:t>
      </w:r>
    </w:p>
    <w:p w:rsidR="00B9479A" w:rsidRDefault="00622E0F">
      <w:pPr>
        <w:pStyle w:val="ListParagraph"/>
        <w:spacing w:beforeLines="50" w:before="156" w:afterLines="50" w:after="156" w:line="480" w:lineRule="auto"/>
        <w:ind w:firstLineChars="0" w:firstLine="0"/>
        <w:rPr>
          <w:sz w:val="24"/>
          <w:szCs w:val="24"/>
        </w:rPr>
      </w:pPr>
      <w:r>
        <w:rPr>
          <w:b/>
          <w:bCs/>
          <w:sz w:val="24"/>
          <w:szCs w:val="24"/>
        </w:rPr>
        <w:t>S</w:t>
      </w:r>
      <w:r w:rsidR="00533AF7">
        <w:rPr>
          <w:rFonts w:hint="eastAsia"/>
          <w:b/>
          <w:bCs/>
          <w:sz w:val="24"/>
          <w:szCs w:val="24"/>
        </w:rPr>
        <w:t>2.</w:t>
      </w:r>
      <w:r w:rsidR="00533AF7">
        <w:rPr>
          <w:b/>
          <w:bCs/>
          <w:sz w:val="24"/>
          <w:szCs w:val="24"/>
        </w:rPr>
        <w:t>1.</w:t>
      </w:r>
      <w:r w:rsidR="00533AF7">
        <w:rPr>
          <w:rFonts w:hint="eastAsia"/>
          <w:b/>
          <w:bCs/>
          <w:sz w:val="24"/>
          <w:szCs w:val="24"/>
        </w:rPr>
        <w:t xml:space="preserve"> </w:t>
      </w:r>
      <w:r w:rsidR="00533AF7">
        <w:rPr>
          <w:b/>
          <w:bCs/>
          <w:sz w:val="24"/>
          <w:szCs w:val="24"/>
        </w:rPr>
        <w:t>Photothermal conversion efficiency</w:t>
      </w:r>
      <w:r w:rsidR="00533AF7">
        <w:rPr>
          <w:sz w:val="24"/>
          <w:szCs w:val="24"/>
        </w:rPr>
        <w:t xml:space="preserve">  </w:t>
      </w:r>
    </w:p>
    <w:p w:rsidR="00B9479A" w:rsidRDefault="00533AF7">
      <w:pPr>
        <w:spacing w:line="480" w:lineRule="auto"/>
        <w:rPr>
          <w:sz w:val="24"/>
          <w:szCs w:val="24"/>
        </w:rPr>
      </w:pPr>
      <w:r>
        <w:rPr>
          <w:sz w:val="24"/>
          <w:szCs w:val="24"/>
        </w:rPr>
        <w:t>F</w:t>
      </w:r>
      <w:r>
        <w:rPr>
          <w:rFonts w:hint="eastAsia"/>
          <w:sz w:val="24"/>
          <w:szCs w:val="24"/>
        </w:rPr>
        <w:t>ollowing Roper</w:t>
      </w:r>
      <w:r>
        <w:rPr>
          <w:sz w:val="24"/>
          <w:szCs w:val="24"/>
        </w:rPr>
        <w:t>’</w:t>
      </w:r>
      <w:r>
        <w:rPr>
          <w:rFonts w:hint="eastAsia"/>
          <w:sz w:val="24"/>
          <w:szCs w:val="24"/>
        </w:rPr>
        <w:t>s report and Lambert</w:t>
      </w:r>
      <w:r>
        <w:rPr>
          <w:sz w:val="24"/>
          <w:szCs w:val="24"/>
        </w:rPr>
        <w:t>-</w:t>
      </w:r>
      <w:r>
        <w:rPr>
          <w:rFonts w:hint="eastAsia"/>
          <w:sz w:val="24"/>
          <w:szCs w:val="24"/>
        </w:rPr>
        <w:t xml:space="preserve">Beer law, the 808 nm </w:t>
      </w:r>
      <w:r>
        <w:rPr>
          <w:sz w:val="24"/>
          <w:szCs w:val="24"/>
        </w:rPr>
        <w:t>photothermal</w:t>
      </w:r>
      <w:r>
        <w:rPr>
          <w:rFonts w:hint="eastAsia"/>
          <w:sz w:val="24"/>
          <w:szCs w:val="24"/>
        </w:rPr>
        <w:t xml:space="preserve"> conversion efficiency (</w:t>
      </w:r>
      <w:r>
        <w:rPr>
          <w:sz w:val="24"/>
          <w:szCs w:val="24"/>
        </w:rPr>
        <w:t>η</w:t>
      </w:r>
      <w:r>
        <w:rPr>
          <w:rFonts w:hint="eastAsia"/>
          <w:sz w:val="24"/>
          <w:szCs w:val="24"/>
        </w:rPr>
        <w:t xml:space="preserve">) of </w:t>
      </w:r>
      <w:r>
        <w:rPr>
          <w:sz w:val="24"/>
          <w:szCs w:val="24"/>
        </w:rPr>
        <w:t xml:space="preserve">PDA </w:t>
      </w:r>
      <w:r>
        <w:rPr>
          <w:rFonts w:hint="eastAsia"/>
          <w:sz w:val="24"/>
          <w:szCs w:val="24"/>
        </w:rPr>
        <w:t>nano</w:t>
      </w:r>
      <w:r>
        <w:rPr>
          <w:sz w:val="24"/>
          <w:szCs w:val="24"/>
        </w:rPr>
        <w:t xml:space="preserve">particles </w:t>
      </w:r>
      <w:r>
        <w:rPr>
          <w:rFonts w:hint="eastAsia"/>
          <w:sz w:val="24"/>
          <w:szCs w:val="24"/>
        </w:rPr>
        <w:t>can be determined by Eq</w:t>
      </w:r>
      <w:r>
        <w:rPr>
          <w:sz w:val="24"/>
          <w:szCs w:val="24"/>
        </w:rPr>
        <w:t xml:space="preserve">uation </w:t>
      </w:r>
      <w:r w:rsidR="00622E0F">
        <w:rPr>
          <w:sz w:val="24"/>
          <w:szCs w:val="24"/>
        </w:rPr>
        <w:t>S</w:t>
      </w:r>
      <w:r>
        <w:rPr>
          <w:sz w:val="24"/>
          <w:szCs w:val="24"/>
        </w:rPr>
        <w:t>1</w:t>
      </w:r>
      <w:r>
        <w:rPr>
          <w:rFonts w:hint="eastAsia"/>
          <w:sz w:val="24"/>
          <w:szCs w:val="24"/>
        </w:rPr>
        <w:t>:</w:t>
      </w:r>
    </w:p>
    <w:p w:rsidR="00B9479A" w:rsidRDefault="00533AF7">
      <w:pPr>
        <w:spacing w:line="480" w:lineRule="auto"/>
        <w:jc w:val="center"/>
        <w:rPr>
          <w:sz w:val="24"/>
          <w:szCs w:val="24"/>
        </w:rPr>
      </w:pPr>
      <w:r>
        <w:rPr>
          <w:position w:val="-28"/>
        </w:rPr>
        <w:object w:dxaOrig="2472" w:dyaOrig="623">
          <v:shape id="_x0000_i1028" type="#_x0000_t75" style="width:123.45pt;height:31.3pt" o:ole="">
            <v:imagedata r:id="rId14" o:title=""/>
          </v:shape>
          <o:OLEObject Type="Embed" ProgID="Equation.DSMT4" ShapeID="_x0000_i1028" DrawAspect="Content" ObjectID="_1754210750" r:id="rId15"/>
        </w:object>
      </w:r>
      <w:r>
        <w:rPr>
          <w:sz w:val="24"/>
          <w:szCs w:val="24"/>
        </w:rPr>
        <w:t xml:space="preserve">        (</w:t>
      </w:r>
      <w:r w:rsidR="00622E0F">
        <w:rPr>
          <w:sz w:val="24"/>
          <w:szCs w:val="24"/>
        </w:rPr>
        <w:t>S</w:t>
      </w:r>
      <w:r>
        <w:rPr>
          <w:sz w:val="24"/>
          <w:szCs w:val="24"/>
        </w:rPr>
        <w:t>1)</w:t>
      </w:r>
    </w:p>
    <w:p w:rsidR="00B9479A" w:rsidRDefault="00533AF7">
      <w:pPr>
        <w:spacing w:line="480" w:lineRule="auto"/>
        <w:rPr>
          <w:sz w:val="24"/>
          <w:szCs w:val="24"/>
        </w:rPr>
      </w:pPr>
      <w:r>
        <w:rPr>
          <w:sz w:val="24"/>
          <w:szCs w:val="24"/>
        </w:rPr>
        <w:t>Where</w:t>
      </w:r>
      <w:r>
        <w:rPr>
          <w:rFonts w:hint="eastAsia"/>
          <w:sz w:val="24"/>
          <w:szCs w:val="24"/>
        </w:rPr>
        <w:t xml:space="preserve"> </w:t>
      </w:r>
      <w:r>
        <w:rPr>
          <w:sz w:val="24"/>
          <w:szCs w:val="24"/>
        </w:rPr>
        <w:t>η</w:t>
      </w:r>
      <w:r>
        <w:rPr>
          <w:rFonts w:hint="eastAsia"/>
          <w:sz w:val="24"/>
          <w:szCs w:val="24"/>
        </w:rPr>
        <w:t xml:space="preserve"> </w:t>
      </w:r>
      <w:r>
        <w:rPr>
          <w:sz w:val="24"/>
          <w:szCs w:val="24"/>
        </w:rPr>
        <w:t xml:space="preserve">is the photothermal conversion efficiency from incident 808 nm laser energy to thermal energy, </w:t>
      </w:r>
      <w:r>
        <w:rPr>
          <w:rFonts w:hint="eastAsia"/>
          <w:i/>
          <w:sz w:val="24"/>
          <w:szCs w:val="24"/>
        </w:rPr>
        <w:t>h</w:t>
      </w:r>
      <w:r>
        <w:rPr>
          <w:sz w:val="24"/>
          <w:szCs w:val="24"/>
        </w:rPr>
        <w:t xml:space="preserve"> is the heat transfer coefficient, </w:t>
      </w:r>
      <w:r>
        <w:rPr>
          <w:rFonts w:hint="eastAsia"/>
          <w:i/>
          <w:sz w:val="24"/>
          <w:szCs w:val="24"/>
        </w:rPr>
        <w:t>S</w:t>
      </w:r>
      <w:r>
        <w:rPr>
          <w:sz w:val="24"/>
          <w:szCs w:val="24"/>
        </w:rPr>
        <w:t xml:space="preserve"> is the surface area of the container, </w:t>
      </w:r>
      <w:r>
        <w:rPr>
          <w:rFonts w:hint="eastAsia"/>
          <w:i/>
          <w:sz w:val="24"/>
          <w:szCs w:val="24"/>
        </w:rPr>
        <w:t>T</w:t>
      </w:r>
      <w:r>
        <w:rPr>
          <w:rFonts w:hint="eastAsia"/>
          <w:i/>
          <w:sz w:val="24"/>
          <w:szCs w:val="24"/>
          <w:vertAlign w:val="subscript"/>
        </w:rPr>
        <w:t>max</w:t>
      </w:r>
      <w:r>
        <w:rPr>
          <w:sz w:val="24"/>
          <w:szCs w:val="24"/>
        </w:rPr>
        <w:t xml:space="preserve"> is the equilibrium temperature,</w:t>
      </w:r>
      <w:r>
        <w:rPr>
          <w:rFonts w:hint="eastAsia"/>
          <w:sz w:val="24"/>
          <w:szCs w:val="24"/>
        </w:rPr>
        <w:t xml:space="preserve"> </w:t>
      </w:r>
      <w:r>
        <w:rPr>
          <w:rFonts w:hint="eastAsia"/>
          <w:i/>
          <w:sz w:val="24"/>
          <w:szCs w:val="24"/>
        </w:rPr>
        <w:t>T</w:t>
      </w:r>
      <w:r>
        <w:rPr>
          <w:rFonts w:hint="eastAsia"/>
          <w:i/>
          <w:sz w:val="24"/>
          <w:szCs w:val="24"/>
          <w:vertAlign w:val="subscript"/>
        </w:rPr>
        <w:t>surr</w:t>
      </w:r>
      <w:r>
        <w:rPr>
          <w:sz w:val="24"/>
          <w:szCs w:val="24"/>
        </w:rPr>
        <w:t xml:space="preserve"> is the ambient temperature of the surroundings, </w:t>
      </w:r>
      <w:r>
        <w:rPr>
          <w:rFonts w:hint="eastAsia"/>
          <w:i/>
          <w:sz w:val="24"/>
          <w:szCs w:val="24"/>
        </w:rPr>
        <w:t>Q</w:t>
      </w:r>
      <w:r>
        <w:rPr>
          <w:rFonts w:hint="eastAsia"/>
          <w:i/>
          <w:sz w:val="24"/>
          <w:szCs w:val="24"/>
          <w:vertAlign w:val="subscript"/>
        </w:rPr>
        <w:t>dis</w:t>
      </w:r>
      <w:r>
        <w:rPr>
          <w:sz w:val="24"/>
          <w:szCs w:val="24"/>
        </w:rPr>
        <w:t xml:space="preserve"> is the baseline energy inputted by the sample cell, </w:t>
      </w:r>
      <w:r>
        <w:rPr>
          <w:rFonts w:hint="eastAsia"/>
          <w:i/>
          <w:sz w:val="24"/>
          <w:szCs w:val="24"/>
        </w:rPr>
        <w:t>I</w:t>
      </w:r>
      <w:r>
        <w:rPr>
          <w:sz w:val="24"/>
          <w:szCs w:val="24"/>
        </w:rPr>
        <w:t xml:space="preserve"> is the incident 808 nm laser power, </w:t>
      </w:r>
      <w:r>
        <w:rPr>
          <w:rFonts w:hint="eastAsia"/>
          <w:sz w:val="24"/>
          <w:szCs w:val="24"/>
        </w:rPr>
        <w:t xml:space="preserve">and </w:t>
      </w:r>
      <w:r>
        <w:rPr>
          <w:rFonts w:hint="eastAsia"/>
          <w:i/>
          <w:sz w:val="24"/>
          <w:szCs w:val="24"/>
        </w:rPr>
        <w:t>A</w:t>
      </w:r>
      <w:r>
        <w:rPr>
          <w:rFonts w:hint="eastAsia"/>
          <w:i/>
          <w:sz w:val="24"/>
          <w:szCs w:val="24"/>
          <w:vertAlign w:val="subscript"/>
        </w:rPr>
        <w:t>808 nm</w:t>
      </w:r>
      <w:r>
        <w:rPr>
          <w:sz w:val="24"/>
          <w:szCs w:val="24"/>
        </w:rPr>
        <w:t xml:space="preserve"> is the absorbance of the PDA nanoparticles in 808 nm.</w:t>
      </w:r>
      <w:r>
        <w:rPr>
          <w:rFonts w:hint="eastAsia"/>
          <w:sz w:val="24"/>
          <w:szCs w:val="24"/>
        </w:rPr>
        <w:t xml:space="preserve"> </w:t>
      </w:r>
      <w:r>
        <w:rPr>
          <w:sz w:val="24"/>
          <w:szCs w:val="24"/>
        </w:rPr>
        <w:t xml:space="preserve">Among them, the data of </w:t>
      </w:r>
      <w:r>
        <w:rPr>
          <w:rFonts w:hint="eastAsia"/>
          <w:i/>
          <w:sz w:val="24"/>
          <w:szCs w:val="24"/>
        </w:rPr>
        <w:t>S</w:t>
      </w:r>
      <w:r>
        <w:rPr>
          <w:sz w:val="24"/>
          <w:szCs w:val="24"/>
        </w:rPr>
        <w:t>,</w:t>
      </w:r>
      <w:r>
        <w:rPr>
          <w:rFonts w:hint="eastAsia"/>
          <w:sz w:val="24"/>
          <w:szCs w:val="24"/>
        </w:rPr>
        <w:t xml:space="preserve"> </w:t>
      </w:r>
      <w:r>
        <w:rPr>
          <w:rFonts w:hint="eastAsia"/>
          <w:i/>
          <w:sz w:val="24"/>
          <w:szCs w:val="24"/>
        </w:rPr>
        <w:t>T</w:t>
      </w:r>
      <w:r>
        <w:rPr>
          <w:rFonts w:hint="eastAsia"/>
          <w:i/>
          <w:sz w:val="24"/>
          <w:szCs w:val="24"/>
          <w:vertAlign w:val="subscript"/>
        </w:rPr>
        <w:t>max</w:t>
      </w:r>
      <w:r>
        <w:rPr>
          <w:sz w:val="24"/>
          <w:szCs w:val="24"/>
        </w:rPr>
        <w:t xml:space="preserve">, </w:t>
      </w:r>
      <w:r>
        <w:rPr>
          <w:rFonts w:hint="eastAsia"/>
          <w:i/>
          <w:sz w:val="24"/>
          <w:szCs w:val="24"/>
        </w:rPr>
        <w:t>T</w:t>
      </w:r>
      <w:r>
        <w:rPr>
          <w:rFonts w:hint="eastAsia"/>
          <w:i/>
          <w:sz w:val="24"/>
          <w:szCs w:val="24"/>
          <w:vertAlign w:val="subscript"/>
        </w:rPr>
        <w:t>surr</w:t>
      </w:r>
      <w:r>
        <w:rPr>
          <w:sz w:val="24"/>
          <w:szCs w:val="24"/>
        </w:rPr>
        <w:t xml:space="preserve">, </w:t>
      </w:r>
      <w:r>
        <w:rPr>
          <w:i/>
          <w:iCs/>
          <w:sz w:val="24"/>
          <w:szCs w:val="24"/>
        </w:rPr>
        <w:t>I,</w:t>
      </w:r>
      <w:r>
        <w:rPr>
          <w:sz w:val="24"/>
          <w:szCs w:val="24"/>
        </w:rPr>
        <w:t xml:space="preserve"> and </w:t>
      </w:r>
      <w:r>
        <w:rPr>
          <w:rFonts w:hint="eastAsia"/>
          <w:i/>
          <w:sz w:val="24"/>
          <w:szCs w:val="24"/>
        </w:rPr>
        <w:t>A</w:t>
      </w:r>
      <w:r>
        <w:rPr>
          <w:rFonts w:hint="eastAsia"/>
          <w:i/>
          <w:sz w:val="24"/>
          <w:szCs w:val="24"/>
          <w:vertAlign w:val="subscript"/>
        </w:rPr>
        <w:t>808 nm</w:t>
      </w:r>
      <w:r>
        <w:rPr>
          <w:sz w:val="24"/>
          <w:szCs w:val="24"/>
        </w:rPr>
        <w:t xml:space="preserve"> can be obtained by direct measurement. However, the data of </w:t>
      </w:r>
      <w:r>
        <w:rPr>
          <w:rFonts w:hint="eastAsia"/>
          <w:i/>
          <w:iCs/>
          <w:sz w:val="24"/>
          <w:szCs w:val="24"/>
        </w:rPr>
        <w:t>h</w:t>
      </w:r>
      <w:r>
        <w:rPr>
          <w:i/>
          <w:iCs/>
          <w:sz w:val="24"/>
          <w:szCs w:val="24"/>
        </w:rPr>
        <w:t>S</w:t>
      </w:r>
      <w:r>
        <w:rPr>
          <w:sz w:val="24"/>
          <w:szCs w:val="24"/>
        </w:rPr>
        <w:t xml:space="preserve"> and </w:t>
      </w:r>
      <w:r>
        <w:rPr>
          <w:rFonts w:hint="eastAsia"/>
          <w:i/>
          <w:sz w:val="24"/>
          <w:szCs w:val="24"/>
        </w:rPr>
        <w:t>Q</w:t>
      </w:r>
      <w:r>
        <w:rPr>
          <w:rFonts w:hint="eastAsia"/>
          <w:i/>
          <w:sz w:val="24"/>
          <w:szCs w:val="24"/>
          <w:vertAlign w:val="subscript"/>
        </w:rPr>
        <w:t>dis</w:t>
      </w:r>
      <w:r>
        <w:rPr>
          <w:sz w:val="24"/>
          <w:szCs w:val="24"/>
        </w:rPr>
        <w:t xml:space="preserve"> </w:t>
      </w:r>
      <w:r>
        <w:rPr>
          <w:rFonts w:hint="eastAsia"/>
          <w:sz w:val="24"/>
          <w:szCs w:val="24"/>
        </w:rPr>
        <w:t>were</w:t>
      </w:r>
      <w:r>
        <w:rPr>
          <w:sz w:val="24"/>
          <w:szCs w:val="24"/>
        </w:rPr>
        <w:t xml:space="preserve"> calculated according to the specific implementation of the photothermal performance test experiment. B</w:t>
      </w:r>
      <w:r>
        <w:rPr>
          <w:rFonts w:hint="eastAsia"/>
          <w:sz w:val="24"/>
          <w:szCs w:val="24"/>
        </w:rPr>
        <w:t xml:space="preserve">ased on the </w:t>
      </w:r>
      <w:r>
        <w:rPr>
          <w:sz w:val="24"/>
          <w:szCs w:val="24"/>
        </w:rPr>
        <w:t>experimental</w:t>
      </w:r>
      <w:r>
        <w:rPr>
          <w:rFonts w:hint="eastAsia"/>
          <w:sz w:val="24"/>
          <w:szCs w:val="24"/>
        </w:rPr>
        <w:t xml:space="preserve"> data obtained from the thermal equilibrium conditions, the value of </w:t>
      </w:r>
      <w:r>
        <w:rPr>
          <w:i/>
          <w:iCs/>
          <w:sz w:val="24"/>
          <w:szCs w:val="24"/>
        </w:rPr>
        <w:t>h</w:t>
      </w:r>
      <w:r>
        <w:rPr>
          <w:sz w:val="24"/>
          <w:szCs w:val="24"/>
        </w:rPr>
        <w:t>S</w:t>
      </w:r>
      <w:r>
        <w:rPr>
          <w:rFonts w:hint="eastAsia"/>
          <w:sz w:val="24"/>
          <w:szCs w:val="24"/>
        </w:rPr>
        <w:t xml:space="preserve"> can be calculated. </w:t>
      </w:r>
      <w:r>
        <w:rPr>
          <w:sz w:val="24"/>
          <w:szCs w:val="24"/>
        </w:rPr>
        <w:t>I</w:t>
      </w:r>
      <w:r>
        <w:rPr>
          <w:rFonts w:hint="eastAsia"/>
          <w:sz w:val="24"/>
          <w:szCs w:val="24"/>
        </w:rPr>
        <w:t xml:space="preserve">n addition, the </w:t>
      </w:r>
      <w:r>
        <w:rPr>
          <w:rFonts w:hint="eastAsia"/>
          <w:i/>
          <w:sz w:val="24"/>
          <w:szCs w:val="24"/>
        </w:rPr>
        <w:t>Q</w:t>
      </w:r>
      <w:r>
        <w:rPr>
          <w:rFonts w:hint="eastAsia"/>
          <w:i/>
          <w:sz w:val="24"/>
          <w:szCs w:val="24"/>
          <w:vertAlign w:val="subscript"/>
        </w:rPr>
        <w:t>dis</w:t>
      </w:r>
      <w:r>
        <w:rPr>
          <w:rFonts w:hint="eastAsia"/>
          <w:sz w:val="24"/>
          <w:szCs w:val="24"/>
        </w:rPr>
        <w:t xml:space="preserve"> expresses heat dissipated from the 808 nm light </w:t>
      </w:r>
      <w:r>
        <w:rPr>
          <w:sz w:val="24"/>
          <w:szCs w:val="24"/>
        </w:rPr>
        <w:t>absorbed</w:t>
      </w:r>
      <w:r>
        <w:rPr>
          <w:rFonts w:hint="eastAsia"/>
          <w:sz w:val="24"/>
          <w:szCs w:val="24"/>
        </w:rPr>
        <w:t xml:space="preserve"> by the quartz sample cell</w:t>
      </w:r>
      <w:r>
        <w:rPr>
          <w:sz w:val="24"/>
          <w:szCs w:val="24"/>
        </w:rPr>
        <w:t>. I</w:t>
      </w:r>
      <w:r>
        <w:rPr>
          <w:rFonts w:hint="eastAsia"/>
          <w:sz w:val="24"/>
          <w:szCs w:val="24"/>
        </w:rPr>
        <w:t xml:space="preserve">t was </w:t>
      </w:r>
      <w:r>
        <w:rPr>
          <w:sz w:val="24"/>
          <w:szCs w:val="24"/>
        </w:rPr>
        <w:t>measured</w:t>
      </w:r>
      <w:r>
        <w:rPr>
          <w:rFonts w:hint="eastAsia"/>
          <w:sz w:val="24"/>
          <w:szCs w:val="24"/>
        </w:rPr>
        <w:t xml:space="preserve"> by a quartz cuvette cell containing pure water without the </w:t>
      </w:r>
      <w:r>
        <w:rPr>
          <w:sz w:val="24"/>
          <w:szCs w:val="24"/>
        </w:rPr>
        <w:t>PDA nanoparticles</w:t>
      </w:r>
      <w:r>
        <w:rPr>
          <w:rFonts w:hint="eastAsia"/>
          <w:sz w:val="24"/>
          <w:szCs w:val="24"/>
        </w:rPr>
        <w:t xml:space="preserve">. </w:t>
      </w:r>
      <w:r>
        <w:rPr>
          <w:sz w:val="24"/>
          <w:szCs w:val="24"/>
        </w:rPr>
        <w:t>T</w:t>
      </w:r>
      <w:r>
        <w:rPr>
          <w:rFonts w:hint="eastAsia"/>
          <w:sz w:val="24"/>
          <w:szCs w:val="24"/>
        </w:rPr>
        <w:t xml:space="preserve">he specific heat capacity of the water and quartz </w:t>
      </w:r>
      <w:r>
        <w:rPr>
          <w:sz w:val="24"/>
          <w:szCs w:val="24"/>
        </w:rPr>
        <w:t>curette</w:t>
      </w:r>
      <w:r>
        <w:rPr>
          <w:rFonts w:hint="eastAsia"/>
          <w:sz w:val="24"/>
          <w:szCs w:val="24"/>
        </w:rPr>
        <w:t xml:space="preserve"> were 4.2 and 0.892 J</w:t>
      </w:r>
      <w:r>
        <w:rPr>
          <w:sz w:val="24"/>
          <w:szCs w:val="24"/>
        </w:rPr>
        <w:t xml:space="preserve"> </w:t>
      </w:r>
      <w:r>
        <w:rPr>
          <w:rFonts w:hint="eastAsia"/>
          <w:sz w:val="24"/>
          <w:szCs w:val="24"/>
        </w:rPr>
        <w:t>g</w:t>
      </w:r>
      <w:r>
        <w:rPr>
          <w:sz w:val="24"/>
          <w:szCs w:val="24"/>
          <w:vertAlign w:val="superscript"/>
        </w:rPr>
        <w:t>-1</w:t>
      </w:r>
      <w:r>
        <w:rPr>
          <w:sz w:val="24"/>
          <w:szCs w:val="24"/>
        </w:rPr>
        <w:t xml:space="preserve"> </w:t>
      </w:r>
      <w:r>
        <w:rPr>
          <w:rFonts w:hint="eastAsia"/>
          <w:sz w:val="24"/>
          <w:szCs w:val="24"/>
        </w:rPr>
        <w:t>K</w:t>
      </w:r>
      <w:r>
        <w:rPr>
          <w:sz w:val="24"/>
          <w:szCs w:val="24"/>
          <w:vertAlign w:val="superscript"/>
        </w:rPr>
        <w:t>-1</w:t>
      </w:r>
      <w:r>
        <w:rPr>
          <w:sz w:val="24"/>
          <w:szCs w:val="24"/>
        </w:rPr>
        <w:t>)</w:t>
      </w:r>
      <w:r>
        <w:rPr>
          <w:rFonts w:hint="eastAsia"/>
          <w:sz w:val="24"/>
          <w:szCs w:val="24"/>
        </w:rPr>
        <w:t>, respectively.</w:t>
      </w:r>
    </w:p>
    <w:p w:rsidR="00B9479A" w:rsidRDefault="00622E0F">
      <w:pPr>
        <w:pStyle w:val="ListParagraph"/>
        <w:spacing w:beforeLines="50" w:before="156" w:afterLines="50" w:after="156" w:line="480" w:lineRule="auto"/>
        <w:ind w:firstLineChars="0" w:firstLine="0"/>
        <w:rPr>
          <w:b/>
          <w:bCs/>
          <w:sz w:val="24"/>
          <w:szCs w:val="24"/>
        </w:rPr>
      </w:pPr>
      <w:r>
        <w:rPr>
          <w:b/>
          <w:bCs/>
          <w:sz w:val="24"/>
          <w:szCs w:val="24"/>
        </w:rPr>
        <w:t>S</w:t>
      </w:r>
      <w:r w:rsidR="00533AF7">
        <w:rPr>
          <w:rFonts w:hint="eastAsia"/>
          <w:b/>
          <w:bCs/>
          <w:sz w:val="24"/>
          <w:szCs w:val="24"/>
        </w:rPr>
        <w:t>2.</w:t>
      </w:r>
      <w:r w:rsidR="00533AF7">
        <w:rPr>
          <w:b/>
          <w:bCs/>
          <w:sz w:val="24"/>
          <w:szCs w:val="24"/>
        </w:rPr>
        <w:t>2.</w:t>
      </w:r>
      <w:r w:rsidR="00533AF7">
        <w:rPr>
          <w:rFonts w:hint="eastAsia"/>
          <w:b/>
          <w:bCs/>
          <w:sz w:val="24"/>
          <w:szCs w:val="24"/>
        </w:rPr>
        <w:t xml:space="preserve"> Ab</w:t>
      </w:r>
      <w:r w:rsidR="00533AF7">
        <w:rPr>
          <w:b/>
          <w:bCs/>
          <w:sz w:val="24"/>
          <w:szCs w:val="24"/>
        </w:rPr>
        <w:t xml:space="preserve">sorption cross-section  </w:t>
      </w:r>
    </w:p>
    <w:p w:rsidR="00B9479A" w:rsidRDefault="00533AF7">
      <w:pPr>
        <w:spacing w:line="480" w:lineRule="auto"/>
        <w:rPr>
          <w:b/>
          <w:bCs/>
          <w:sz w:val="24"/>
          <w:szCs w:val="24"/>
        </w:rPr>
      </w:pPr>
      <w:r>
        <w:rPr>
          <w:sz w:val="24"/>
          <w:szCs w:val="24"/>
        </w:rPr>
        <w:t xml:space="preserve">For the dilute dispersion of small nanoparticles, the extinction cross-section is determined by absorption. The absorption cross-section of the PDA nanoparticles can be calculated by the Beer-Lambert law as Equation </w:t>
      </w:r>
      <w:r w:rsidR="00622E0F">
        <w:rPr>
          <w:sz w:val="24"/>
          <w:szCs w:val="24"/>
        </w:rPr>
        <w:t>S</w:t>
      </w:r>
      <w:r>
        <w:rPr>
          <w:sz w:val="24"/>
          <w:szCs w:val="24"/>
        </w:rPr>
        <w:t>2.</w:t>
      </w:r>
    </w:p>
    <w:p w:rsidR="00B9479A" w:rsidRDefault="00533AF7">
      <w:pPr>
        <w:spacing w:line="480" w:lineRule="auto"/>
        <w:jc w:val="center"/>
      </w:pPr>
      <w:r>
        <w:rPr>
          <w:position w:val="-30"/>
        </w:rPr>
        <w:object w:dxaOrig="2676" w:dyaOrig="720">
          <v:shape id="_x0000_i1029" type="#_x0000_t75" style="width:134.2pt;height:36.45pt" o:ole="">
            <v:imagedata r:id="rId16" o:title=""/>
          </v:shape>
          <o:OLEObject Type="Embed" ProgID="Equation.DSMT4" ShapeID="_x0000_i1029" DrawAspect="Content" ObjectID="_1754210751" r:id="rId17"/>
        </w:object>
      </w:r>
      <w:r>
        <w:t xml:space="preserve">        (</w:t>
      </w:r>
      <w:r w:rsidR="00622E0F">
        <w:t>S</w:t>
      </w:r>
      <w:r>
        <w:t>2)</w:t>
      </w:r>
    </w:p>
    <w:p w:rsidR="00B9479A" w:rsidRDefault="00533AF7">
      <w:pPr>
        <w:spacing w:line="480" w:lineRule="auto"/>
        <w:rPr>
          <w:sz w:val="24"/>
          <w:szCs w:val="24"/>
        </w:rPr>
      </w:pPr>
      <w:r>
        <w:t xml:space="preserve">Where </w:t>
      </w:r>
      <w:r>
        <w:rPr>
          <w:sz w:val="24"/>
          <w:szCs w:val="24"/>
        </w:rPr>
        <w:t xml:space="preserve">ρ </w:t>
      </w:r>
      <w:r>
        <w:rPr>
          <w:rFonts w:hint="eastAsia"/>
          <w:sz w:val="24"/>
          <w:szCs w:val="24"/>
        </w:rPr>
        <w:t>is</w:t>
      </w:r>
      <w:r>
        <w:rPr>
          <w:sz w:val="24"/>
          <w:szCs w:val="24"/>
        </w:rPr>
        <w:t xml:space="preserve"> the mass density of PDA (1.247 g mL</w:t>
      </w:r>
      <w:r>
        <w:rPr>
          <w:sz w:val="24"/>
          <w:szCs w:val="24"/>
          <w:vertAlign w:val="superscript"/>
        </w:rPr>
        <w:t>-1</w:t>
      </w:r>
      <w:r>
        <w:rPr>
          <w:sz w:val="24"/>
          <w:szCs w:val="24"/>
        </w:rPr>
        <w:t xml:space="preserve">), </w:t>
      </w:r>
      <w:r>
        <w:rPr>
          <w:i/>
          <w:iCs/>
          <w:sz w:val="24"/>
          <w:szCs w:val="24"/>
        </w:rPr>
        <w:t>r</w:t>
      </w:r>
      <w:r>
        <w:rPr>
          <w:sz w:val="24"/>
          <w:szCs w:val="24"/>
        </w:rPr>
        <w:t xml:space="preserve"> is the radius of PDA nanoparticles, </w:t>
      </w:r>
      <w:r>
        <w:rPr>
          <w:rFonts w:hint="eastAsia"/>
          <w:i/>
          <w:sz w:val="24"/>
          <w:szCs w:val="24"/>
        </w:rPr>
        <w:t>A</w:t>
      </w:r>
      <w:r>
        <w:rPr>
          <w:rFonts w:hint="eastAsia"/>
          <w:i/>
          <w:sz w:val="24"/>
          <w:szCs w:val="24"/>
          <w:vertAlign w:val="subscript"/>
        </w:rPr>
        <w:t>808 nm</w:t>
      </w:r>
      <w:r>
        <w:rPr>
          <w:sz w:val="24"/>
          <w:szCs w:val="24"/>
        </w:rPr>
        <w:t xml:space="preserve"> is the absorbance of the PDA nanoparticles in 808 nm,</w:t>
      </w:r>
      <w:r>
        <w:rPr>
          <w:i/>
          <w:iCs/>
          <w:sz w:val="24"/>
          <w:szCs w:val="24"/>
        </w:rPr>
        <w:t xml:space="preserve"> L</w:t>
      </w:r>
      <w:r>
        <w:rPr>
          <w:sz w:val="24"/>
          <w:szCs w:val="24"/>
        </w:rPr>
        <w:t xml:space="preserve"> is the light path length (1 cm), and </w:t>
      </w:r>
      <w:r>
        <w:rPr>
          <w:rFonts w:hint="eastAsia"/>
          <w:i/>
          <w:sz w:val="24"/>
          <w:szCs w:val="24"/>
        </w:rPr>
        <w:t>C</w:t>
      </w:r>
      <w:r>
        <w:rPr>
          <w:i/>
          <w:sz w:val="24"/>
          <w:szCs w:val="24"/>
          <w:vertAlign w:val="subscript"/>
        </w:rPr>
        <w:t>wt</w:t>
      </w:r>
      <w:r>
        <w:rPr>
          <w:sz w:val="24"/>
          <w:szCs w:val="24"/>
        </w:rPr>
        <w:t xml:space="preserve"> is the mass concentration of PDA (50 μg/mL).</w:t>
      </w:r>
    </w:p>
    <w:p w:rsidR="00B9479A" w:rsidRDefault="00622E0F">
      <w:pPr>
        <w:pStyle w:val="ListParagraph"/>
        <w:spacing w:beforeLines="50" w:before="156" w:afterLines="50" w:after="156" w:line="480" w:lineRule="auto"/>
        <w:ind w:firstLineChars="0" w:firstLine="0"/>
        <w:rPr>
          <w:sz w:val="24"/>
          <w:szCs w:val="24"/>
        </w:rPr>
      </w:pPr>
      <w:r>
        <w:rPr>
          <w:b/>
          <w:bCs/>
          <w:sz w:val="24"/>
          <w:szCs w:val="24"/>
        </w:rPr>
        <w:t>S</w:t>
      </w:r>
      <w:r w:rsidR="00533AF7">
        <w:rPr>
          <w:rFonts w:hint="eastAsia"/>
          <w:b/>
          <w:bCs/>
          <w:sz w:val="24"/>
          <w:szCs w:val="24"/>
        </w:rPr>
        <w:t>2.</w:t>
      </w:r>
      <w:r w:rsidR="00533AF7">
        <w:rPr>
          <w:b/>
          <w:bCs/>
          <w:sz w:val="24"/>
          <w:szCs w:val="24"/>
        </w:rPr>
        <w:t>3.</w:t>
      </w:r>
      <w:r w:rsidR="00533AF7">
        <w:rPr>
          <w:rFonts w:hint="eastAsia"/>
          <w:b/>
          <w:bCs/>
          <w:sz w:val="24"/>
          <w:szCs w:val="24"/>
        </w:rPr>
        <w:t xml:space="preserve"> A</w:t>
      </w:r>
      <w:r w:rsidR="00533AF7">
        <w:rPr>
          <w:b/>
          <w:bCs/>
          <w:sz w:val="24"/>
          <w:szCs w:val="24"/>
        </w:rPr>
        <w:t xml:space="preserve">bsorption efficiency </w:t>
      </w:r>
      <w:r w:rsidR="00533AF7">
        <w:rPr>
          <w:rFonts w:hint="eastAsia"/>
          <w:b/>
          <w:bCs/>
          <w:sz w:val="24"/>
          <w:szCs w:val="24"/>
        </w:rPr>
        <w:t>factor</w:t>
      </w:r>
      <w:r w:rsidR="00533AF7">
        <w:rPr>
          <w:b/>
          <w:bCs/>
          <w:sz w:val="24"/>
          <w:szCs w:val="24"/>
        </w:rPr>
        <w:t xml:space="preserve"> </w:t>
      </w:r>
    </w:p>
    <w:p w:rsidR="00B9479A" w:rsidRDefault="00533AF7">
      <w:pPr>
        <w:spacing w:line="480" w:lineRule="auto"/>
        <w:rPr>
          <w:sz w:val="24"/>
          <w:szCs w:val="24"/>
        </w:rPr>
      </w:pPr>
      <w:r>
        <w:rPr>
          <w:sz w:val="24"/>
          <w:szCs w:val="24"/>
        </w:rPr>
        <w:t xml:space="preserve">The absorption efficiency </w:t>
      </w:r>
      <w:r>
        <w:rPr>
          <w:rFonts w:hint="eastAsia"/>
          <w:sz w:val="24"/>
          <w:szCs w:val="24"/>
        </w:rPr>
        <w:t xml:space="preserve">factor </w:t>
      </w:r>
      <w:r>
        <w:rPr>
          <w:sz w:val="24"/>
          <w:szCs w:val="24"/>
        </w:rPr>
        <w:t>(Q</w:t>
      </w:r>
      <w:r>
        <w:rPr>
          <w:sz w:val="24"/>
          <w:szCs w:val="24"/>
          <w:vertAlign w:val="subscript"/>
        </w:rPr>
        <w:t>808 nm</w:t>
      </w:r>
      <w:r>
        <w:rPr>
          <w:sz w:val="24"/>
          <w:szCs w:val="24"/>
        </w:rPr>
        <w:t xml:space="preserve">) was calculated by normalizing the optical absorption cross-sections </w:t>
      </w:r>
      <w:r>
        <w:rPr>
          <w:position w:val="-12"/>
          <w:sz w:val="24"/>
          <w:szCs w:val="24"/>
        </w:rPr>
        <w:object w:dxaOrig="623" w:dyaOrig="312">
          <v:shape id="_x0000_i1030" type="#_x0000_t75" style="width:31.3pt;height:15.9pt" o:ole="">
            <v:imagedata r:id="rId18" o:title=""/>
          </v:shape>
          <o:OLEObject Type="Embed" ProgID="Equation.DSMT4" ShapeID="_x0000_i1030" DrawAspect="Content" ObjectID="_1754210752" r:id="rId19"/>
        </w:object>
      </w:r>
      <w:r>
        <w:rPr>
          <w:sz w:val="24"/>
          <w:szCs w:val="24"/>
        </w:rPr>
        <w:t xml:space="preserve"> against the physical cross-section of the nanoparticle using Equation </w:t>
      </w:r>
      <w:r w:rsidR="00622E0F">
        <w:rPr>
          <w:sz w:val="24"/>
          <w:szCs w:val="24"/>
        </w:rPr>
        <w:t>S</w:t>
      </w:r>
      <w:r>
        <w:rPr>
          <w:sz w:val="24"/>
          <w:szCs w:val="24"/>
        </w:rPr>
        <w:t>3.</w:t>
      </w:r>
    </w:p>
    <w:p w:rsidR="00B9479A" w:rsidRDefault="00533AF7">
      <w:pPr>
        <w:spacing w:line="480" w:lineRule="auto"/>
        <w:jc w:val="center"/>
        <w:rPr>
          <w:sz w:val="24"/>
          <w:szCs w:val="24"/>
        </w:rPr>
      </w:pPr>
      <w:r>
        <w:rPr>
          <w:position w:val="-30"/>
          <w:sz w:val="24"/>
          <w:szCs w:val="24"/>
        </w:rPr>
        <w:object w:dxaOrig="3396" w:dyaOrig="720">
          <v:shape id="_x0000_i1031" type="#_x0000_t75" style="width:169.7pt;height:36.45pt" o:ole="">
            <v:imagedata r:id="rId20" o:title=""/>
          </v:shape>
          <o:OLEObject Type="Embed" ProgID="Equation.DSMT4" ShapeID="_x0000_i1031" DrawAspect="Content" ObjectID="_1754210753" r:id="rId21"/>
        </w:object>
      </w:r>
      <w:r>
        <w:rPr>
          <w:sz w:val="24"/>
          <w:szCs w:val="24"/>
        </w:rPr>
        <w:t xml:space="preserve">        (</w:t>
      </w:r>
      <w:r w:rsidR="00622E0F">
        <w:rPr>
          <w:sz w:val="24"/>
          <w:szCs w:val="24"/>
        </w:rPr>
        <w:t>S</w:t>
      </w:r>
      <w:r>
        <w:rPr>
          <w:sz w:val="24"/>
          <w:szCs w:val="24"/>
        </w:rPr>
        <w:t>3)</w:t>
      </w:r>
    </w:p>
    <w:p w:rsidR="00B9479A" w:rsidRDefault="00622E0F">
      <w:pPr>
        <w:pStyle w:val="ListParagraph"/>
        <w:spacing w:beforeLines="50" w:before="156" w:afterLines="50" w:after="156" w:line="480" w:lineRule="auto"/>
        <w:ind w:firstLineChars="0" w:firstLine="0"/>
        <w:rPr>
          <w:sz w:val="24"/>
          <w:szCs w:val="24"/>
        </w:rPr>
      </w:pPr>
      <w:r>
        <w:rPr>
          <w:b/>
          <w:bCs/>
          <w:sz w:val="24"/>
          <w:szCs w:val="24"/>
        </w:rPr>
        <w:t>S</w:t>
      </w:r>
      <w:r w:rsidR="00533AF7">
        <w:rPr>
          <w:rFonts w:hint="eastAsia"/>
          <w:b/>
          <w:bCs/>
          <w:sz w:val="24"/>
          <w:szCs w:val="24"/>
        </w:rPr>
        <w:t>2.</w:t>
      </w:r>
      <w:r w:rsidR="00533AF7">
        <w:rPr>
          <w:b/>
          <w:bCs/>
          <w:sz w:val="24"/>
          <w:szCs w:val="24"/>
        </w:rPr>
        <w:t>4.</w:t>
      </w:r>
      <w:r w:rsidR="00533AF7">
        <w:rPr>
          <w:rFonts w:hint="eastAsia"/>
          <w:b/>
          <w:bCs/>
          <w:sz w:val="24"/>
          <w:szCs w:val="24"/>
        </w:rPr>
        <w:t xml:space="preserve"> </w:t>
      </w:r>
      <w:r w:rsidR="00533AF7">
        <w:rPr>
          <w:b/>
          <w:bCs/>
          <w:sz w:val="24"/>
          <w:szCs w:val="24"/>
        </w:rPr>
        <w:t>Molar absorption coefficient</w:t>
      </w:r>
      <w:r w:rsidR="00533AF7">
        <w:rPr>
          <w:sz w:val="24"/>
          <w:szCs w:val="24"/>
        </w:rPr>
        <w:t xml:space="preserve">  </w:t>
      </w:r>
    </w:p>
    <w:p w:rsidR="00B9479A" w:rsidRDefault="00533AF7">
      <w:pPr>
        <w:spacing w:line="480" w:lineRule="auto"/>
        <w:rPr>
          <w:sz w:val="24"/>
          <w:szCs w:val="24"/>
        </w:rPr>
      </w:pPr>
      <w:r>
        <w:rPr>
          <w:sz w:val="24"/>
          <w:szCs w:val="24"/>
        </w:rPr>
        <w:t>According to the Lambert-Beer law, the formula for the molar absorption coefficient in the 808 nm (</w:t>
      </w:r>
      <w:r>
        <w:rPr>
          <w:i/>
          <w:sz w:val="24"/>
          <w:szCs w:val="24"/>
        </w:rPr>
        <w:t>ε</w:t>
      </w:r>
      <w:r>
        <w:rPr>
          <w:i/>
          <w:sz w:val="24"/>
          <w:szCs w:val="24"/>
          <w:vertAlign w:val="subscript"/>
        </w:rPr>
        <w:t>808 nm</w:t>
      </w:r>
      <w:r>
        <w:rPr>
          <w:sz w:val="24"/>
          <w:szCs w:val="24"/>
        </w:rPr>
        <w:t xml:space="preserve">) of the PDA nanoparticles is shown in Equation </w:t>
      </w:r>
      <w:r w:rsidR="00622E0F">
        <w:rPr>
          <w:sz w:val="24"/>
          <w:szCs w:val="24"/>
        </w:rPr>
        <w:t>S</w:t>
      </w:r>
      <w:r>
        <w:rPr>
          <w:sz w:val="24"/>
          <w:szCs w:val="24"/>
        </w:rPr>
        <w:t>4.</w:t>
      </w:r>
    </w:p>
    <w:p w:rsidR="00B9479A" w:rsidRDefault="00533AF7">
      <w:pPr>
        <w:spacing w:beforeLines="50" w:before="156" w:afterLines="50" w:after="156" w:line="480" w:lineRule="auto"/>
        <w:jc w:val="center"/>
        <w:rPr>
          <w:sz w:val="24"/>
          <w:szCs w:val="24"/>
        </w:rPr>
      </w:pPr>
      <w:r>
        <w:rPr>
          <w:position w:val="-30"/>
        </w:rPr>
        <w:object w:dxaOrig="2461" w:dyaOrig="720">
          <v:shape id="_x0000_i1032" type="#_x0000_t75" style="width:123.45pt;height:36.45pt" o:ole="">
            <v:imagedata r:id="rId22" o:title=""/>
          </v:shape>
          <o:OLEObject Type="Embed" ProgID="Equation.DSMT4" ShapeID="_x0000_i1032" DrawAspect="Content" ObjectID="_1754210754" r:id="rId23"/>
        </w:object>
      </w:r>
      <w:r>
        <w:t xml:space="preserve">       </w:t>
      </w:r>
      <w:r>
        <w:rPr>
          <w:sz w:val="24"/>
          <w:szCs w:val="24"/>
        </w:rPr>
        <w:t xml:space="preserve"> (</w:t>
      </w:r>
      <w:r w:rsidR="00622E0F">
        <w:rPr>
          <w:sz w:val="24"/>
          <w:szCs w:val="24"/>
        </w:rPr>
        <w:t>S</w:t>
      </w:r>
      <w:r>
        <w:rPr>
          <w:sz w:val="24"/>
          <w:szCs w:val="24"/>
        </w:rPr>
        <w:t>4)</w:t>
      </w:r>
    </w:p>
    <w:p w:rsidR="00B9479A" w:rsidRDefault="00533AF7">
      <w:pPr>
        <w:spacing w:line="480" w:lineRule="auto"/>
        <w:rPr>
          <w:sz w:val="24"/>
          <w:szCs w:val="24"/>
        </w:rPr>
      </w:pPr>
      <w:r>
        <w:rPr>
          <w:sz w:val="24"/>
          <w:szCs w:val="24"/>
        </w:rPr>
        <w:t xml:space="preserve">Where </w:t>
      </w:r>
      <w:r>
        <w:rPr>
          <w:rFonts w:hint="eastAsia"/>
          <w:i/>
          <w:sz w:val="24"/>
          <w:szCs w:val="24"/>
        </w:rPr>
        <w:t>A</w:t>
      </w:r>
      <w:r>
        <w:rPr>
          <w:rFonts w:hint="eastAsia"/>
          <w:i/>
          <w:sz w:val="24"/>
          <w:szCs w:val="24"/>
          <w:vertAlign w:val="subscript"/>
        </w:rPr>
        <w:t>808 nm</w:t>
      </w:r>
      <w:r>
        <w:rPr>
          <w:sz w:val="24"/>
          <w:szCs w:val="24"/>
        </w:rPr>
        <w:t xml:space="preserve"> is the absorbance at the wavelength of 808 nm, ρ </w:t>
      </w:r>
      <w:r>
        <w:rPr>
          <w:rFonts w:hint="eastAsia"/>
          <w:sz w:val="24"/>
          <w:szCs w:val="24"/>
        </w:rPr>
        <w:t>is</w:t>
      </w:r>
      <w:r>
        <w:rPr>
          <w:sz w:val="24"/>
          <w:szCs w:val="24"/>
        </w:rPr>
        <w:t xml:space="preserve"> the mass density of PDA (1.247 g mL</w:t>
      </w:r>
      <w:r>
        <w:rPr>
          <w:sz w:val="24"/>
          <w:szCs w:val="24"/>
          <w:vertAlign w:val="superscript"/>
        </w:rPr>
        <w:t>-1</w:t>
      </w:r>
      <w:r>
        <w:rPr>
          <w:sz w:val="24"/>
          <w:szCs w:val="24"/>
        </w:rPr>
        <w:t xml:space="preserve">), </w:t>
      </w:r>
      <w:r>
        <w:rPr>
          <w:rFonts w:hint="eastAsia"/>
          <w:i/>
          <w:sz w:val="24"/>
          <w:szCs w:val="24"/>
        </w:rPr>
        <w:t>N</w:t>
      </w:r>
      <w:r>
        <w:rPr>
          <w:rFonts w:hint="eastAsia"/>
          <w:i/>
          <w:sz w:val="24"/>
          <w:szCs w:val="24"/>
          <w:vertAlign w:val="subscript"/>
        </w:rPr>
        <w:t>A</w:t>
      </w:r>
      <w:r>
        <w:rPr>
          <w:sz w:val="24"/>
          <w:szCs w:val="24"/>
        </w:rPr>
        <w:t xml:space="preserve"> is the Avogadro’s constant (6.02</w:t>
      </w:r>
      <w:r>
        <w:rPr>
          <w:color w:val="333333"/>
          <w:sz w:val="24"/>
          <w:szCs w:val="24"/>
          <w:shd w:val="clear" w:color="auto" w:fill="FFFFFF"/>
        </w:rPr>
        <w:t>×</w:t>
      </w:r>
      <w:r>
        <w:rPr>
          <w:sz w:val="24"/>
          <w:szCs w:val="24"/>
        </w:rPr>
        <w:t>10</w:t>
      </w:r>
      <w:r>
        <w:rPr>
          <w:sz w:val="24"/>
          <w:szCs w:val="24"/>
          <w:vertAlign w:val="superscript"/>
        </w:rPr>
        <w:t>23</w:t>
      </w:r>
      <w:r>
        <w:rPr>
          <w:sz w:val="24"/>
          <w:szCs w:val="24"/>
        </w:rPr>
        <w:t xml:space="preserve"> mol</w:t>
      </w:r>
      <w:r>
        <w:rPr>
          <w:sz w:val="24"/>
          <w:szCs w:val="24"/>
          <w:vertAlign w:val="superscript"/>
        </w:rPr>
        <w:t>-1</w:t>
      </w:r>
      <w:r>
        <w:rPr>
          <w:sz w:val="24"/>
          <w:szCs w:val="24"/>
        </w:rPr>
        <w:t xml:space="preserve">), </w:t>
      </w:r>
      <w:r>
        <w:rPr>
          <w:i/>
          <w:iCs/>
          <w:sz w:val="24"/>
          <w:szCs w:val="24"/>
        </w:rPr>
        <w:t>r</w:t>
      </w:r>
      <w:r>
        <w:rPr>
          <w:sz w:val="24"/>
          <w:szCs w:val="24"/>
        </w:rPr>
        <w:t xml:space="preserve"> is the radius of PDA nanoparticles, </w:t>
      </w:r>
      <w:r>
        <w:rPr>
          <w:i/>
          <w:iCs/>
          <w:sz w:val="24"/>
          <w:szCs w:val="24"/>
        </w:rPr>
        <w:t>L</w:t>
      </w:r>
      <w:r>
        <w:rPr>
          <w:sz w:val="24"/>
          <w:szCs w:val="24"/>
        </w:rPr>
        <w:t xml:space="preserve"> is the light path length (1 cm), and </w:t>
      </w:r>
      <w:r>
        <w:rPr>
          <w:rFonts w:hint="eastAsia"/>
          <w:i/>
          <w:sz w:val="24"/>
          <w:szCs w:val="24"/>
        </w:rPr>
        <w:t>C</w:t>
      </w:r>
      <w:r>
        <w:rPr>
          <w:i/>
          <w:sz w:val="24"/>
          <w:szCs w:val="24"/>
          <w:vertAlign w:val="subscript"/>
        </w:rPr>
        <w:t>wt</w:t>
      </w:r>
      <w:r>
        <w:rPr>
          <w:sz w:val="24"/>
          <w:szCs w:val="24"/>
        </w:rPr>
        <w:t xml:space="preserve"> is the mass concentration of PDA (50 μg/mL). </w:t>
      </w:r>
    </w:p>
    <w:p w:rsidR="00B9479A" w:rsidRDefault="00B9479A">
      <w:pPr>
        <w:spacing w:line="480" w:lineRule="auto"/>
        <w:rPr>
          <w:b/>
          <w:bCs/>
          <w:sz w:val="24"/>
          <w:szCs w:val="24"/>
        </w:rPr>
      </w:pPr>
    </w:p>
    <w:p w:rsidR="00B9479A" w:rsidRDefault="00533AF7">
      <w:pPr>
        <w:spacing w:line="480" w:lineRule="auto"/>
        <w:rPr>
          <w:b/>
          <w:bCs/>
          <w:sz w:val="24"/>
          <w:szCs w:val="24"/>
        </w:rPr>
      </w:pPr>
      <w:r>
        <w:rPr>
          <w:rFonts w:hint="eastAsia"/>
          <w:b/>
          <w:bCs/>
          <w:sz w:val="24"/>
          <w:szCs w:val="24"/>
        </w:rPr>
        <w:t>R</w:t>
      </w:r>
      <w:r>
        <w:rPr>
          <w:b/>
          <w:bCs/>
          <w:sz w:val="24"/>
          <w:szCs w:val="24"/>
        </w:rPr>
        <w:t>eferences</w:t>
      </w:r>
    </w:p>
    <w:p w:rsidR="00B9479A" w:rsidRDefault="00533AF7">
      <w:pPr>
        <w:spacing w:line="360" w:lineRule="auto"/>
        <w:ind w:left="420" w:hangingChars="200" w:hanging="420"/>
        <w:rPr>
          <w:color w:val="000000"/>
          <w:szCs w:val="21"/>
          <w:shd w:val="clear" w:color="auto" w:fill="FFFFFF"/>
        </w:rPr>
      </w:pPr>
      <w:r>
        <w:rPr>
          <w:color w:val="000000"/>
          <w:shd w:val="clear" w:color="auto" w:fill="FFFFFF"/>
        </w:rPr>
        <w:t xml:space="preserve">1. Hong S, NaYS, Choi S, Song IT, Kim WY, Lee H. Non-covalent self-assembly and covalent polymerization co-contribute to polydopamine formation. </w:t>
      </w:r>
      <w:r>
        <w:rPr>
          <w:i/>
          <w:iCs/>
          <w:color w:val="000000"/>
          <w:shd w:val="clear" w:color="auto" w:fill="FFFFFF"/>
        </w:rPr>
        <w:t>Adv Funct Mater.</w:t>
      </w:r>
      <w:r>
        <w:rPr>
          <w:color w:val="000000"/>
          <w:shd w:val="clear" w:color="auto" w:fill="FFFFFF"/>
        </w:rPr>
        <w:t xml:space="preserve"> </w:t>
      </w:r>
      <w:r>
        <w:rPr>
          <w:b/>
          <w:bCs/>
          <w:color w:val="000000"/>
          <w:shd w:val="clear" w:color="auto" w:fill="FFFFFF"/>
        </w:rPr>
        <w:t>2012</w:t>
      </w:r>
      <w:r>
        <w:rPr>
          <w:color w:val="000000"/>
          <w:shd w:val="clear" w:color="auto" w:fill="FFFFFF"/>
        </w:rPr>
        <w:t>;22(22):4711-4717.</w:t>
      </w:r>
    </w:p>
    <w:p w:rsidR="00B9479A" w:rsidRDefault="00533AF7">
      <w:pPr>
        <w:spacing w:line="360" w:lineRule="auto"/>
        <w:ind w:left="420" w:hangingChars="200" w:hanging="420"/>
      </w:pPr>
      <w:r>
        <w:t xml:space="preserve">2. </w:t>
      </w:r>
      <w:r>
        <w:rPr>
          <w:color w:val="212121"/>
          <w:shd w:val="clear" w:color="auto" w:fill="FFFFFF"/>
        </w:rPr>
        <w:t xml:space="preserve">Liu Y, Ai K, Liu J, Deng M, He Y, Lu L. Dopamine-melanin colloidal nanospheres: an efficient near-infrared photothermal therapeutic agent for in vivo cancer therapy. </w:t>
      </w:r>
      <w:r>
        <w:rPr>
          <w:i/>
          <w:iCs/>
          <w:color w:val="212121"/>
          <w:shd w:val="clear" w:color="auto" w:fill="FFFFFF"/>
        </w:rPr>
        <w:t>Adv Mater</w:t>
      </w:r>
      <w:r>
        <w:rPr>
          <w:color w:val="212121"/>
          <w:shd w:val="clear" w:color="auto" w:fill="FFFFFF"/>
        </w:rPr>
        <w:t xml:space="preserve">. </w:t>
      </w:r>
      <w:r>
        <w:rPr>
          <w:b/>
          <w:bCs/>
          <w:color w:val="212121"/>
          <w:shd w:val="clear" w:color="auto" w:fill="FFFFFF"/>
        </w:rPr>
        <w:t>2013</w:t>
      </w:r>
      <w:r>
        <w:rPr>
          <w:color w:val="212121"/>
          <w:shd w:val="clear" w:color="auto" w:fill="FFFFFF"/>
        </w:rPr>
        <w:t>;25(9):1353-9.</w:t>
      </w:r>
    </w:p>
    <w:p w:rsidR="00B9479A" w:rsidRDefault="00533AF7">
      <w:pPr>
        <w:spacing w:line="360" w:lineRule="auto"/>
        <w:ind w:left="420" w:hangingChars="200" w:hanging="420"/>
        <w:rPr>
          <w:color w:val="212121"/>
          <w:shd w:val="clear" w:color="auto" w:fill="FFFFFF"/>
        </w:rPr>
      </w:pPr>
      <w:r>
        <w:t xml:space="preserve">3 </w:t>
      </w:r>
      <w:r>
        <w:rPr>
          <w:color w:val="212121"/>
          <w:shd w:val="clear" w:color="auto" w:fill="FFFFFF"/>
        </w:rPr>
        <w:t>Chen X, Tai L, Gao J, Qian J, Zhang M, Li B, Xie C, Lu L, Lu W, Lu W. A stapled peptide antagonist of MDM2 carried</w:t>
      </w:r>
      <w:r>
        <w:rPr>
          <w:rFonts w:hint="eastAsia"/>
          <w:color w:val="212121"/>
          <w:shd w:val="clear" w:color="auto" w:fill="FFFFFF"/>
        </w:rPr>
        <w:t xml:space="preserve"> </w:t>
      </w:r>
      <w:r>
        <w:rPr>
          <w:color w:val="212121"/>
          <w:shd w:val="clear" w:color="auto" w:fill="FFFFFF"/>
        </w:rPr>
        <w:t xml:space="preserve">by polymeric micelles sensitizes glioblastoma to temozolomide treatment through p53 activation. </w:t>
      </w:r>
      <w:r>
        <w:rPr>
          <w:i/>
          <w:iCs/>
          <w:color w:val="212121"/>
          <w:shd w:val="clear" w:color="auto" w:fill="FFFFFF"/>
        </w:rPr>
        <w:t>J Control Release</w:t>
      </w:r>
      <w:r>
        <w:rPr>
          <w:color w:val="212121"/>
          <w:shd w:val="clear" w:color="auto" w:fill="FFFFFF"/>
        </w:rPr>
        <w:t xml:space="preserve">. </w:t>
      </w:r>
      <w:r>
        <w:rPr>
          <w:b/>
          <w:bCs/>
          <w:color w:val="212121"/>
          <w:shd w:val="clear" w:color="auto" w:fill="FFFFFF"/>
        </w:rPr>
        <w:t>2015</w:t>
      </w:r>
      <w:r>
        <w:rPr>
          <w:color w:val="212121"/>
          <w:shd w:val="clear" w:color="auto" w:fill="FFFFFF"/>
        </w:rPr>
        <w:t>;218:29-35. </w:t>
      </w:r>
      <w:r>
        <w:br w:type="page"/>
      </w:r>
    </w:p>
    <w:p w:rsidR="00B9479A" w:rsidRDefault="00622E0F">
      <w:pPr>
        <w:spacing w:beforeLines="50" w:before="156" w:afterLines="100" w:after="312" w:line="480" w:lineRule="auto"/>
        <w:rPr>
          <w:b/>
          <w:bCs/>
          <w:sz w:val="28"/>
          <w:szCs w:val="28"/>
        </w:rPr>
      </w:pPr>
      <w:r>
        <w:rPr>
          <w:b/>
          <w:bCs/>
          <w:sz w:val="28"/>
          <w:szCs w:val="28"/>
        </w:rPr>
        <w:t>S</w:t>
      </w:r>
      <w:r w:rsidR="00533AF7">
        <w:rPr>
          <w:rFonts w:hint="eastAsia"/>
          <w:b/>
          <w:bCs/>
          <w:sz w:val="28"/>
          <w:szCs w:val="28"/>
        </w:rPr>
        <w:t>3</w:t>
      </w:r>
      <w:r w:rsidR="00533AF7">
        <w:rPr>
          <w:b/>
          <w:bCs/>
          <w:sz w:val="28"/>
          <w:szCs w:val="28"/>
        </w:rPr>
        <w:t>.</w:t>
      </w:r>
      <w:r w:rsidR="00533AF7">
        <w:rPr>
          <w:rFonts w:hint="eastAsia"/>
          <w:b/>
          <w:bCs/>
          <w:sz w:val="28"/>
          <w:szCs w:val="28"/>
        </w:rPr>
        <w:t xml:space="preserve"> </w:t>
      </w:r>
      <w:r>
        <w:rPr>
          <w:b/>
          <w:bCs/>
          <w:sz w:val="28"/>
          <w:szCs w:val="28"/>
        </w:rPr>
        <w:t>Additional</w:t>
      </w:r>
      <w:r w:rsidR="00533AF7">
        <w:rPr>
          <w:rFonts w:hint="eastAsia"/>
          <w:b/>
          <w:bCs/>
          <w:sz w:val="28"/>
          <w:szCs w:val="28"/>
        </w:rPr>
        <w:t xml:space="preserve"> Figures and Calculation Results</w:t>
      </w:r>
    </w:p>
    <w:p w:rsidR="00B9479A" w:rsidRDefault="00533AF7">
      <w:pPr>
        <w:spacing w:beforeLines="50" w:before="156" w:line="480" w:lineRule="auto"/>
        <w:jc w:val="center"/>
        <w:rPr>
          <w:b/>
          <w:bCs/>
          <w:sz w:val="24"/>
          <w:szCs w:val="24"/>
        </w:rPr>
      </w:pPr>
      <w:r>
        <w:rPr>
          <w:noProof/>
          <w:lang w:eastAsia="en-US"/>
        </w:rPr>
        <w:drawing>
          <wp:inline distT="0" distB="0" distL="0" distR="0">
            <wp:extent cx="6480810" cy="21793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6480810" cy="2179320"/>
                    </a:xfrm>
                    <a:prstGeom prst="rect">
                      <a:avLst/>
                    </a:prstGeom>
                    <a:noFill/>
                    <a:ln>
                      <a:noFill/>
                    </a:ln>
                  </pic:spPr>
                </pic:pic>
              </a:graphicData>
            </a:graphic>
          </wp:inline>
        </w:drawing>
      </w:r>
    </w:p>
    <w:p w:rsidR="00B9479A" w:rsidRDefault="00533AF7">
      <w:pPr>
        <w:spacing w:beforeLines="50" w:before="156" w:afterLines="100" w:after="312" w:line="480" w:lineRule="auto"/>
        <w:jc w:val="center"/>
        <w:rPr>
          <w:sz w:val="24"/>
          <w:szCs w:val="24"/>
        </w:rPr>
      </w:pPr>
      <w:r>
        <w:rPr>
          <w:b/>
          <w:bCs/>
          <w:sz w:val="24"/>
          <w:szCs w:val="24"/>
        </w:rPr>
        <w:t>Figure S</w:t>
      </w:r>
      <w:r>
        <w:rPr>
          <w:rFonts w:hint="eastAsia"/>
          <w:b/>
          <w:bCs/>
          <w:sz w:val="24"/>
          <w:szCs w:val="24"/>
        </w:rPr>
        <w:t>1</w:t>
      </w:r>
      <w:r>
        <w:rPr>
          <w:b/>
          <w:bCs/>
          <w:sz w:val="24"/>
          <w:szCs w:val="24"/>
        </w:rPr>
        <w:t>.</w:t>
      </w:r>
      <w:r>
        <w:rPr>
          <w:rFonts w:hint="eastAsia"/>
          <w:b/>
          <w:bCs/>
          <w:sz w:val="24"/>
          <w:szCs w:val="24"/>
        </w:rPr>
        <w:t xml:space="preserve"> </w:t>
      </w:r>
      <w:r>
        <w:rPr>
          <w:sz w:val="24"/>
          <w:szCs w:val="24"/>
        </w:rPr>
        <w:t>The</w:t>
      </w:r>
      <w:r>
        <w:rPr>
          <w:b/>
          <w:bCs/>
          <w:sz w:val="24"/>
          <w:szCs w:val="24"/>
        </w:rPr>
        <w:t xml:space="preserve"> </w:t>
      </w:r>
      <w:r>
        <w:rPr>
          <w:rFonts w:hint="eastAsia"/>
          <w:sz w:val="24"/>
          <w:szCs w:val="24"/>
        </w:rPr>
        <w:t>TEM image</w:t>
      </w:r>
      <w:r>
        <w:rPr>
          <w:sz w:val="24"/>
          <w:szCs w:val="24"/>
        </w:rPr>
        <w:t>s</w:t>
      </w:r>
      <w:r>
        <w:rPr>
          <w:rFonts w:hint="eastAsia"/>
          <w:sz w:val="24"/>
          <w:szCs w:val="24"/>
        </w:rPr>
        <w:t xml:space="preserve"> and size distribution</w:t>
      </w:r>
      <w:r>
        <w:rPr>
          <w:sz w:val="24"/>
          <w:szCs w:val="24"/>
        </w:rPr>
        <w:t>s</w:t>
      </w:r>
      <w:r>
        <w:rPr>
          <w:rFonts w:hint="eastAsia"/>
          <w:sz w:val="24"/>
          <w:szCs w:val="24"/>
        </w:rPr>
        <w:t xml:space="preserve"> of</w:t>
      </w:r>
      <w:r>
        <w:rPr>
          <w:sz w:val="24"/>
          <w:szCs w:val="24"/>
        </w:rPr>
        <w:t xml:space="preserve"> (a)</w:t>
      </w:r>
      <w:r>
        <w:rPr>
          <w:rFonts w:hint="eastAsia"/>
          <w:sz w:val="24"/>
          <w:szCs w:val="24"/>
        </w:rPr>
        <w:t xml:space="preserve"> PDA-1.5, </w:t>
      </w:r>
      <w:r>
        <w:rPr>
          <w:sz w:val="24"/>
          <w:szCs w:val="24"/>
        </w:rPr>
        <w:t xml:space="preserve">(b) </w:t>
      </w:r>
      <w:r>
        <w:rPr>
          <w:rFonts w:hint="eastAsia"/>
          <w:sz w:val="24"/>
          <w:szCs w:val="24"/>
        </w:rPr>
        <w:t xml:space="preserve">PDA-2.5, and </w:t>
      </w:r>
      <w:r>
        <w:rPr>
          <w:sz w:val="24"/>
          <w:szCs w:val="24"/>
        </w:rPr>
        <w:t xml:space="preserve">(c) </w:t>
      </w:r>
      <w:r>
        <w:rPr>
          <w:rFonts w:hint="eastAsia"/>
          <w:sz w:val="24"/>
          <w:szCs w:val="24"/>
        </w:rPr>
        <w:t>PDA-3.5</w:t>
      </w:r>
      <w:r>
        <w:rPr>
          <w:sz w:val="24"/>
          <w:szCs w:val="24"/>
        </w:rPr>
        <w:t xml:space="preserve"> nanoparticles</w:t>
      </w:r>
      <w:r>
        <w:rPr>
          <w:rFonts w:hint="eastAsia"/>
          <w:sz w:val="24"/>
          <w:szCs w:val="24"/>
        </w:rPr>
        <w:t>.</w:t>
      </w:r>
    </w:p>
    <w:p w:rsidR="00B9479A" w:rsidRDefault="00B9479A">
      <w:pPr>
        <w:spacing w:beforeLines="50" w:before="156" w:afterLines="100" w:after="312" w:line="480" w:lineRule="auto"/>
        <w:jc w:val="center"/>
        <w:rPr>
          <w:sz w:val="24"/>
          <w:szCs w:val="24"/>
        </w:rPr>
      </w:pPr>
    </w:p>
    <w:p w:rsidR="00B9479A" w:rsidRDefault="00533AF7">
      <w:pPr>
        <w:spacing w:afterLines="50" w:after="156" w:line="480" w:lineRule="auto"/>
        <w:jc w:val="center"/>
        <w:rPr>
          <w:sz w:val="24"/>
          <w:szCs w:val="24"/>
        </w:rPr>
      </w:pPr>
      <w:r>
        <w:rPr>
          <w:noProof/>
          <w:lang w:eastAsia="en-US"/>
        </w:rPr>
        <w:drawing>
          <wp:inline distT="0" distB="0" distL="0" distR="0">
            <wp:extent cx="6480810" cy="2735580"/>
            <wp:effectExtent l="0" t="0" r="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6480810" cy="2735580"/>
                    </a:xfrm>
                    <a:prstGeom prst="rect">
                      <a:avLst/>
                    </a:prstGeom>
                    <a:noFill/>
                    <a:ln>
                      <a:noFill/>
                    </a:ln>
                  </pic:spPr>
                </pic:pic>
              </a:graphicData>
            </a:graphic>
          </wp:inline>
        </w:drawing>
      </w:r>
    </w:p>
    <w:p w:rsidR="00B9479A" w:rsidRDefault="00B9479A">
      <w:pPr>
        <w:spacing w:afterLines="50" w:after="156" w:line="480" w:lineRule="auto"/>
        <w:jc w:val="center"/>
        <w:rPr>
          <w:sz w:val="24"/>
          <w:szCs w:val="24"/>
        </w:rPr>
      </w:pPr>
    </w:p>
    <w:p w:rsidR="00B9479A" w:rsidRDefault="00533AF7">
      <w:pPr>
        <w:spacing w:afterLines="50" w:after="156" w:line="480" w:lineRule="auto"/>
        <w:jc w:val="center"/>
        <w:rPr>
          <w:sz w:val="24"/>
          <w:szCs w:val="24"/>
        </w:rPr>
      </w:pPr>
      <w:r>
        <w:rPr>
          <w:b/>
          <w:bCs/>
          <w:sz w:val="24"/>
          <w:szCs w:val="24"/>
        </w:rPr>
        <w:t>Figure S</w:t>
      </w:r>
      <w:r>
        <w:rPr>
          <w:rFonts w:hint="eastAsia"/>
          <w:b/>
          <w:bCs/>
          <w:sz w:val="24"/>
          <w:szCs w:val="24"/>
        </w:rPr>
        <w:t>2</w:t>
      </w:r>
      <w:r>
        <w:rPr>
          <w:b/>
          <w:bCs/>
          <w:sz w:val="24"/>
          <w:szCs w:val="24"/>
        </w:rPr>
        <w:t xml:space="preserve">. </w:t>
      </w:r>
      <w:r>
        <w:rPr>
          <w:sz w:val="24"/>
          <w:szCs w:val="24"/>
        </w:rPr>
        <w:t>(</w:t>
      </w:r>
      <w:r>
        <w:rPr>
          <w:rFonts w:hint="eastAsia"/>
          <w:sz w:val="24"/>
          <w:szCs w:val="24"/>
        </w:rPr>
        <w:t>a</w:t>
      </w:r>
      <w:r>
        <w:rPr>
          <w:sz w:val="24"/>
          <w:szCs w:val="24"/>
        </w:rPr>
        <w:t>) The v</w:t>
      </w:r>
      <w:r>
        <w:rPr>
          <w:sz w:val="24"/>
        </w:rPr>
        <w:t>isible-NIR</w:t>
      </w:r>
      <w:r>
        <w:rPr>
          <w:rFonts w:hint="eastAsia"/>
          <w:sz w:val="24"/>
        </w:rPr>
        <w:t xml:space="preserve"> a</w:t>
      </w:r>
      <w:r>
        <w:rPr>
          <w:sz w:val="24"/>
          <w:szCs w:val="24"/>
        </w:rPr>
        <w:t xml:space="preserve">bsorbance spectra </w:t>
      </w:r>
      <w:r>
        <w:rPr>
          <w:rFonts w:hint="eastAsia"/>
          <w:sz w:val="24"/>
          <w:szCs w:val="24"/>
        </w:rPr>
        <w:t xml:space="preserve">of PDA-1, PDA-2, PDA-3, PDA-4, and PDA(DOX) with </w:t>
      </w:r>
      <w:r>
        <w:rPr>
          <w:sz w:val="24"/>
          <w:szCs w:val="24"/>
        </w:rPr>
        <w:t>50 μg/mL PDA concentration</w:t>
      </w:r>
      <w:r>
        <w:rPr>
          <w:rFonts w:hint="eastAsia"/>
          <w:sz w:val="24"/>
          <w:szCs w:val="24"/>
        </w:rPr>
        <w:t>.</w:t>
      </w:r>
      <w:r>
        <w:rPr>
          <w:sz w:val="24"/>
          <w:szCs w:val="24"/>
        </w:rPr>
        <w:t xml:space="preserve"> (b) </w:t>
      </w:r>
      <w:r>
        <w:rPr>
          <w:sz w:val="24"/>
        </w:rPr>
        <w:t>Visible-NIR</w:t>
      </w:r>
      <w:r>
        <w:rPr>
          <w:rFonts w:hint="eastAsia"/>
          <w:sz w:val="24"/>
        </w:rPr>
        <w:t xml:space="preserve"> a</w:t>
      </w:r>
      <w:r>
        <w:rPr>
          <w:sz w:val="24"/>
          <w:szCs w:val="24"/>
        </w:rPr>
        <w:t>bsorbance spectr</w:t>
      </w:r>
      <w:r>
        <w:rPr>
          <w:rFonts w:hint="eastAsia"/>
          <w:sz w:val="24"/>
          <w:szCs w:val="24"/>
        </w:rPr>
        <w:t>um</w:t>
      </w:r>
      <w:r>
        <w:rPr>
          <w:sz w:val="24"/>
          <w:szCs w:val="24"/>
        </w:rPr>
        <w:t xml:space="preserve"> and photos </w:t>
      </w:r>
      <w:r>
        <w:rPr>
          <w:rFonts w:hint="eastAsia"/>
          <w:sz w:val="24"/>
          <w:szCs w:val="24"/>
        </w:rPr>
        <w:t>of PDA-4, DOX, and PDA(DOX)</w:t>
      </w:r>
      <w:r>
        <w:rPr>
          <w:sz w:val="24"/>
          <w:szCs w:val="24"/>
        </w:rPr>
        <w:t xml:space="preserve"> dispersion</w:t>
      </w:r>
      <w:r>
        <w:rPr>
          <w:rFonts w:hint="eastAsia"/>
          <w:sz w:val="24"/>
          <w:szCs w:val="24"/>
        </w:rPr>
        <w:t>.</w:t>
      </w:r>
    </w:p>
    <w:p w:rsidR="00B9479A" w:rsidRDefault="00533AF7">
      <w:pPr>
        <w:spacing w:afterLines="50" w:after="156" w:line="480" w:lineRule="auto"/>
        <w:jc w:val="center"/>
        <w:rPr>
          <w:b/>
          <w:bCs/>
          <w:sz w:val="24"/>
          <w:szCs w:val="24"/>
        </w:rPr>
      </w:pPr>
      <w:r>
        <w:rPr>
          <w:noProof/>
          <w:lang w:eastAsia="en-US"/>
        </w:rPr>
        <w:drawing>
          <wp:inline distT="0" distB="0" distL="0" distR="0">
            <wp:extent cx="5399405" cy="6602095"/>
            <wp:effectExtent l="0" t="0" r="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400000" cy="6602116"/>
                    </a:xfrm>
                    <a:prstGeom prst="rect">
                      <a:avLst/>
                    </a:prstGeom>
                    <a:noFill/>
                    <a:ln>
                      <a:noFill/>
                    </a:ln>
                  </pic:spPr>
                </pic:pic>
              </a:graphicData>
            </a:graphic>
          </wp:inline>
        </w:drawing>
      </w:r>
    </w:p>
    <w:p w:rsidR="00B9479A" w:rsidRDefault="00B9479A">
      <w:pPr>
        <w:spacing w:afterLines="50" w:after="156" w:line="480" w:lineRule="auto"/>
        <w:jc w:val="center"/>
        <w:rPr>
          <w:b/>
          <w:bCs/>
          <w:sz w:val="24"/>
          <w:szCs w:val="24"/>
        </w:rPr>
      </w:pPr>
    </w:p>
    <w:p w:rsidR="00B9479A" w:rsidRDefault="00533AF7">
      <w:pPr>
        <w:spacing w:beforeLines="100" w:before="312" w:afterLines="50" w:after="156" w:line="480" w:lineRule="auto"/>
        <w:jc w:val="center"/>
        <w:rPr>
          <w:sz w:val="24"/>
          <w:szCs w:val="24"/>
        </w:rPr>
      </w:pPr>
      <w:r>
        <w:rPr>
          <w:rFonts w:hint="eastAsia"/>
          <w:b/>
          <w:bCs/>
          <w:sz w:val="24"/>
          <w:szCs w:val="24"/>
        </w:rPr>
        <w:t>Fig</w:t>
      </w:r>
      <w:r>
        <w:rPr>
          <w:b/>
          <w:bCs/>
          <w:sz w:val="24"/>
          <w:szCs w:val="24"/>
        </w:rPr>
        <w:t>ure</w:t>
      </w:r>
      <w:r>
        <w:rPr>
          <w:rFonts w:hint="eastAsia"/>
          <w:b/>
          <w:bCs/>
          <w:sz w:val="24"/>
          <w:szCs w:val="24"/>
        </w:rPr>
        <w:t xml:space="preserve"> S3</w:t>
      </w:r>
      <w:r>
        <w:rPr>
          <w:b/>
          <w:bCs/>
          <w:sz w:val="24"/>
          <w:szCs w:val="24"/>
        </w:rPr>
        <w:t>.</w:t>
      </w:r>
      <w:r>
        <w:rPr>
          <w:rFonts w:hint="eastAsia"/>
          <w:b/>
          <w:bCs/>
          <w:sz w:val="24"/>
          <w:szCs w:val="24"/>
        </w:rPr>
        <w:t xml:space="preserve"> </w:t>
      </w:r>
      <w:r>
        <w:rPr>
          <w:sz w:val="24"/>
          <w:szCs w:val="24"/>
        </w:rPr>
        <w:t>The s</w:t>
      </w:r>
      <w:r>
        <w:rPr>
          <w:rFonts w:hint="eastAsia"/>
          <w:sz w:val="24"/>
          <w:szCs w:val="24"/>
        </w:rPr>
        <w:t>tandard curves</w:t>
      </w:r>
      <w:r>
        <w:rPr>
          <w:sz w:val="24"/>
          <w:szCs w:val="24"/>
        </w:rPr>
        <w:t xml:space="preserve"> between the mass concentration</w:t>
      </w:r>
      <w:r>
        <w:rPr>
          <w:rFonts w:hint="eastAsia"/>
          <w:sz w:val="24"/>
          <w:szCs w:val="24"/>
        </w:rPr>
        <w:t xml:space="preserve"> of (a) PDA-1; (b) PDA-2; (c) PDA-3; (d) PDA-4</w:t>
      </w:r>
      <w:r>
        <w:rPr>
          <w:sz w:val="24"/>
          <w:szCs w:val="24"/>
        </w:rPr>
        <w:t>; (e) PDA(DOX) nanoparticles dispersion and its absorbance values at 808 nm</w:t>
      </w:r>
      <w:r>
        <w:rPr>
          <w:rFonts w:hint="eastAsia"/>
          <w:sz w:val="24"/>
          <w:szCs w:val="24"/>
        </w:rPr>
        <w:t>.</w:t>
      </w:r>
      <w:r>
        <w:rPr>
          <w:sz w:val="24"/>
          <w:szCs w:val="24"/>
        </w:rPr>
        <w:t xml:space="preserve"> (f) The standard curves between the mass concentration of DOX solution and its absorbance values at 488 nm.</w:t>
      </w:r>
    </w:p>
    <w:p w:rsidR="00B9479A" w:rsidRDefault="00B9479A">
      <w:pPr>
        <w:spacing w:line="480" w:lineRule="auto"/>
        <w:rPr>
          <w:sz w:val="24"/>
          <w:szCs w:val="24"/>
        </w:rPr>
      </w:pPr>
    </w:p>
    <w:p w:rsidR="00B9479A" w:rsidRDefault="00533AF7">
      <w:pPr>
        <w:spacing w:beforeLines="50" w:before="156" w:afterLines="50" w:after="156" w:line="480" w:lineRule="auto"/>
        <w:jc w:val="center"/>
        <w:rPr>
          <w:sz w:val="24"/>
          <w:szCs w:val="24"/>
        </w:rPr>
      </w:pPr>
      <w:r>
        <w:rPr>
          <w:noProof/>
          <w:lang w:eastAsia="en-US"/>
        </w:rPr>
        <w:drawing>
          <wp:inline distT="0" distB="0" distL="0" distR="0">
            <wp:extent cx="6480810" cy="381254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6480810" cy="3812540"/>
                    </a:xfrm>
                    <a:prstGeom prst="rect">
                      <a:avLst/>
                    </a:prstGeom>
                    <a:noFill/>
                    <a:ln>
                      <a:noFill/>
                    </a:ln>
                  </pic:spPr>
                </pic:pic>
              </a:graphicData>
            </a:graphic>
          </wp:inline>
        </w:drawing>
      </w:r>
    </w:p>
    <w:p w:rsidR="00B9479A" w:rsidRDefault="00B9479A">
      <w:pPr>
        <w:spacing w:beforeLines="50" w:before="156" w:afterLines="50" w:after="156" w:line="480" w:lineRule="auto"/>
        <w:jc w:val="center"/>
        <w:rPr>
          <w:sz w:val="24"/>
          <w:szCs w:val="24"/>
        </w:rPr>
      </w:pPr>
    </w:p>
    <w:p w:rsidR="00B9479A" w:rsidRDefault="00533AF7">
      <w:pPr>
        <w:spacing w:beforeLines="50" w:before="156" w:afterLines="50" w:after="156" w:line="480" w:lineRule="auto"/>
        <w:rPr>
          <w:sz w:val="24"/>
          <w:szCs w:val="24"/>
        </w:rPr>
      </w:pPr>
      <w:r>
        <w:rPr>
          <w:rFonts w:hint="eastAsia"/>
          <w:b/>
          <w:bCs/>
          <w:sz w:val="24"/>
          <w:szCs w:val="24"/>
        </w:rPr>
        <w:t>Fig</w:t>
      </w:r>
      <w:r>
        <w:rPr>
          <w:b/>
          <w:bCs/>
          <w:sz w:val="24"/>
          <w:szCs w:val="24"/>
        </w:rPr>
        <w:t>ure</w:t>
      </w:r>
      <w:r>
        <w:rPr>
          <w:rFonts w:hint="eastAsia"/>
          <w:b/>
          <w:bCs/>
          <w:sz w:val="24"/>
          <w:szCs w:val="24"/>
        </w:rPr>
        <w:t xml:space="preserve"> S</w:t>
      </w:r>
      <w:r>
        <w:rPr>
          <w:b/>
          <w:bCs/>
          <w:sz w:val="24"/>
          <w:szCs w:val="24"/>
        </w:rPr>
        <w:t>4.</w:t>
      </w:r>
      <w:r>
        <w:rPr>
          <w:rFonts w:hint="eastAsia"/>
          <w:b/>
          <w:bCs/>
          <w:sz w:val="24"/>
          <w:szCs w:val="24"/>
        </w:rPr>
        <w:t xml:space="preserve"> </w:t>
      </w:r>
      <w:r>
        <w:rPr>
          <w:rFonts w:hint="eastAsia"/>
          <w:sz w:val="24"/>
          <w:szCs w:val="24"/>
        </w:rPr>
        <w:t>The temperature rise curve</w:t>
      </w:r>
      <w:r>
        <w:rPr>
          <w:sz w:val="24"/>
          <w:szCs w:val="24"/>
        </w:rPr>
        <w:t>s</w:t>
      </w:r>
      <w:r>
        <w:rPr>
          <w:rFonts w:hint="eastAsia"/>
          <w:sz w:val="24"/>
          <w:szCs w:val="24"/>
        </w:rPr>
        <w:t xml:space="preserve"> of </w:t>
      </w:r>
      <w:r>
        <w:rPr>
          <w:sz w:val="24"/>
          <w:szCs w:val="24"/>
        </w:rPr>
        <w:t xml:space="preserve">(a-d) </w:t>
      </w:r>
      <w:r>
        <w:rPr>
          <w:rFonts w:hint="eastAsia"/>
          <w:sz w:val="24"/>
          <w:szCs w:val="24"/>
        </w:rPr>
        <w:t>PDA-</w:t>
      </w:r>
      <w:r>
        <w:rPr>
          <w:i/>
          <w:iCs/>
          <w:sz w:val="24"/>
          <w:szCs w:val="24"/>
        </w:rPr>
        <w:t>i</w:t>
      </w:r>
      <w:r>
        <w:rPr>
          <w:rFonts w:hint="eastAsia"/>
          <w:sz w:val="24"/>
          <w:szCs w:val="24"/>
        </w:rPr>
        <w:t xml:space="preserve"> and </w:t>
      </w:r>
      <w:r>
        <w:rPr>
          <w:sz w:val="24"/>
          <w:szCs w:val="24"/>
        </w:rPr>
        <w:t xml:space="preserve">(e) </w:t>
      </w:r>
      <w:r>
        <w:rPr>
          <w:rFonts w:hint="eastAsia"/>
          <w:sz w:val="24"/>
          <w:szCs w:val="24"/>
        </w:rPr>
        <w:t xml:space="preserve">PDA(DOX) </w:t>
      </w:r>
      <w:r>
        <w:rPr>
          <w:sz w:val="24"/>
          <w:szCs w:val="24"/>
        </w:rPr>
        <w:t>dispersions</w:t>
      </w:r>
      <w:r>
        <w:rPr>
          <w:rFonts w:hint="eastAsia"/>
          <w:sz w:val="24"/>
          <w:szCs w:val="24"/>
        </w:rPr>
        <w:t xml:space="preserve"> with different PDA concentrations (50, 100, 200, 300, and 400 </w:t>
      </w:r>
      <w:r>
        <w:rPr>
          <w:sz w:val="24"/>
          <w:szCs w:val="24"/>
        </w:rPr>
        <w:t>μg/mL</w:t>
      </w:r>
      <w:r>
        <w:rPr>
          <w:rFonts w:hint="eastAsia"/>
          <w:sz w:val="24"/>
          <w:szCs w:val="24"/>
        </w:rPr>
        <w:t>).</w:t>
      </w:r>
    </w:p>
    <w:p w:rsidR="00B9479A" w:rsidRDefault="00B9479A">
      <w:pPr>
        <w:spacing w:line="48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533AF7">
      <w:pPr>
        <w:spacing w:beforeLines="50" w:before="156" w:afterLines="100" w:after="312" w:line="480" w:lineRule="auto"/>
        <w:rPr>
          <w:sz w:val="24"/>
          <w:szCs w:val="24"/>
        </w:rPr>
      </w:pPr>
      <w:r>
        <w:rPr>
          <w:rFonts w:hint="eastAsia"/>
          <w:b/>
          <w:bCs/>
          <w:sz w:val="24"/>
          <w:szCs w:val="24"/>
        </w:rPr>
        <w:t>Table S</w:t>
      </w:r>
      <w:r>
        <w:rPr>
          <w:b/>
          <w:bCs/>
          <w:sz w:val="24"/>
          <w:szCs w:val="24"/>
        </w:rPr>
        <w:t>1</w:t>
      </w:r>
      <w:r>
        <w:rPr>
          <w:rFonts w:hint="eastAsia"/>
          <w:b/>
          <w:bCs/>
          <w:sz w:val="24"/>
          <w:szCs w:val="24"/>
        </w:rPr>
        <w:t xml:space="preserve"> </w:t>
      </w:r>
      <w:r>
        <w:rPr>
          <w:sz w:val="24"/>
          <w:szCs w:val="24"/>
        </w:rPr>
        <w:t>The Δ</w:t>
      </w:r>
      <w:r>
        <w:rPr>
          <w:rFonts w:hint="eastAsia"/>
          <w:sz w:val="24"/>
          <w:szCs w:val="24"/>
        </w:rPr>
        <w:t>T</w:t>
      </w:r>
      <w:r>
        <w:rPr>
          <w:sz w:val="24"/>
          <w:szCs w:val="24"/>
        </w:rPr>
        <w:t>, I,</w:t>
      </w:r>
      <w:r>
        <w:rPr>
          <w:rFonts w:hint="eastAsia"/>
          <w:sz w:val="24"/>
          <w:szCs w:val="24"/>
        </w:rPr>
        <w:t xml:space="preserve"> Q</w:t>
      </w:r>
      <w:r>
        <w:rPr>
          <w:rFonts w:hint="eastAsia"/>
          <w:sz w:val="24"/>
          <w:szCs w:val="24"/>
          <w:vertAlign w:val="subscript"/>
        </w:rPr>
        <w:t>dis</w:t>
      </w:r>
      <w:r>
        <w:rPr>
          <w:sz w:val="24"/>
          <w:szCs w:val="24"/>
        </w:rPr>
        <w:t>, τ</w:t>
      </w:r>
      <w:r>
        <w:rPr>
          <w:rFonts w:hint="eastAsia"/>
          <w:sz w:val="24"/>
          <w:szCs w:val="24"/>
          <w:vertAlign w:val="subscript"/>
        </w:rPr>
        <w:t>s</w:t>
      </w:r>
      <w:r>
        <w:rPr>
          <w:rFonts w:hint="eastAsia"/>
          <w:sz w:val="24"/>
          <w:szCs w:val="24"/>
        </w:rPr>
        <w:t xml:space="preserve">, </w:t>
      </w:r>
      <w:r>
        <w:rPr>
          <w:rFonts w:hint="eastAsia"/>
          <w:i/>
          <w:iCs/>
          <w:sz w:val="24"/>
          <w:szCs w:val="24"/>
        </w:rPr>
        <w:t>h</w:t>
      </w:r>
      <w:r>
        <w:rPr>
          <w:rFonts w:hint="eastAsia"/>
          <w:sz w:val="24"/>
          <w:szCs w:val="24"/>
        </w:rPr>
        <w:t>s, and A</w:t>
      </w:r>
      <w:r>
        <w:rPr>
          <w:rFonts w:hint="eastAsia"/>
          <w:sz w:val="24"/>
          <w:szCs w:val="24"/>
          <w:vertAlign w:val="subscript"/>
        </w:rPr>
        <w:t>808</w:t>
      </w:r>
      <w:r>
        <w:rPr>
          <w:sz w:val="24"/>
          <w:szCs w:val="24"/>
          <w:vertAlign w:val="subscript"/>
        </w:rPr>
        <w:t xml:space="preserve"> nm</w:t>
      </w:r>
      <w:r>
        <w:rPr>
          <w:rFonts w:hint="eastAsia"/>
          <w:sz w:val="24"/>
          <w:szCs w:val="24"/>
        </w:rPr>
        <w:t xml:space="preserve"> of PDA and PDA(DOX)</w:t>
      </w:r>
      <w:r>
        <w:rPr>
          <w:sz w:val="24"/>
          <w:szCs w:val="24"/>
        </w:rPr>
        <w:t xml:space="preserve"> nanoparticles</w:t>
      </w:r>
      <w:r>
        <w:rPr>
          <w:rFonts w:hint="eastAsia"/>
          <w:sz w:val="24"/>
          <w:szCs w:val="24"/>
        </w:rPr>
        <w:t xml:space="preserve"> for calculating photothermal conversion efficiency </w:t>
      </w:r>
      <w:r>
        <w:rPr>
          <w:sz w:val="24"/>
          <w:szCs w:val="24"/>
        </w:rPr>
        <w:t>η</w:t>
      </w:r>
      <w:r>
        <w:rPr>
          <w:rFonts w:hint="eastAsia"/>
          <w:sz w:val="24"/>
          <w:szCs w:val="24"/>
        </w:rPr>
        <w:t>.</w:t>
      </w:r>
    </w:p>
    <w:tbl>
      <w:tblPr>
        <w:tblStyle w:val="TableGrid"/>
        <w:tblW w:w="0" w:type="auto"/>
        <w:jc w:val="center"/>
        <w:tblLook w:val="04A0" w:firstRow="1" w:lastRow="0" w:firstColumn="1" w:lastColumn="0" w:noHBand="0" w:noVBand="1"/>
      </w:tblPr>
      <w:tblGrid>
        <w:gridCol w:w="1404"/>
        <w:gridCol w:w="1692"/>
        <w:gridCol w:w="851"/>
        <w:gridCol w:w="876"/>
        <w:gridCol w:w="1135"/>
        <w:gridCol w:w="1172"/>
        <w:gridCol w:w="1151"/>
        <w:gridCol w:w="1123"/>
      </w:tblGrid>
      <w:tr w:rsidR="00B9479A">
        <w:trPr>
          <w:jc w:val="center"/>
        </w:trPr>
        <w:tc>
          <w:tcPr>
            <w:tcW w:w="1404"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color w:val="000000"/>
                <w:sz w:val="24"/>
                <w:szCs w:val="24"/>
              </w:rPr>
            </w:pPr>
            <w:r>
              <w:rPr>
                <w:b/>
                <w:bCs/>
                <w:color w:val="000000"/>
                <w:sz w:val="24"/>
                <w:szCs w:val="24"/>
              </w:rPr>
              <w:t>Samples</w:t>
            </w:r>
          </w:p>
        </w:tc>
        <w:tc>
          <w:tcPr>
            <w:tcW w:w="1692"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color w:val="000000"/>
                <w:sz w:val="24"/>
                <w:szCs w:val="24"/>
                <w:vertAlign w:val="subscript"/>
              </w:rPr>
            </w:pPr>
            <w:r>
              <w:rPr>
                <w:b/>
                <w:bCs/>
                <w:color w:val="000000"/>
                <w:sz w:val="24"/>
                <w:szCs w:val="24"/>
              </w:rPr>
              <w:t>ΔT=T</w:t>
            </w:r>
            <w:r>
              <w:rPr>
                <w:b/>
                <w:bCs/>
                <w:color w:val="000000"/>
                <w:sz w:val="24"/>
                <w:szCs w:val="24"/>
                <w:vertAlign w:val="subscript"/>
              </w:rPr>
              <w:t>max</w:t>
            </w:r>
            <w:r>
              <w:rPr>
                <w:b/>
                <w:bCs/>
                <w:color w:val="000000"/>
                <w:sz w:val="24"/>
                <w:szCs w:val="24"/>
              </w:rPr>
              <w:t>-T</w:t>
            </w:r>
            <w:r>
              <w:rPr>
                <w:b/>
                <w:bCs/>
                <w:color w:val="000000"/>
                <w:sz w:val="24"/>
                <w:szCs w:val="24"/>
                <w:vertAlign w:val="subscript"/>
              </w:rPr>
              <w:t xml:space="preserve">sur </w:t>
            </w:r>
          </w:p>
          <w:p w:rsidR="00B9479A" w:rsidRDefault="00533AF7">
            <w:pPr>
              <w:spacing w:line="360" w:lineRule="auto"/>
              <w:jc w:val="center"/>
              <w:rPr>
                <w:b/>
                <w:bCs/>
                <w:color w:val="000000"/>
                <w:sz w:val="24"/>
                <w:szCs w:val="24"/>
              </w:rPr>
            </w:pPr>
            <w:r>
              <w:rPr>
                <w:b/>
                <w:bCs/>
                <w:color w:val="000000"/>
                <w:sz w:val="24"/>
                <w:szCs w:val="24"/>
              </w:rPr>
              <w:t>(℃)</w:t>
            </w:r>
          </w:p>
        </w:tc>
        <w:tc>
          <w:tcPr>
            <w:tcW w:w="851"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color w:val="000000"/>
                <w:sz w:val="24"/>
                <w:szCs w:val="24"/>
              </w:rPr>
            </w:pPr>
            <w:r>
              <w:rPr>
                <w:b/>
                <w:bCs/>
                <w:color w:val="000000"/>
                <w:sz w:val="24"/>
                <w:szCs w:val="24"/>
              </w:rPr>
              <w:t xml:space="preserve">I </w:t>
            </w:r>
          </w:p>
          <w:p w:rsidR="00B9479A" w:rsidRDefault="00533AF7">
            <w:pPr>
              <w:spacing w:line="360" w:lineRule="auto"/>
              <w:jc w:val="center"/>
              <w:rPr>
                <w:b/>
                <w:bCs/>
                <w:color w:val="000000"/>
                <w:sz w:val="24"/>
                <w:szCs w:val="24"/>
              </w:rPr>
            </w:pPr>
            <w:r>
              <w:rPr>
                <w:b/>
                <w:bCs/>
                <w:color w:val="000000"/>
                <w:sz w:val="24"/>
                <w:szCs w:val="24"/>
              </w:rPr>
              <w:t>(W)</w:t>
            </w:r>
          </w:p>
        </w:tc>
        <w:tc>
          <w:tcPr>
            <w:tcW w:w="851"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color w:val="000000"/>
                <w:sz w:val="24"/>
                <w:szCs w:val="24"/>
                <w:vertAlign w:val="subscript"/>
              </w:rPr>
            </w:pPr>
            <w:r>
              <w:rPr>
                <w:b/>
                <w:bCs/>
                <w:color w:val="000000"/>
                <w:sz w:val="24"/>
                <w:szCs w:val="24"/>
              </w:rPr>
              <w:t>Q</w:t>
            </w:r>
            <w:r>
              <w:rPr>
                <w:b/>
                <w:bCs/>
                <w:color w:val="000000"/>
                <w:sz w:val="24"/>
                <w:szCs w:val="24"/>
                <w:vertAlign w:val="subscript"/>
              </w:rPr>
              <w:t>dis</w:t>
            </w:r>
          </w:p>
          <w:p w:rsidR="00B9479A" w:rsidRDefault="00533AF7">
            <w:pPr>
              <w:spacing w:line="360" w:lineRule="auto"/>
              <w:jc w:val="center"/>
              <w:rPr>
                <w:b/>
                <w:bCs/>
                <w:color w:val="000000"/>
                <w:sz w:val="24"/>
                <w:szCs w:val="24"/>
              </w:rPr>
            </w:pPr>
            <w:r>
              <w:rPr>
                <w:b/>
                <w:bCs/>
                <w:color w:val="000000"/>
                <w:sz w:val="24"/>
                <w:szCs w:val="24"/>
              </w:rPr>
              <w:t>(W)</w:t>
            </w:r>
          </w:p>
        </w:tc>
        <w:tc>
          <w:tcPr>
            <w:tcW w:w="1135"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color w:val="000000"/>
                <w:sz w:val="24"/>
                <w:szCs w:val="24"/>
              </w:rPr>
            </w:pPr>
            <w:r>
              <w:rPr>
                <w:rFonts w:eastAsia="Microsoft YaHei"/>
                <w:b/>
                <w:bCs/>
                <w:color w:val="000000"/>
                <w:sz w:val="24"/>
                <w:szCs w:val="24"/>
              </w:rPr>
              <w:t>τ</w:t>
            </w:r>
            <w:r>
              <w:rPr>
                <w:b/>
                <w:bCs/>
                <w:color w:val="000000"/>
                <w:sz w:val="24"/>
                <w:szCs w:val="24"/>
                <w:vertAlign w:val="subscript"/>
              </w:rPr>
              <w:t>s</w:t>
            </w:r>
            <w:r>
              <w:rPr>
                <w:b/>
                <w:bCs/>
                <w:color w:val="000000"/>
                <w:sz w:val="24"/>
                <w:szCs w:val="24"/>
              </w:rPr>
              <w:t xml:space="preserve"> </w:t>
            </w:r>
          </w:p>
          <w:p w:rsidR="00B9479A" w:rsidRDefault="00533AF7">
            <w:pPr>
              <w:spacing w:line="360" w:lineRule="auto"/>
              <w:jc w:val="center"/>
              <w:rPr>
                <w:b/>
                <w:bCs/>
                <w:color w:val="000000"/>
                <w:sz w:val="24"/>
                <w:szCs w:val="24"/>
              </w:rPr>
            </w:pPr>
            <w:r>
              <w:rPr>
                <w:b/>
                <w:bCs/>
                <w:color w:val="000000"/>
                <w:sz w:val="24"/>
                <w:szCs w:val="24"/>
              </w:rPr>
              <w:t>(s)</w:t>
            </w:r>
          </w:p>
        </w:tc>
        <w:tc>
          <w:tcPr>
            <w:tcW w:w="1172"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i/>
                <w:iCs/>
                <w:color w:val="000000"/>
                <w:sz w:val="24"/>
                <w:szCs w:val="24"/>
              </w:rPr>
            </w:pPr>
            <w:r>
              <w:rPr>
                <w:b/>
                <w:bCs/>
                <w:i/>
                <w:iCs/>
                <w:color w:val="000000"/>
                <w:sz w:val="24"/>
                <w:szCs w:val="24"/>
              </w:rPr>
              <w:t xml:space="preserve">hS </w:t>
            </w:r>
          </w:p>
          <w:p w:rsidR="00B9479A" w:rsidRDefault="00533AF7">
            <w:pPr>
              <w:spacing w:line="360" w:lineRule="auto"/>
              <w:jc w:val="center"/>
              <w:rPr>
                <w:b/>
                <w:bCs/>
                <w:color w:val="000000"/>
                <w:sz w:val="24"/>
                <w:szCs w:val="24"/>
              </w:rPr>
            </w:pPr>
            <w:r>
              <w:rPr>
                <w:b/>
                <w:bCs/>
                <w:color w:val="000000"/>
                <w:sz w:val="24"/>
                <w:szCs w:val="24"/>
              </w:rPr>
              <w:t>(W℃</w:t>
            </w:r>
            <w:r>
              <w:rPr>
                <w:b/>
                <w:bCs/>
                <w:color w:val="000000"/>
                <w:sz w:val="24"/>
                <w:szCs w:val="24"/>
                <w:vertAlign w:val="superscript"/>
              </w:rPr>
              <w:t>-1</w:t>
            </w:r>
            <w:r>
              <w:rPr>
                <w:b/>
                <w:bCs/>
                <w:color w:val="000000"/>
                <w:sz w:val="24"/>
                <w:szCs w:val="24"/>
              </w:rPr>
              <w:t>)</w:t>
            </w:r>
          </w:p>
        </w:tc>
        <w:tc>
          <w:tcPr>
            <w:tcW w:w="1151"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color w:val="000000"/>
                <w:sz w:val="24"/>
                <w:szCs w:val="24"/>
              </w:rPr>
            </w:pPr>
            <w:r>
              <w:rPr>
                <w:b/>
                <w:bCs/>
                <w:color w:val="000000"/>
                <w:sz w:val="24"/>
                <w:szCs w:val="24"/>
              </w:rPr>
              <w:t>A</w:t>
            </w:r>
            <w:r>
              <w:rPr>
                <w:b/>
                <w:bCs/>
                <w:color w:val="000000"/>
                <w:sz w:val="24"/>
                <w:szCs w:val="24"/>
                <w:vertAlign w:val="subscript"/>
              </w:rPr>
              <w:t>808 nm</w:t>
            </w:r>
          </w:p>
        </w:tc>
        <w:tc>
          <w:tcPr>
            <w:tcW w:w="1123" w:type="dxa"/>
            <w:tcBorders>
              <w:top w:val="single" w:sz="12" w:space="0" w:color="9BBB59"/>
              <w:left w:val="nil"/>
              <w:bottom w:val="single" w:sz="12" w:space="0" w:color="9BBB59"/>
              <w:right w:val="nil"/>
            </w:tcBorders>
            <w:shd w:val="clear" w:color="auto" w:fill="FFFFFF"/>
            <w:vAlign w:val="center"/>
          </w:tcPr>
          <w:p w:rsidR="00B9479A" w:rsidRDefault="00533AF7">
            <w:pPr>
              <w:spacing w:line="360" w:lineRule="auto"/>
              <w:jc w:val="center"/>
              <w:rPr>
                <w:b/>
                <w:bCs/>
                <w:color w:val="0000FF"/>
                <w:sz w:val="24"/>
                <w:szCs w:val="24"/>
              </w:rPr>
            </w:pPr>
            <w:r>
              <w:rPr>
                <w:rFonts w:eastAsia="Microsoft YaHei"/>
                <w:b/>
                <w:bCs/>
                <w:sz w:val="24"/>
                <w:szCs w:val="24"/>
              </w:rPr>
              <w:t>η</w:t>
            </w:r>
          </w:p>
        </w:tc>
      </w:tr>
      <w:tr w:rsidR="00B9479A">
        <w:trPr>
          <w:trHeight w:val="850"/>
          <w:jc w:val="center"/>
        </w:trPr>
        <w:tc>
          <w:tcPr>
            <w:tcW w:w="1404" w:type="dxa"/>
            <w:tcBorders>
              <w:top w:val="single" w:sz="12" w:space="0" w:color="9BBB59"/>
              <w:left w:val="nil"/>
              <w:bottom w:val="nil"/>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PDA-1</w:t>
            </w:r>
          </w:p>
        </w:tc>
        <w:tc>
          <w:tcPr>
            <w:tcW w:w="1692" w:type="dxa"/>
            <w:tcBorders>
              <w:top w:val="single" w:sz="12" w:space="0" w:color="9BBB59"/>
              <w:left w:val="nil"/>
              <w:bottom w:val="nil"/>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1</w:t>
            </w:r>
            <w:r>
              <w:rPr>
                <w:b/>
                <w:bCs/>
                <w:color w:val="000000"/>
                <w:sz w:val="24"/>
                <w:szCs w:val="24"/>
              </w:rPr>
              <w:t>8.73</w:t>
            </w:r>
          </w:p>
        </w:tc>
        <w:tc>
          <w:tcPr>
            <w:tcW w:w="851" w:type="dxa"/>
            <w:vMerge w:val="restart"/>
            <w:tcBorders>
              <w:top w:val="single" w:sz="12" w:space="0" w:color="9BBB59"/>
              <w:left w:val="nil"/>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1</w:t>
            </w:r>
            <w:r>
              <w:rPr>
                <w:b/>
                <w:bCs/>
                <w:color w:val="000000"/>
                <w:sz w:val="24"/>
                <w:szCs w:val="24"/>
              </w:rPr>
              <w:t>.5</w:t>
            </w:r>
          </w:p>
        </w:tc>
        <w:tc>
          <w:tcPr>
            <w:tcW w:w="851" w:type="dxa"/>
            <w:vMerge w:val="restart"/>
            <w:tcBorders>
              <w:top w:val="single" w:sz="12" w:space="0" w:color="9BBB59"/>
              <w:left w:val="nil"/>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0</w:t>
            </w:r>
            <w:r>
              <w:rPr>
                <w:b/>
                <w:bCs/>
                <w:color w:val="000000"/>
                <w:sz w:val="24"/>
                <w:szCs w:val="24"/>
              </w:rPr>
              <w:t>.0215</w:t>
            </w:r>
          </w:p>
        </w:tc>
        <w:tc>
          <w:tcPr>
            <w:tcW w:w="1135" w:type="dxa"/>
            <w:tcBorders>
              <w:top w:val="single" w:sz="12" w:space="0" w:color="9BBB59"/>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4</w:t>
            </w:r>
            <w:r>
              <w:rPr>
                <w:b/>
                <w:bCs/>
                <w:color w:val="000000" w:themeColor="text1"/>
                <w:sz w:val="24"/>
                <w:szCs w:val="24"/>
              </w:rPr>
              <w:t>21.52</w:t>
            </w:r>
          </w:p>
        </w:tc>
        <w:tc>
          <w:tcPr>
            <w:tcW w:w="1172" w:type="dxa"/>
            <w:tcBorders>
              <w:top w:val="single" w:sz="12" w:space="0" w:color="9BBB59"/>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.00996</w:t>
            </w:r>
          </w:p>
        </w:tc>
        <w:tc>
          <w:tcPr>
            <w:tcW w:w="1151" w:type="dxa"/>
            <w:tcBorders>
              <w:top w:val="single" w:sz="12" w:space="0" w:color="9BBB59"/>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.636</w:t>
            </w:r>
          </w:p>
        </w:tc>
        <w:tc>
          <w:tcPr>
            <w:tcW w:w="1123" w:type="dxa"/>
            <w:tcBorders>
              <w:top w:val="single" w:sz="12" w:space="0" w:color="9BBB59"/>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1</w:t>
            </w:r>
            <w:r>
              <w:rPr>
                <w:b/>
                <w:bCs/>
                <w:color w:val="000000" w:themeColor="text1"/>
                <w:sz w:val="24"/>
                <w:szCs w:val="24"/>
              </w:rPr>
              <w:t>3.68%</w:t>
            </w:r>
          </w:p>
        </w:tc>
      </w:tr>
      <w:tr w:rsidR="00B9479A">
        <w:trPr>
          <w:trHeight w:val="850"/>
          <w:jc w:val="center"/>
        </w:trPr>
        <w:tc>
          <w:tcPr>
            <w:tcW w:w="1404" w:type="dxa"/>
            <w:tcBorders>
              <w:top w:val="nil"/>
              <w:left w:val="nil"/>
              <w:bottom w:val="nil"/>
              <w:right w:val="nil"/>
            </w:tcBorders>
            <w:shd w:val="clear" w:color="auto" w:fill="FFFFFF"/>
            <w:vAlign w:val="center"/>
          </w:tcPr>
          <w:p w:rsidR="00B9479A" w:rsidRDefault="00533AF7">
            <w:pPr>
              <w:spacing w:line="360" w:lineRule="auto"/>
              <w:jc w:val="center"/>
              <w:rPr>
                <w:b/>
                <w:bCs/>
                <w:color w:val="000000"/>
                <w:sz w:val="24"/>
                <w:szCs w:val="24"/>
              </w:rPr>
            </w:pPr>
            <w:r>
              <w:rPr>
                <w:rFonts w:hint="eastAsia"/>
                <w:b/>
                <w:bCs/>
                <w:color w:val="000000"/>
                <w:sz w:val="24"/>
                <w:szCs w:val="24"/>
              </w:rPr>
              <w:t>PDA-2</w:t>
            </w:r>
          </w:p>
        </w:tc>
        <w:tc>
          <w:tcPr>
            <w:tcW w:w="1692" w:type="dxa"/>
            <w:tcBorders>
              <w:top w:val="nil"/>
              <w:left w:val="nil"/>
              <w:bottom w:val="nil"/>
              <w:right w:val="nil"/>
            </w:tcBorders>
            <w:shd w:val="clear" w:color="auto" w:fill="FFFFFF"/>
            <w:vAlign w:val="center"/>
          </w:tcPr>
          <w:p w:rsidR="00B9479A" w:rsidRDefault="00533AF7">
            <w:pPr>
              <w:spacing w:line="360" w:lineRule="auto"/>
              <w:jc w:val="center"/>
              <w:rPr>
                <w:b/>
                <w:bCs/>
                <w:color w:val="000000"/>
                <w:sz w:val="24"/>
                <w:szCs w:val="24"/>
              </w:rPr>
            </w:pPr>
            <w:r>
              <w:rPr>
                <w:rFonts w:hint="eastAsia"/>
                <w:b/>
                <w:bCs/>
                <w:color w:val="000000"/>
                <w:sz w:val="24"/>
                <w:szCs w:val="24"/>
              </w:rPr>
              <w:t>1</w:t>
            </w:r>
            <w:r>
              <w:rPr>
                <w:b/>
                <w:bCs/>
                <w:color w:val="000000"/>
                <w:sz w:val="24"/>
                <w:szCs w:val="24"/>
              </w:rPr>
              <w:t>4.47</w:t>
            </w:r>
          </w:p>
        </w:tc>
        <w:tc>
          <w:tcPr>
            <w:tcW w:w="851" w:type="dxa"/>
            <w:vMerge/>
            <w:tcBorders>
              <w:left w:val="nil"/>
              <w:right w:val="nil"/>
            </w:tcBorders>
            <w:shd w:val="clear" w:color="auto" w:fill="FFFFFF"/>
            <w:vAlign w:val="center"/>
          </w:tcPr>
          <w:p w:rsidR="00B9479A" w:rsidRDefault="00B9479A">
            <w:pPr>
              <w:spacing w:line="360" w:lineRule="auto"/>
              <w:jc w:val="center"/>
              <w:rPr>
                <w:b/>
                <w:bCs/>
                <w:color w:val="000000"/>
                <w:sz w:val="24"/>
                <w:szCs w:val="24"/>
              </w:rPr>
            </w:pPr>
          </w:p>
        </w:tc>
        <w:tc>
          <w:tcPr>
            <w:tcW w:w="851" w:type="dxa"/>
            <w:vMerge/>
            <w:tcBorders>
              <w:left w:val="nil"/>
              <w:right w:val="nil"/>
            </w:tcBorders>
            <w:shd w:val="clear" w:color="auto" w:fill="FFFFFF"/>
            <w:vAlign w:val="center"/>
          </w:tcPr>
          <w:p w:rsidR="00B9479A" w:rsidRDefault="00B9479A">
            <w:pPr>
              <w:spacing w:line="360" w:lineRule="auto"/>
              <w:jc w:val="center"/>
              <w:rPr>
                <w:b/>
                <w:bCs/>
                <w:color w:val="000000"/>
                <w:sz w:val="24"/>
                <w:szCs w:val="24"/>
              </w:rPr>
            </w:pPr>
          </w:p>
        </w:tc>
        <w:tc>
          <w:tcPr>
            <w:tcW w:w="1135"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5</w:t>
            </w:r>
            <w:r>
              <w:rPr>
                <w:b/>
                <w:bCs/>
                <w:color w:val="000000" w:themeColor="text1"/>
                <w:sz w:val="24"/>
                <w:szCs w:val="24"/>
              </w:rPr>
              <w:t>17.19</w:t>
            </w:r>
          </w:p>
        </w:tc>
        <w:tc>
          <w:tcPr>
            <w:tcW w:w="1172"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.00812</w:t>
            </w:r>
          </w:p>
        </w:tc>
        <w:tc>
          <w:tcPr>
            <w:tcW w:w="1151"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.236</w:t>
            </w:r>
          </w:p>
        </w:tc>
        <w:tc>
          <w:tcPr>
            <w:tcW w:w="1123"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1</w:t>
            </w:r>
            <w:r>
              <w:rPr>
                <w:b/>
                <w:bCs/>
                <w:color w:val="000000" w:themeColor="text1"/>
                <w:sz w:val="24"/>
                <w:szCs w:val="24"/>
              </w:rPr>
              <w:t>3.77%</w:t>
            </w:r>
          </w:p>
        </w:tc>
      </w:tr>
      <w:tr w:rsidR="00B9479A">
        <w:trPr>
          <w:trHeight w:val="850"/>
          <w:jc w:val="center"/>
        </w:trPr>
        <w:tc>
          <w:tcPr>
            <w:tcW w:w="1404" w:type="dxa"/>
            <w:tcBorders>
              <w:top w:val="nil"/>
              <w:left w:val="nil"/>
              <w:bottom w:val="nil"/>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PDA-3</w:t>
            </w:r>
          </w:p>
        </w:tc>
        <w:tc>
          <w:tcPr>
            <w:tcW w:w="1692" w:type="dxa"/>
            <w:tcBorders>
              <w:top w:val="nil"/>
              <w:left w:val="nil"/>
              <w:bottom w:val="nil"/>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1</w:t>
            </w:r>
            <w:r>
              <w:rPr>
                <w:b/>
                <w:bCs/>
                <w:color w:val="000000"/>
                <w:sz w:val="24"/>
                <w:szCs w:val="24"/>
              </w:rPr>
              <w:t>3.06</w:t>
            </w:r>
          </w:p>
        </w:tc>
        <w:tc>
          <w:tcPr>
            <w:tcW w:w="851" w:type="dxa"/>
            <w:vMerge/>
            <w:tcBorders>
              <w:left w:val="nil"/>
              <w:right w:val="nil"/>
            </w:tcBorders>
            <w:shd w:val="clear" w:color="auto" w:fill="EBF1DD"/>
            <w:vAlign w:val="center"/>
          </w:tcPr>
          <w:p w:rsidR="00B9479A" w:rsidRDefault="00B9479A">
            <w:pPr>
              <w:spacing w:line="360" w:lineRule="auto"/>
              <w:jc w:val="center"/>
              <w:rPr>
                <w:b/>
                <w:bCs/>
                <w:color w:val="000000"/>
                <w:sz w:val="24"/>
                <w:szCs w:val="24"/>
              </w:rPr>
            </w:pPr>
          </w:p>
        </w:tc>
        <w:tc>
          <w:tcPr>
            <w:tcW w:w="851" w:type="dxa"/>
            <w:vMerge/>
            <w:tcBorders>
              <w:left w:val="nil"/>
              <w:right w:val="nil"/>
            </w:tcBorders>
            <w:shd w:val="clear" w:color="auto" w:fill="EBF1DD"/>
            <w:vAlign w:val="center"/>
          </w:tcPr>
          <w:p w:rsidR="00B9479A" w:rsidRDefault="00B9479A">
            <w:pPr>
              <w:spacing w:line="360" w:lineRule="auto"/>
              <w:jc w:val="center"/>
              <w:rPr>
                <w:b/>
                <w:bCs/>
                <w:color w:val="000000"/>
                <w:sz w:val="24"/>
                <w:szCs w:val="24"/>
              </w:rPr>
            </w:pPr>
          </w:p>
        </w:tc>
        <w:tc>
          <w:tcPr>
            <w:tcW w:w="1135" w:type="dxa"/>
            <w:tcBorders>
              <w:top w:val="nil"/>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5</w:t>
            </w:r>
            <w:r>
              <w:rPr>
                <w:b/>
                <w:bCs/>
                <w:color w:val="000000" w:themeColor="text1"/>
                <w:sz w:val="24"/>
                <w:szCs w:val="24"/>
              </w:rPr>
              <w:t>16.21</w:t>
            </w:r>
          </w:p>
        </w:tc>
        <w:tc>
          <w:tcPr>
            <w:tcW w:w="1172" w:type="dxa"/>
            <w:tcBorders>
              <w:top w:val="nil"/>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.00814</w:t>
            </w:r>
          </w:p>
        </w:tc>
        <w:tc>
          <w:tcPr>
            <w:tcW w:w="1151" w:type="dxa"/>
            <w:tcBorders>
              <w:top w:val="nil"/>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.122</w:t>
            </w:r>
          </w:p>
        </w:tc>
        <w:tc>
          <w:tcPr>
            <w:tcW w:w="1123" w:type="dxa"/>
            <w:tcBorders>
              <w:top w:val="nil"/>
              <w:left w:val="nil"/>
              <w:bottom w:val="nil"/>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2</w:t>
            </w:r>
            <w:r>
              <w:rPr>
                <w:b/>
                <w:bCs/>
                <w:color w:val="000000" w:themeColor="text1"/>
                <w:sz w:val="24"/>
                <w:szCs w:val="24"/>
              </w:rPr>
              <w:t>0.51%</w:t>
            </w:r>
          </w:p>
        </w:tc>
      </w:tr>
      <w:tr w:rsidR="00B9479A">
        <w:trPr>
          <w:trHeight w:val="850"/>
          <w:jc w:val="center"/>
        </w:trPr>
        <w:tc>
          <w:tcPr>
            <w:tcW w:w="1404" w:type="dxa"/>
            <w:tcBorders>
              <w:top w:val="nil"/>
              <w:left w:val="nil"/>
              <w:bottom w:val="nil"/>
              <w:right w:val="nil"/>
            </w:tcBorders>
            <w:shd w:val="clear" w:color="auto" w:fill="FFFFFF"/>
            <w:vAlign w:val="center"/>
          </w:tcPr>
          <w:p w:rsidR="00B9479A" w:rsidRDefault="00533AF7">
            <w:pPr>
              <w:spacing w:line="360" w:lineRule="auto"/>
              <w:jc w:val="center"/>
              <w:rPr>
                <w:b/>
                <w:bCs/>
                <w:color w:val="000000"/>
                <w:sz w:val="24"/>
                <w:szCs w:val="24"/>
              </w:rPr>
            </w:pPr>
            <w:r>
              <w:rPr>
                <w:rFonts w:hint="eastAsia"/>
                <w:b/>
                <w:bCs/>
                <w:color w:val="000000"/>
                <w:sz w:val="24"/>
                <w:szCs w:val="24"/>
              </w:rPr>
              <w:t>PDA-4</w:t>
            </w:r>
          </w:p>
        </w:tc>
        <w:tc>
          <w:tcPr>
            <w:tcW w:w="1692" w:type="dxa"/>
            <w:tcBorders>
              <w:top w:val="nil"/>
              <w:left w:val="nil"/>
              <w:bottom w:val="nil"/>
              <w:right w:val="nil"/>
            </w:tcBorders>
            <w:shd w:val="clear" w:color="auto" w:fill="FFFFFF"/>
            <w:vAlign w:val="center"/>
          </w:tcPr>
          <w:p w:rsidR="00B9479A" w:rsidRDefault="00533AF7">
            <w:pPr>
              <w:spacing w:line="360" w:lineRule="auto"/>
              <w:jc w:val="center"/>
              <w:rPr>
                <w:b/>
                <w:bCs/>
                <w:color w:val="000000"/>
                <w:sz w:val="24"/>
                <w:szCs w:val="24"/>
              </w:rPr>
            </w:pPr>
            <w:r>
              <w:rPr>
                <w:rFonts w:hint="eastAsia"/>
                <w:b/>
                <w:bCs/>
                <w:color w:val="000000"/>
                <w:sz w:val="24"/>
                <w:szCs w:val="24"/>
              </w:rPr>
              <w:t>1</w:t>
            </w:r>
            <w:r>
              <w:rPr>
                <w:b/>
                <w:bCs/>
                <w:color w:val="000000"/>
                <w:sz w:val="24"/>
                <w:szCs w:val="24"/>
              </w:rPr>
              <w:t>1.92</w:t>
            </w:r>
          </w:p>
        </w:tc>
        <w:tc>
          <w:tcPr>
            <w:tcW w:w="851" w:type="dxa"/>
            <w:vMerge/>
            <w:tcBorders>
              <w:left w:val="nil"/>
              <w:right w:val="nil"/>
            </w:tcBorders>
            <w:shd w:val="clear" w:color="auto" w:fill="FFFFFF"/>
            <w:vAlign w:val="center"/>
          </w:tcPr>
          <w:p w:rsidR="00B9479A" w:rsidRDefault="00B9479A">
            <w:pPr>
              <w:spacing w:line="360" w:lineRule="auto"/>
              <w:jc w:val="center"/>
              <w:rPr>
                <w:b/>
                <w:bCs/>
                <w:color w:val="000000"/>
                <w:sz w:val="24"/>
                <w:szCs w:val="24"/>
              </w:rPr>
            </w:pPr>
          </w:p>
        </w:tc>
        <w:tc>
          <w:tcPr>
            <w:tcW w:w="851" w:type="dxa"/>
            <w:vMerge/>
            <w:tcBorders>
              <w:left w:val="nil"/>
              <w:right w:val="nil"/>
            </w:tcBorders>
            <w:shd w:val="clear" w:color="auto" w:fill="FFFFFF"/>
            <w:vAlign w:val="center"/>
          </w:tcPr>
          <w:p w:rsidR="00B9479A" w:rsidRDefault="00B9479A">
            <w:pPr>
              <w:spacing w:line="360" w:lineRule="auto"/>
              <w:jc w:val="center"/>
              <w:rPr>
                <w:b/>
                <w:bCs/>
                <w:color w:val="000000"/>
                <w:sz w:val="24"/>
                <w:szCs w:val="24"/>
              </w:rPr>
            </w:pPr>
          </w:p>
        </w:tc>
        <w:tc>
          <w:tcPr>
            <w:tcW w:w="1135"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5</w:t>
            </w:r>
            <w:r>
              <w:rPr>
                <w:b/>
                <w:bCs/>
                <w:color w:val="000000" w:themeColor="text1"/>
                <w:sz w:val="24"/>
                <w:szCs w:val="24"/>
              </w:rPr>
              <w:t>56.16</w:t>
            </w:r>
          </w:p>
        </w:tc>
        <w:tc>
          <w:tcPr>
            <w:tcW w:w="1172"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.00755</w:t>
            </w:r>
          </w:p>
        </w:tc>
        <w:tc>
          <w:tcPr>
            <w:tcW w:w="1151"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.083</w:t>
            </w:r>
          </w:p>
        </w:tc>
        <w:tc>
          <w:tcPr>
            <w:tcW w:w="1123" w:type="dxa"/>
            <w:tcBorders>
              <w:top w:val="nil"/>
              <w:left w:val="nil"/>
              <w:bottom w:val="nil"/>
              <w:right w:val="nil"/>
            </w:tcBorders>
            <w:shd w:val="clear" w:color="auto" w:fill="FFFFFF"/>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2</w:t>
            </w:r>
            <w:r>
              <w:rPr>
                <w:b/>
                <w:bCs/>
                <w:color w:val="000000" w:themeColor="text1"/>
                <w:sz w:val="24"/>
                <w:szCs w:val="24"/>
              </w:rPr>
              <w:t>2</w:t>
            </w:r>
            <w:r>
              <w:rPr>
                <w:rFonts w:hint="eastAsia"/>
                <w:b/>
                <w:bCs/>
                <w:color w:val="000000" w:themeColor="text1"/>
                <w:sz w:val="24"/>
                <w:szCs w:val="24"/>
              </w:rPr>
              <w:t>.6</w:t>
            </w:r>
            <w:r>
              <w:rPr>
                <w:b/>
                <w:bCs/>
                <w:color w:val="000000" w:themeColor="text1"/>
                <w:sz w:val="24"/>
                <w:szCs w:val="24"/>
              </w:rPr>
              <w:t>5%</w:t>
            </w:r>
          </w:p>
        </w:tc>
      </w:tr>
      <w:tr w:rsidR="00B9479A">
        <w:trPr>
          <w:trHeight w:val="850"/>
          <w:jc w:val="center"/>
        </w:trPr>
        <w:tc>
          <w:tcPr>
            <w:tcW w:w="1404" w:type="dxa"/>
            <w:tcBorders>
              <w:top w:val="nil"/>
              <w:left w:val="nil"/>
              <w:bottom w:val="single" w:sz="12" w:space="0" w:color="9BBB59"/>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PDA(DOX)</w:t>
            </w:r>
          </w:p>
        </w:tc>
        <w:tc>
          <w:tcPr>
            <w:tcW w:w="1692" w:type="dxa"/>
            <w:tcBorders>
              <w:top w:val="nil"/>
              <w:left w:val="nil"/>
              <w:bottom w:val="single" w:sz="12" w:space="0" w:color="9BBB59"/>
              <w:right w:val="nil"/>
            </w:tcBorders>
            <w:shd w:val="clear" w:color="auto" w:fill="EBF1DD"/>
            <w:vAlign w:val="center"/>
          </w:tcPr>
          <w:p w:rsidR="00B9479A" w:rsidRDefault="00533AF7">
            <w:pPr>
              <w:spacing w:line="360" w:lineRule="auto"/>
              <w:jc w:val="center"/>
              <w:rPr>
                <w:b/>
                <w:bCs/>
                <w:color w:val="000000"/>
                <w:sz w:val="24"/>
                <w:szCs w:val="24"/>
              </w:rPr>
            </w:pPr>
            <w:r>
              <w:rPr>
                <w:rFonts w:hint="eastAsia"/>
                <w:b/>
                <w:bCs/>
                <w:color w:val="000000"/>
                <w:sz w:val="24"/>
                <w:szCs w:val="24"/>
              </w:rPr>
              <w:t>1</w:t>
            </w:r>
            <w:r>
              <w:rPr>
                <w:b/>
                <w:bCs/>
                <w:color w:val="000000"/>
                <w:sz w:val="24"/>
                <w:szCs w:val="24"/>
              </w:rPr>
              <w:t>4.12</w:t>
            </w:r>
          </w:p>
        </w:tc>
        <w:tc>
          <w:tcPr>
            <w:tcW w:w="851" w:type="dxa"/>
            <w:vMerge/>
            <w:tcBorders>
              <w:left w:val="nil"/>
              <w:bottom w:val="single" w:sz="12" w:space="0" w:color="9BBB59"/>
              <w:right w:val="nil"/>
            </w:tcBorders>
            <w:shd w:val="clear" w:color="auto" w:fill="EBF1DD"/>
            <w:vAlign w:val="center"/>
          </w:tcPr>
          <w:p w:rsidR="00B9479A" w:rsidRDefault="00B9479A">
            <w:pPr>
              <w:spacing w:line="360" w:lineRule="auto"/>
              <w:jc w:val="center"/>
              <w:rPr>
                <w:b/>
                <w:bCs/>
                <w:color w:val="000000"/>
                <w:sz w:val="24"/>
                <w:szCs w:val="24"/>
              </w:rPr>
            </w:pPr>
          </w:p>
        </w:tc>
        <w:tc>
          <w:tcPr>
            <w:tcW w:w="851" w:type="dxa"/>
            <w:vMerge/>
            <w:tcBorders>
              <w:left w:val="nil"/>
              <w:bottom w:val="single" w:sz="12" w:space="0" w:color="9BBB59"/>
              <w:right w:val="nil"/>
            </w:tcBorders>
            <w:shd w:val="clear" w:color="auto" w:fill="EBF1DD"/>
            <w:vAlign w:val="center"/>
          </w:tcPr>
          <w:p w:rsidR="00B9479A" w:rsidRDefault="00B9479A">
            <w:pPr>
              <w:spacing w:line="360" w:lineRule="auto"/>
              <w:jc w:val="center"/>
              <w:rPr>
                <w:b/>
                <w:bCs/>
                <w:color w:val="000000"/>
                <w:sz w:val="24"/>
                <w:szCs w:val="24"/>
              </w:rPr>
            </w:pPr>
          </w:p>
        </w:tc>
        <w:tc>
          <w:tcPr>
            <w:tcW w:w="1135" w:type="dxa"/>
            <w:tcBorders>
              <w:top w:val="nil"/>
              <w:left w:val="nil"/>
              <w:bottom w:val="single" w:sz="12" w:space="0" w:color="9BBB59"/>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4</w:t>
            </w:r>
            <w:r>
              <w:rPr>
                <w:b/>
                <w:bCs/>
                <w:color w:val="000000" w:themeColor="text1"/>
                <w:sz w:val="24"/>
                <w:szCs w:val="24"/>
              </w:rPr>
              <w:t>89.01</w:t>
            </w:r>
          </w:p>
        </w:tc>
        <w:tc>
          <w:tcPr>
            <w:tcW w:w="1172" w:type="dxa"/>
            <w:tcBorders>
              <w:top w:val="nil"/>
              <w:left w:val="nil"/>
              <w:bottom w:val="single" w:sz="12" w:space="0" w:color="9BBB59"/>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.00859</w:t>
            </w:r>
          </w:p>
        </w:tc>
        <w:tc>
          <w:tcPr>
            <w:tcW w:w="1151" w:type="dxa"/>
            <w:tcBorders>
              <w:top w:val="nil"/>
              <w:left w:val="nil"/>
              <w:bottom w:val="single" w:sz="12" w:space="0" w:color="9BBB59"/>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0</w:t>
            </w:r>
            <w:r>
              <w:rPr>
                <w:b/>
                <w:bCs/>
                <w:color w:val="000000" w:themeColor="text1"/>
                <w:sz w:val="24"/>
                <w:szCs w:val="24"/>
              </w:rPr>
              <w:t>.365</w:t>
            </w:r>
          </w:p>
        </w:tc>
        <w:tc>
          <w:tcPr>
            <w:tcW w:w="1123" w:type="dxa"/>
            <w:tcBorders>
              <w:top w:val="nil"/>
              <w:left w:val="nil"/>
              <w:bottom w:val="single" w:sz="12" w:space="0" w:color="9BBB59"/>
              <w:right w:val="nil"/>
            </w:tcBorders>
            <w:shd w:val="clear" w:color="auto" w:fill="EBF1DD"/>
            <w:vAlign w:val="center"/>
          </w:tcPr>
          <w:p w:rsidR="00B9479A" w:rsidRDefault="00533AF7">
            <w:pPr>
              <w:spacing w:line="360" w:lineRule="auto"/>
              <w:jc w:val="center"/>
              <w:rPr>
                <w:b/>
                <w:bCs/>
                <w:color w:val="000000" w:themeColor="text1"/>
                <w:sz w:val="24"/>
                <w:szCs w:val="24"/>
              </w:rPr>
            </w:pPr>
            <w:r>
              <w:rPr>
                <w:rFonts w:hint="eastAsia"/>
                <w:b/>
                <w:bCs/>
                <w:color w:val="000000" w:themeColor="text1"/>
                <w:sz w:val="24"/>
                <w:szCs w:val="24"/>
              </w:rPr>
              <w:t>1</w:t>
            </w:r>
            <w:r>
              <w:rPr>
                <w:b/>
                <w:bCs/>
                <w:color w:val="000000" w:themeColor="text1"/>
                <w:sz w:val="24"/>
                <w:szCs w:val="24"/>
              </w:rPr>
              <w:t>0.60%</w:t>
            </w:r>
          </w:p>
        </w:tc>
      </w:tr>
    </w:tbl>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480" w:lineRule="auto"/>
        <w:rPr>
          <w:sz w:val="24"/>
          <w:szCs w:val="24"/>
        </w:rPr>
      </w:pPr>
    </w:p>
    <w:p w:rsidR="00B9479A" w:rsidRDefault="00B9479A">
      <w:pPr>
        <w:spacing w:line="480" w:lineRule="auto"/>
        <w:rPr>
          <w:sz w:val="24"/>
          <w:szCs w:val="24"/>
        </w:rPr>
      </w:pPr>
    </w:p>
    <w:p w:rsidR="00B9479A" w:rsidRDefault="00533AF7">
      <w:pPr>
        <w:spacing w:afterLines="100" w:after="312" w:line="480" w:lineRule="auto"/>
        <w:jc w:val="center"/>
        <w:rPr>
          <w:sz w:val="24"/>
          <w:szCs w:val="24"/>
        </w:rPr>
      </w:pPr>
      <w:r>
        <w:rPr>
          <w:noProof/>
          <w:lang w:eastAsia="en-US"/>
        </w:rPr>
        <w:drawing>
          <wp:inline distT="0" distB="0" distL="0" distR="0">
            <wp:extent cx="3912870" cy="811974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913200" cy="8120359"/>
                    </a:xfrm>
                    <a:prstGeom prst="rect">
                      <a:avLst/>
                    </a:prstGeom>
                    <a:noFill/>
                    <a:ln>
                      <a:noFill/>
                    </a:ln>
                  </pic:spPr>
                </pic:pic>
              </a:graphicData>
            </a:graphic>
          </wp:inline>
        </w:drawing>
      </w:r>
    </w:p>
    <w:p w:rsidR="00B9479A" w:rsidRDefault="00533AF7">
      <w:pPr>
        <w:snapToGrid w:val="0"/>
        <w:spacing w:beforeLines="50" w:before="156" w:afterLines="50" w:after="156" w:line="480" w:lineRule="auto"/>
        <w:jc w:val="center"/>
        <w:rPr>
          <w:sz w:val="24"/>
          <w:szCs w:val="24"/>
        </w:rPr>
      </w:pPr>
      <w:r>
        <w:rPr>
          <w:rFonts w:hint="eastAsia"/>
          <w:b/>
          <w:bCs/>
          <w:sz w:val="24"/>
          <w:szCs w:val="24"/>
        </w:rPr>
        <w:t>Fig</w:t>
      </w:r>
      <w:r>
        <w:rPr>
          <w:b/>
          <w:bCs/>
          <w:sz w:val="24"/>
          <w:szCs w:val="24"/>
        </w:rPr>
        <w:t>ure</w:t>
      </w:r>
      <w:r>
        <w:rPr>
          <w:rFonts w:hint="eastAsia"/>
          <w:b/>
          <w:bCs/>
          <w:sz w:val="24"/>
          <w:szCs w:val="24"/>
        </w:rPr>
        <w:t xml:space="preserve"> S</w:t>
      </w:r>
      <w:r>
        <w:rPr>
          <w:b/>
          <w:bCs/>
          <w:sz w:val="24"/>
          <w:szCs w:val="24"/>
        </w:rPr>
        <w:t>5.</w:t>
      </w:r>
      <w:r>
        <w:rPr>
          <w:rFonts w:hint="eastAsia"/>
          <w:b/>
          <w:bCs/>
          <w:sz w:val="24"/>
          <w:szCs w:val="24"/>
        </w:rPr>
        <w:t xml:space="preserve"> </w:t>
      </w:r>
      <w:r>
        <w:rPr>
          <w:sz w:val="24"/>
          <w:szCs w:val="24"/>
        </w:rPr>
        <w:t>T</w:t>
      </w:r>
      <w:r>
        <w:rPr>
          <w:rFonts w:hint="eastAsia"/>
          <w:sz w:val="24"/>
        </w:rPr>
        <w:t>emperature rise and fall curves</w:t>
      </w:r>
      <w:r>
        <w:rPr>
          <w:sz w:val="24"/>
        </w:rPr>
        <w:t xml:space="preserve"> of (a, c, e, g) PDA-</w:t>
      </w:r>
      <w:r>
        <w:rPr>
          <w:i/>
          <w:iCs/>
          <w:sz w:val="24"/>
        </w:rPr>
        <w:t>i</w:t>
      </w:r>
      <w:r>
        <w:rPr>
          <w:sz w:val="24"/>
        </w:rPr>
        <w:t xml:space="preserve"> and (i) PDA(DOX)</w:t>
      </w:r>
      <w:r>
        <w:rPr>
          <w:rFonts w:hint="eastAsia"/>
          <w:sz w:val="24"/>
        </w:rPr>
        <w:t xml:space="preserve"> and liner time data versus - ln</w:t>
      </w:r>
      <w:r>
        <w:rPr>
          <w:sz w:val="24"/>
        </w:rPr>
        <w:t>θ</w:t>
      </w:r>
      <w:r>
        <w:rPr>
          <w:rFonts w:hint="eastAsia"/>
          <w:sz w:val="24"/>
        </w:rPr>
        <w:t xml:space="preserve"> from the cooling of </w:t>
      </w:r>
      <w:r>
        <w:rPr>
          <w:sz w:val="24"/>
        </w:rPr>
        <w:t xml:space="preserve">(b, d, f, h) </w:t>
      </w:r>
      <w:r>
        <w:rPr>
          <w:rFonts w:hint="eastAsia"/>
          <w:sz w:val="24"/>
        </w:rPr>
        <w:t>PDA</w:t>
      </w:r>
      <w:r>
        <w:rPr>
          <w:sz w:val="24"/>
        </w:rPr>
        <w:t>-</w:t>
      </w:r>
      <w:r>
        <w:rPr>
          <w:i/>
          <w:iCs/>
          <w:sz w:val="24"/>
        </w:rPr>
        <w:t>i</w:t>
      </w:r>
      <w:r>
        <w:rPr>
          <w:rFonts w:hint="eastAsia"/>
          <w:sz w:val="24"/>
        </w:rPr>
        <w:t xml:space="preserve"> or </w:t>
      </w:r>
      <w:r>
        <w:rPr>
          <w:sz w:val="24"/>
        </w:rPr>
        <w:t xml:space="preserve">(j) </w:t>
      </w:r>
      <w:r>
        <w:rPr>
          <w:rFonts w:hint="eastAsia"/>
          <w:sz w:val="24"/>
        </w:rPr>
        <w:t xml:space="preserve">PDA(DOX) for obtaining the </w:t>
      </w:r>
      <w:r>
        <w:rPr>
          <w:sz w:val="24"/>
          <w:szCs w:val="24"/>
        </w:rPr>
        <w:t>τ</w:t>
      </w:r>
      <w:r>
        <w:rPr>
          <w:rFonts w:hint="eastAsia"/>
          <w:sz w:val="24"/>
          <w:szCs w:val="24"/>
          <w:vertAlign w:val="subscript"/>
        </w:rPr>
        <w:t>s</w:t>
      </w:r>
      <w:r>
        <w:rPr>
          <w:sz w:val="24"/>
          <w:szCs w:val="24"/>
        </w:rPr>
        <w:t>.</w:t>
      </w:r>
    </w:p>
    <w:p w:rsidR="00B9479A" w:rsidRDefault="00B9479A">
      <w:pPr>
        <w:spacing w:line="360" w:lineRule="auto"/>
        <w:rPr>
          <w:sz w:val="24"/>
          <w:szCs w:val="24"/>
        </w:rPr>
        <w:sectPr w:rsidR="00B9479A" w:rsidSect="00533AF7">
          <w:footerReference w:type="default" r:id="rId29"/>
          <w:type w:val="continuous"/>
          <w:pgSz w:w="11906" w:h="16838"/>
          <w:pgMar w:top="850" w:right="850" w:bottom="850" w:left="850" w:header="851" w:footer="992" w:gutter="0"/>
          <w:cols w:space="720"/>
          <w:docGrid w:type="lines" w:linePitch="312"/>
        </w:sectPr>
      </w:pPr>
    </w:p>
    <w:p w:rsidR="00B9479A" w:rsidRDefault="00B9479A">
      <w:pPr>
        <w:spacing w:line="360" w:lineRule="auto"/>
        <w:rPr>
          <w:sz w:val="24"/>
          <w:szCs w:val="24"/>
        </w:rPr>
      </w:pPr>
    </w:p>
    <w:p w:rsidR="00B9479A" w:rsidRDefault="00533AF7">
      <w:pPr>
        <w:spacing w:beforeLines="50" w:before="156" w:afterLines="100" w:after="312" w:line="480" w:lineRule="auto"/>
        <w:rPr>
          <w:sz w:val="24"/>
          <w:szCs w:val="24"/>
        </w:rPr>
      </w:pPr>
      <w:r>
        <w:rPr>
          <w:b/>
          <w:bCs/>
          <w:sz w:val="24"/>
          <w:szCs w:val="24"/>
        </w:rPr>
        <w:t>T</w:t>
      </w:r>
      <w:r>
        <w:rPr>
          <w:rFonts w:hint="eastAsia"/>
          <w:b/>
          <w:bCs/>
          <w:sz w:val="24"/>
          <w:szCs w:val="24"/>
        </w:rPr>
        <w:t>able</w:t>
      </w:r>
      <w:r>
        <w:rPr>
          <w:b/>
          <w:bCs/>
          <w:sz w:val="24"/>
          <w:szCs w:val="24"/>
        </w:rPr>
        <w:t xml:space="preserve"> S2. </w:t>
      </w:r>
      <w:r>
        <w:rPr>
          <w:rFonts w:hint="eastAsia"/>
          <w:sz w:val="24"/>
          <w:szCs w:val="24"/>
        </w:rPr>
        <w:t>The diameter (D), absorbance value at 808 nm (</w:t>
      </w:r>
      <w:r>
        <w:rPr>
          <w:rFonts w:hint="eastAsia"/>
          <w:i/>
          <w:iCs/>
          <w:sz w:val="24"/>
          <w:szCs w:val="24"/>
        </w:rPr>
        <w:t>A</w:t>
      </w:r>
      <w:r>
        <w:rPr>
          <w:rFonts w:hint="eastAsia"/>
          <w:sz w:val="24"/>
          <w:szCs w:val="24"/>
          <w:vertAlign w:val="subscript"/>
        </w:rPr>
        <w:t>808</w:t>
      </w:r>
      <w:r>
        <w:rPr>
          <w:sz w:val="24"/>
          <w:szCs w:val="24"/>
          <w:vertAlign w:val="subscript"/>
        </w:rPr>
        <w:t xml:space="preserve"> nm</w:t>
      </w:r>
      <w:r>
        <w:rPr>
          <w:rFonts w:hint="eastAsia"/>
          <w:sz w:val="24"/>
          <w:szCs w:val="24"/>
        </w:rPr>
        <w:t>), volume (</w:t>
      </w:r>
      <w:r>
        <w:rPr>
          <w:rFonts w:hint="eastAsia"/>
          <w:i/>
          <w:iCs/>
          <w:sz w:val="24"/>
          <w:szCs w:val="24"/>
        </w:rPr>
        <w:t>V</w:t>
      </w:r>
      <w:r>
        <w:rPr>
          <w:rFonts w:hint="eastAsia"/>
          <w:sz w:val="24"/>
          <w:szCs w:val="24"/>
          <w:vertAlign w:val="subscript"/>
        </w:rPr>
        <w:t>NC</w:t>
      </w:r>
      <w:r>
        <w:rPr>
          <w:rFonts w:hint="eastAsia"/>
          <w:sz w:val="24"/>
          <w:szCs w:val="24"/>
        </w:rPr>
        <w:t>), and mass concentration (C</w:t>
      </w:r>
      <w:r>
        <w:rPr>
          <w:rFonts w:hint="eastAsia"/>
          <w:sz w:val="24"/>
          <w:szCs w:val="24"/>
          <w:vertAlign w:val="subscript"/>
        </w:rPr>
        <w:t>wt</w:t>
      </w:r>
      <w:r>
        <w:rPr>
          <w:rFonts w:hint="eastAsia"/>
          <w:sz w:val="24"/>
          <w:szCs w:val="24"/>
        </w:rPr>
        <w:t xml:space="preserve">) of PDA and PDA(DOX) nanoparticles for calculating molar </w:t>
      </w:r>
      <w:r>
        <w:rPr>
          <w:sz w:val="24"/>
          <w:szCs w:val="24"/>
        </w:rPr>
        <w:t>absorption</w:t>
      </w:r>
      <w:r>
        <w:rPr>
          <w:rFonts w:hint="eastAsia"/>
          <w:sz w:val="24"/>
          <w:szCs w:val="24"/>
        </w:rPr>
        <w:t xml:space="preserve"> co</w:t>
      </w:r>
      <w:r>
        <w:rPr>
          <w:sz w:val="24"/>
          <w:szCs w:val="24"/>
        </w:rPr>
        <w:t>efficients at 808 nm (</w:t>
      </w:r>
      <w:r>
        <w:rPr>
          <w:sz w:val="30"/>
          <w:szCs w:val="30"/>
        </w:rPr>
        <w:t>ε</w:t>
      </w:r>
      <w:r>
        <w:rPr>
          <w:rFonts w:hint="eastAsia"/>
          <w:sz w:val="24"/>
          <w:szCs w:val="24"/>
          <w:vertAlign w:val="subscript"/>
        </w:rPr>
        <w:t>808</w:t>
      </w:r>
      <w:r>
        <w:rPr>
          <w:sz w:val="24"/>
          <w:szCs w:val="24"/>
          <w:vertAlign w:val="subscript"/>
        </w:rPr>
        <w:t xml:space="preserve"> nm</w:t>
      </w:r>
      <w:r>
        <w:rPr>
          <w:sz w:val="24"/>
          <w:szCs w:val="24"/>
        </w:rPr>
        <w:t>)</w:t>
      </w:r>
      <w:r>
        <w:rPr>
          <w:rFonts w:hint="eastAsia"/>
          <w:sz w:val="24"/>
          <w:szCs w:val="24"/>
        </w:rPr>
        <w:t>, absorption cross-section (</w:t>
      </w:r>
      <w:r>
        <w:rPr>
          <w:rFonts w:eastAsia="Microsoft YaHei"/>
          <w:sz w:val="24"/>
          <w:szCs w:val="24"/>
        </w:rPr>
        <w:t>σ</w:t>
      </w:r>
      <w:r>
        <w:rPr>
          <w:rFonts w:hint="eastAsia"/>
          <w:sz w:val="24"/>
          <w:szCs w:val="24"/>
          <w:vertAlign w:val="subscript"/>
        </w:rPr>
        <w:t>808 nm</w:t>
      </w:r>
      <w:r>
        <w:rPr>
          <w:rFonts w:hint="eastAsia"/>
          <w:sz w:val="24"/>
          <w:szCs w:val="24"/>
        </w:rPr>
        <w:t xml:space="preserve">), and </w:t>
      </w:r>
      <w:r>
        <w:rPr>
          <w:sz w:val="24"/>
          <w:szCs w:val="24"/>
        </w:rPr>
        <w:t xml:space="preserve">absorption efficiency </w:t>
      </w:r>
      <w:r>
        <w:rPr>
          <w:rFonts w:hint="eastAsia"/>
          <w:sz w:val="24"/>
          <w:szCs w:val="24"/>
        </w:rPr>
        <w:t xml:space="preserve">factor </w:t>
      </w:r>
      <w:r>
        <w:rPr>
          <w:sz w:val="24"/>
          <w:szCs w:val="24"/>
        </w:rPr>
        <w:t>(Q</w:t>
      </w:r>
      <w:r>
        <w:rPr>
          <w:sz w:val="24"/>
          <w:szCs w:val="24"/>
          <w:vertAlign w:val="subscript"/>
        </w:rPr>
        <w:t>808 nm</w:t>
      </w:r>
      <w:r>
        <w:rPr>
          <w:sz w:val="24"/>
          <w:szCs w:val="24"/>
        </w:rPr>
        <w:t>)</w:t>
      </w:r>
      <w:r>
        <w:rPr>
          <w:rFonts w:hint="eastAsia"/>
          <w:sz w:val="24"/>
          <w:szCs w:val="24"/>
        </w:rPr>
        <w:t>.</w:t>
      </w:r>
    </w:p>
    <w:tbl>
      <w:tblPr>
        <w:tblStyle w:val="TableGrid"/>
        <w:tblW w:w="14378" w:type="dxa"/>
        <w:jc w:val="center"/>
        <w:tblLayout w:type="fixed"/>
        <w:tblLook w:val="04A0" w:firstRow="1" w:lastRow="0" w:firstColumn="1" w:lastColumn="0" w:noHBand="0" w:noVBand="1"/>
      </w:tblPr>
      <w:tblGrid>
        <w:gridCol w:w="1944"/>
        <w:gridCol w:w="1667"/>
        <w:gridCol w:w="1668"/>
        <w:gridCol w:w="1668"/>
        <w:gridCol w:w="1668"/>
        <w:gridCol w:w="1873"/>
        <w:gridCol w:w="1945"/>
        <w:gridCol w:w="1945"/>
      </w:tblGrid>
      <w:tr w:rsidR="00B9479A">
        <w:trPr>
          <w:jc w:val="center"/>
        </w:trPr>
        <w:tc>
          <w:tcPr>
            <w:tcW w:w="1944" w:type="dxa"/>
            <w:tcBorders>
              <w:top w:val="single" w:sz="12" w:space="0" w:color="4F81BD"/>
              <w:left w:val="nil"/>
              <w:bottom w:val="single" w:sz="12" w:space="0" w:color="4F81BD"/>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Samples</w:t>
            </w:r>
          </w:p>
        </w:tc>
        <w:tc>
          <w:tcPr>
            <w:tcW w:w="1667" w:type="dxa"/>
            <w:tcBorders>
              <w:top w:val="single" w:sz="12" w:space="0" w:color="4F81BD"/>
              <w:left w:val="nil"/>
              <w:bottom w:val="single" w:sz="12" w:space="0" w:color="4F81BD"/>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D (nm)</w:t>
            </w:r>
          </w:p>
        </w:tc>
        <w:tc>
          <w:tcPr>
            <w:tcW w:w="1668" w:type="dxa"/>
            <w:tcBorders>
              <w:top w:val="single" w:sz="12" w:space="0" w:color="4F81BD"/>
              <w:left w:val="nil"/>
              <w:bottom w:val="single" w:sz="12" w:space="0" w:color="4F81BD"/>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A</w:t>
            </w:r>
            <w:r>
              <w:rPr>
                <w:rFonts w:hint="eastAsia"/>
                <w:b/>
                <w:bCs/>
                <w:color w:val="000000"/>
                <w:sz w:val="24"/>
                <w:szCs w:val="24"/>
                <w:vertAlign w:val="subscript"/>
              </w:rPr>
              <w:t>808 nm</w:t>
            </w:r>
          </w:p>
        </w:tc>
        <w:tc>
          <w:tcPr>
            <w:tcW w:w="1668" w:type="dxa"/>
            <w:tcBorders>
              <w:top w:val="single" w:sz="12" w:space="0" w:color="4F81BD"/>
              <w:left w:val="nil"/>
              <w:bottom w:val="single" w:sz="12" w:space="0" w:color="4F81BD"/>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i/>
                <w:iCs/>
                <w:color w:val="000000"/>
                <w:sz w:val="24"/>
                <w:szCs w:val="24"/>
              </w:rPr>
              <w:t>V</w:t>
            </w:r>
            <w:r>
              <w:rPr>
                <w:rFonts w:hint="eastAsia"/>
                <w:b/>
                <w:bCs/>
                <w:color w:val="000000"/>
                <w:sz w:val="24"/>
                <w:szCs w:val="24"/>
                <w:vertAlign w:val="subscript"/>
              </w:rPr>
              <w:t>NC</w:t>
            </w:r>
            <w:r>
              <w:rPr>
                <w:rFonts w:hint="eastAsia"/>
                <w:b/>
                <w:bCs/>
                <w:color w:val="000000"/>
                <w:sz w:val="24"/>
                <w:szCs w:val="24"/>
              </w:rPr>
              <w:t xml:space="preserve"> (nm</w:t>
            </w:r>
            <w:r>
              <w:rPr>
                <w:rFonts w:hint="eastAsia"/>
                <w:b/>
                <w:bCs/>
                <w:color w:val="000000"/>
                <w:sz w:val="24"/>
                <w:szCs w:val="24"/>
                <w:vertAlign w:val="superscript"/>
              </w:rPr>
              <w:t>3</w:t>
            </w:r>
            <w:r>
              <w:rPr>
                <w:rFonts w:hint="eastAsia"/>
                <w:b/>
                <w:bCs/>
                <w:color w:val="000000"/>
                <w:sz w:val="24"/>
                <w:szCs w:val="24"/>
              </w:rPr>
              <w:t>)</w:t>
            </w:r>
          </w:p>
        </w:tc>
        <w:tc>
          <w:tcPr>
            <w:tcW w:w="1668" w:type="dxa"/>
            <w:tcBorders>
              <w:top w:val="single" w:sz="12" w:space="0" w:color="4F81BD"/>
              <w:left w:val="nil"/>
              <w:bottom w:val="single" w:sz="12" w:space="0" w:color="4F81BD"/>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C</w:t>
            </w:r>
            <w:r>
              <w:rPr>
                <w:rFonts w:hint="eastAsia"/>
                <w:b/>
                <w:bCs/>
                <w:color w:val="000000"/>
                <w:sz w:val="24"/>
                <w:szCs w:val="24"/>
                <w:vertAlign w:val="subscript"/>
              </w:rPr>
              <w:t>wt</w:t>
            </w:r>
            <w:r>
              <w:rPr>
                <w:rFonts w:hint="eastAsia"/>
                <w:b/>
                <w:bCs/>
                <w:color w:val="000000"/>
                <w:sz w:val="24"/>
                <w:szCs w:val="24"/>
              </w:rPr>
              <w:t xml:space="preserve"> (g</w:t>
            </w:r>
            <w:r>
              <w:rPr>
                <w:b/>
                <w:bCs/>
                <w:color w:val="000000"/>
                <w:sz w:val="24"/>
                <w:szCs w:val="24"/>
              </w:rPr>
              <w:t xml:space="preserve"> </w:t>
            </w:r>
            <w:r>
              <w:rPr>
                <w:rFonts w:hint="eastAsia"/>
                <w:b/>
                <w:bCs/>
                <w:color w:val="000000"/>
                <w:sz w:val="24"/>
                <w:szCs w:val="24"/>
              </w:rPr>
              <w:t>L</w:t>
            </w:r>
            <w:r>
              <w:rPr>
                <w:b/>
                <w:bCs/>
                <w:color w:val="000000"/>
                <w:sz w:val="24"/>
                <w:szCs w:val="24"/>
                <w:vertAlign w:val="superscript"/>
              </w:rPr>
              <w:t>-1</w:t>
            </w:r>
            <w:r>
              <w:rPr>
                <w:rFonts w:hint="eastAsia"/>
                <w:b/>
                <w:bCs/>
                <w:color w:val="000000"/>
                <w:sz w:val="24"/>
                <w:szCs w:val="24"/>
              </w:rPr>
              <w:t>)</w:t>
            </w:r>
          </w:p>
        </w:tc>
        <w:tc>
          <w:tcPr>
            <w:tcW w:w="1873" w:type="dxa"/>
            <w:tcBorders>
              <w:top w:val="single" w:sz="12" w:space="0" w:color="4F81BD"/>
              <w:left w:val="nil"/>
              <w:bottom w:val="single" w:sz="12" w:space="0" w:color="4F81BD"/>
              <w:right w:val="nil"/>
            </w:tcBorders>
            <w:shd w:val="clear" w:color="auto" w:fill="FFFFFF"/>
          </w:tcPr>
          <w:p w:rsidR="00B9479A" w:rsidRDefault="00533AF7">
            <w:pPr>
              <w:spacing w:beforeLines="50" w:before="156" w:afterLines="50" w:after="156" w:line="480" w:lineRule="auto"/>
              <w:jc w:val="center"/>
              <w:rPr>
                <w:rFonts w:eastAsia="Microsoft YaHei"/>
                <w:b/>
                <w:bCs/>
                <w:color w:val="000000"/>
                <w:sz w:val="44"/>
                <w:szCs w:val="44"/>
              </w:rPr>
            </w:pPr>
            <w:r>
              <w:rPr>
                <w:rFonts w:eastAsia="Microsoft YaHei"/>
                <w:b/>
                <w:bCs/>
                <w:sz w:val="36"/>
                <w:szCs w:val="36"/>
              </w:rPr>
              <w:t>σ</w:t>
            </w:r>
            <w:r>
              <w:rPr>
                <w:rFonts w:hint="eastAsia"/>
                <w:b/>
                <w:bCs/>
                <w:sz w:val="24"/>
                <w:szCs w:val="24"/>
                <w:vertAlign w:val="subscript"/>
              </w:rPr>
              <w:t xml:space="preserve">808 nm </w:t>
            </w:r>
            <w:r>
              <w:rPr>
                <w:rFonts w:hint="eastAsia"/>
                <w:b/>
                <w:bCs/>
                <w:sz w:val="24"/>
                <w:szCs w:val="24"/>
              </w:rPr>
              <w:t>(m</w:t>
            </w:r>
            <w:r>
              <w:rPr>
                <w:rFonts w:hint="eastAsia"/>
                <w:b/>
                <w:bCs/>
                <w:sz w:val="24"/>
                <w:szCs w:val="24"/>
                <w:vertAlign w:val="superscript"/>
              </w:rPr>
              <w:t>2</w:t>
            </w:r>
            <w:r>
              <w:rPr>
                <w:rFonts w:hint="eastAsia"/>
                <w:b/>
                <w:bCs/>
                <w:sz w:val="24"/>
                <w:szCs w:val="24"/>
              </w:rPr>
              <w:t>)</w:t>
            </w:r>
          </w:p>
        </w:tc>
        <w:tc>
          <w:tcPr>
            <w:tcW w:w="1945" w:type="dxa"/>
            <w:tcBorders>
              <w:top w:val="single" w:sz="12" w:space="0" w:color="4F81BD"/>
              <w:left w:val="nil"/>
              <w:bottom w:val="single" w:sz="12" w:space="0" w:color="4F81BD"/>
              <w:right w:val="nil"/>
            </w:tcBorders>
            <w:shd w:val="clear" w:color="auto" w:fill="FFFFFF"/>
            <w:vAlign w:val="center"/>
          </w:tcPr>
          <w:p w:rsidR="00B9479A" w:rsidRDefault="00533AF7">
            <w:pPr>
              <w:spacing w:beforeLines="50" w:before="156" w:afterLines="50" w:after="156" w:line="480" w:lineRule="auto"/>
              <w:jc w:val="center"/>
              <w:rPr>
                <w:rFonts w:eastAsia="Microsoft YaHei"/>
                <w:b/>
                <w:bCs/>
                <w:color w:val="000000"/>
                <w:sz w:val="44"/>
                <w:szCs w:val="44"/>
              </w:rPr>
            </w:pPr>
            <w:r>
              <w:rPr>
                <w:b/>
                <w:bCs/>
                <w:sz w:val="24"/>
                <w:szCs w:val="24"/>
              </w:rPr>
              <w:t>Q</w:t>
            </w:r>
            <w:r>
              <w:rPr>
                <w:b/>
                <w:bCs/>
                <w:sz w:val="24"/>
                <w:szCs w:val="24"/>
                <w:vertAlign w:val="subscript"/>
              </w:rPr>
              <w:t>808 nm</w:t>
            </w:r>
          </w:p>
        </w:tc>
        <w:tc>
          <w:tcPr>
            <w:tcW w:w="1945" w:type="dxa"/>
            <w:tcBorders>
              <w:top w:val="single" w:sz="12" w:space="0" w:color="4F81BD"/>
              <w:left w:val="nil"/>
              <w:bottom w:val="single" w:sz="12" w:space="0" w:color="4F81BD"/>
              <w:right w:val="nil"/>
            </w:tcBorders>
            <w:shd w:val="clear" w:color="auto" w:fill="FFFFFF"/>
            <w:vAlign w:val="center"/>
          </w:tcPr>
          <w:p w:rsidR="00B9479A" w:rsidRDefault="00533AF7">
            <w:pPr>
              <w:spacing w:beforeLines="50" w:before="156" w:afterLines="50" w:after="156" w:line="480" w:lineRule="auto"/>
              <w:jc w:val="center"/>
              <w:rPr>
                <w:b/>
                <w:bCs/>
                <w:sz w:val="24"/>
                <w:szCs w:val="24"/>
              </w:rPr>
            </w:pPr>
            <w:r>
              <w:rPr>
                <w:rFonts w:eastAsia="Microsoft YaHei"/>
                <w:b/>
                <w:bCs/>
                <w:color w:val="000000"/>
                <w:sz w:val="36"/>
                <w:szCs w:val="36"/>
              </w:rPr>
              <w:t>ε</w:t>
            </w:r>
            <w:r>
              <w:rPr>
                <w:rFonts w:eastAsia="Microsoft YaHei"/>
                <w:b/>
                <w:bCs/>
                <w:color w:val="000000"/>
                <w:sz w:val="24"/>
                <w:szCs w:val="24"/>
                <w:vertAlign w:val="subscript"/>
              </w:rPr>
              <w:t>808 nm</w:t>
            </w:r>
            <w:r>
              <w:rPr>
                <w:rFonts w:eastAsia="Microsoft YaHei"/>
                <w:b/>
                <w:bCs/>
                <w:color w:val="000000"/>
                <w:sz w:val="24"/>
                <w:szCs w:val="24"/>
              </w:rPr>
              <w:t xml:space="preserve"> </w:t>
            </w:r>
            <w:r>
              <w:rPr>
                <w:rFonts w:eastAsia="Microsoft YaHei" w:hint="eastAsia"/>
                <w:b/>
                <w:bCs/>
                <w:color w:val="000000"/>
                <w:sz w:val="24"/>
                <w:szCs w:val="24"/>
              </w:rPr>
              <w:t>(M</w:t>
            </w:r>
            <w:r>
              <w:rPr>
                <w:rFonts w:eastAsia="Microsoft YaHei" w:hint="eastAsia"/>
                <w:b/>
                <w:bCs/>
                <w:color w:val="000000"/>
                <w:sz w:val="24"/>
                <w:szCs w:val="24"/>
                <w:vertAlign w:val="superscript"/>
              </w:rPr>
              <w:t xml:space="preserve">-1 </w:t>
            </w:r>
            <w:r>
              <w:rPr>
                <w:rFonts w:eastAsia="Microsoft YaHei" w:hint="eastAsia"/>
                <w:b/>
                <w:bCs/>
                <w:color w:val="000000"/>
                <w:sz w:val="24"/>
                <w:szCs w:val="24"/>
              </w:rPr>
              <w:t>cm</w:t>
            </w:r>
            <w:r>
              <w:rPr>
                <w:rFonts w:eastAsia="Microsoft YaHei" w:hint="eastAsia"/>
                <w:b/>
                <w:bCs/>
                <w:color w:val="000000"/>
                <w:sz w:val="24"/>
                <w:szCs w:val="24"/>
                <w:vertAlign w:val="superscript"/>
              </w:rPr>
              <w:t>-1</w:t>
            </w:r>
            <w:r>
              <w:rPr>
                <w:rFonts w:eastAsia="Microsoft YaHei" w:hint="eastAsia"/>
                <w:b/>
                <w:bCs/>
                <w:color w:val="000000"/>
                <w:sz w:val="24"/>
                <w:szCs w:val="24"/>
              </w:rPr>
              <w:t>)</w:t>
            </w:r>
          </w:p>
        </w:tc>
      </w:tr>
      <w:tr w:rsidR="00B9479A">
        <w:trPr>
          <w:jc w:val="center"/>
        </w:trPr>
        <w:tc>
          <w:tcPr>
            <w:tcW w:w="1944" w:type="dxa"/>
            <w:tcBorders>
              <w:top w:val="single" w:sz="12" w:space="0" w:color="4F81BD"/>
              <w:left w:val="nil"/>
              <w:bottom w:val="nil"/>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PDA-1</w:t>
            </w:r>
          </w:p>
        </w:tc>
        <w:tc>
          <w:tcPr>
            <w:tcW w:w="1667" w:type="dxa"/>
            <w:tcBorders>
              <w:top w:val="single" w:sz="12" w:space="0" w:color="4F81BD"/>
              <w:left w:val="nil"/>
              <w:bottom w:val="nil"/>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333.73</w:t>
            </w:r>
          </w:p>
        </w:tc>
        <w:tc>
          <w:tcPr>
            <w:tcW w:w="1668" w:type="dxa"/>
            <w:tcBorders>
              <w:top w:val="single" w:sz="12" w:space="0" w:color="4F81BD"/>
              <w:left w:val="nil"/>
              <w:bottom w:val="nil"/>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0.636</w:t>
            </w:r>
          </w:p>
        </w:tc>
        <w:tc>
          <w:tcPr>
            <w:tcW w:w="1668" w:type="dxa"/>
            <w:tcBorders>
              <w:top w:val="single" w:sz="12" w:space="0" w:color="4F81BD"/>
              <w:left w:val="nil"/>
              <w:bottom w:val="nil"/>
              <w:right w:val="nil"/>
            </w:tcBorders>
            <w:shd w:val="clear" w:color="auto" w:fill="DBE5F1"/>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1.95E+07</w:t>
            </w:r>
          </w:p>
        </w:tc>
        <w:tc>
          <w:tcPr>
            <w:tcW w:w="1668" w:type="dxa"/>
            <w:tcBorders>
              <w:top w:val="single" w:sz="12" w:space="0" w:color="4F81BD"/>
              <w:left w:val="nil"/>
              <w:bottom w:val="nil"/>
              <w:right w:val="nil"/>
            </w:tcBorders>
            <w:shd w:val="clear" w:color="auto" w:fill="DBE5F1"/>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0.05</w:t>
            </w:r>
          </w:p>
        </w:tc>
        <w:tc>
          <w:tcPr>
            <w:tcW w:w="1873" w:type="dxa"/>
            <w:tcBorders>
              <w:top w:val="single" w:sz="12" w:space="0" w:color="4F81BD"/>
              <w:left w:val="nil"/>
              <w:bottom w:val="nil"/>
              <w:right w:val="nil"/>
            </w:tcBorders>
            <w:shd w:val="clear" w:color="auto" w:fill="DBE5F1"/>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7.10E-14</w:t>
            </w:r>
          </w:p>
        </w:tc>
        <w:tc>
          <w:tcPr>
            <w:tcW w:w="1945" w:type="dxa"/>
            <w:tcBorders>
              <w:top w:val="single" w:sz="12" w:space="0" w:color="4F81BD"/>
              <w:left w:val="nil"/>
              <w:bottom w:val="nil"/>
              <w:right w:val="nil"/>
            </w:tcBorders>
            <w:shd w:val="clear" w:color="auto" w:fill="DBE5F1"/>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 xml:space="preserve">0.81 </w:t>
            </w:r>
          </w:p>
        </w:tc>
        <w:tc>
          <w:tcPr>
            <w:tcW w:w="1945" w:type="dxa"/>
            <w:tcBorders>
              <w:top w:val="single" w:sz="12" w:space="0" w:color="4F81BD"/>
              <w:left w:val="nil"/>
              <w:bottom w:val="nil"/>
              <w:right w:val="nil"/>
            </w:tcBorders>
            <w:shd w:val="clear" w:color="auto" w:fill="DBE5F1"/>
            <w:vAlign w:val="center"/>
          </w:tcPr>
          <w:p w:rsidR="00B9479A" w:rsidRDefault="00533AF7">
            <w:pPr>
              <w:widowControl/>
              <w:jc w:val="center"/>
              <w:textAlignment w:val="center"/>
              <w:rPr>
                <w:b/>
                <w:bCs/>
                <w:color w:val="000000" w:themeColor="text1"/>
                <w:kern w:val="0"/>
                <w:sz w:val="22"/>
                <w:lang w:bidi="ar"/>
              </w:rPr>
            </w:pPr>
            <w:r>
              <w:rPr>
                <w:rFonts w:hint="eastAsia"/>
                <w:b/>
                <w:bCs/>
                <w:color w:val="000000" w:themeColor="text1"/>
                <w:sz w:val="24"/>
                <w:szCs w:val="24"/>
              </w:rPr>
              <w:t>1.86E+11</w:t>
            </w:r>
          </w:p>
        </w:tc>
      </w:tr>
      <w:tr w:rsidR="00B9479A">
        <w:trPr>
          <w:jc w:val="center"/>
        </w:trPr>
        <w:tc>
          <w:tcPr>
            <w:tcW w:w="1944"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PDA-2</w:t>
            </w:r>
          </w:p>
        </w:tc>
        <w:tc>
          <w:tcPr>
            <w:tcW w:w="1667"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194.14</w:t>
            </w:r>
          </w:p>
        </w:tc>
        <w:tc>
          <w:tcPr>
            <w:tcW w:w="1668"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0.236</w:t>
            </w:r>
          </w:p>
        </w:tc>
        <w:tc>
          <w:tcPr>
            <w:tcW w:w="1668"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3.83E+06</w:t>
            </w:r>
          </w:p>
        </w:tc>
        <w:tc>
          <w:tcPr>
            <w:tcW w:w="1668"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0.05</w:t>
            </w:r>
          </w:p>
        </w:tc>
        <w:tc>
          <w:tcPr>
            <w:tcW w:w="1873" w:type="dxa"/>
            <w:tcBorders>
              <w:top w:val="nil"/>
              <w:left w:val="nil"/>
              <w:bottom w:val="nil"/>
              <w:right w:val="nil"/>
            </w:tcBorders>
            <w:shd w:val="clear" w:color="auto" w:fill="FFFFFF"/>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5.19E-15</w:t>
            </w:r>
          </w:p>
        </w:tc>
        <w:tc>
          <w:tcPr>
            <w:tcW w:w="1945" w:type="dxa"/>
            <w:tcBorders>
              <w:top w:val="nil"/>
              <w:left w:val="nil"/>
              <w:bottom w:val="nil"/>
              <w:right w:val="nil"/>
            </w:tcBorders>
            <w:shd w:val="clear" w:color="auto" w:fill="FFFFFF"/>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 xml:space="preserve">0.18 </w:t>
            </w:r>
          </w:p>
        </w:tc>
        <w:tc>
          <w:tcPr>
            <w:tcW w:w="1945" w:type="dxa"/>
            <w:tcBorders>
              <w:top w:val="nil"/>
              <w:left w:val="nil"/>
              <w:bottom w:val="nil"/>
              <w:right w:val="nil"/>
            </w:tcBorders>
            <w:shd w:val="clear" w:color="auto" w:fill="FFFFFF"/>
            <w:vAlign w:val="center"/>
          </w:tcPr>
          <w:p w:rsidR="00B9479A" w:rsidRDefault="00533AF7">
            <w:pPr>
              <w:widowControl/>
              <w:jc w:val="center"/>
              <w:textAlignment w:val="center"/>
              <w:rPr>
                <w:b/>
                <w:bCs/>
                <w:color w:val="000000" w:themeColor="text1"/>
                <w:kern w:val="0"/>
                <w:sz w:val="22"/>
                <w:lang w:bidi="ar"/>
              </w:rPr>
            </w:pPr>
            <w:r>
              <w:rPr>
                <w:rFonts w:hint="eastAsia"/>
                <w:b/>
                <w:bCs/>
                <w:color w:val="000000" w:themeColor="text1"/>
                <w:sz w:val="24"/>
                <w:szCs w:val="24"/>
              </w:rPr>
              <w:t>1.36E+10</w:t>
            </w:r>
          </w:p>
        </w:tc>
      </w:tr>
      <w:tr w:rsidR="00B9479A">
        <w:trPr>
          <w:jc w:val="center"/>
        </w:trPr>
        <w:tc>
          <w:tcPr>
            <w:tcW w:w="1944" w:type="dxa"/>
            <w:tcBorders>
              <w:top w:val="nil"/>
              <w:left w:val="nil"/>
              <w:bottom w:val="nil"/>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PDA-3</w:t>
            </w:r>
          </w:p>
        </w:tc>
        <w:tc>
          <w:tcPr>
            <w:tcW w:w="1667" w:type="dxa"/>
            <w:tcBorders>
              <w:top w:val="nil"/>
              <w:left w:val="nil"/>
              <w:bottom w:val="nil"/>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101.74</w:t>
            </w:r>
          </w:p>
        </w:tc>
        <w:tc>
          <w:tcPr>
            <w:tcW w:w="1668" w:type="dxa"/>
            <w:tcBorders>
              <w:top w:val="nil"/>
              <w:left w:val="nil"/>
              <w:bottom w:val="nil"/>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0.122</w:t>
            </w:r>
          </w:p>
        </w:tc>
        <w:tc>
          <w:tcPr>
            <w:tcW w:w="1668" w:type="dxa"/>
            <w:tcBorders>
              <w:top w:val="nil"/>
              <w:left w:val="nil"/>
              <w:bottom w:val="nil"/>
              <w:right w:val="nil"/>
            </w:tcBorders>
            <w:shd w:val="clear" w:color="auto" w:fill="DBE5F1"/>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5.51E+05</w:t>
            </w:r>
          </w:p>
        </w:tc>
        <w:tc>
          <w:tcPr>
            <w:tcW w:w="1668" w:type="dxa"/>
            <w:tcBorders>
              <w:top w:val="nil"/>
              <w:left w:val="nil"/>
              <w:bottom w:val="nil"/>
              <w:right w:val="nil"/>
            </w:tcBorders>
            <w:shd w:val="clear" w:color="auto" w:fill="DBE5F1"/>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0.05</w:t>
            </w:r>
          </w:p>
        </w:tc>
        <w:tc>
          <w:tcPr>
            <w:tcW w:w="1873" w:type="dxa"/>
            <w:tcBorders>
              <w:top w:val="nil"/>
              <w:left w:val="nil"/>
              <w:bottom w:val="nil"/>
              <w:right w:val="nil"/>
            </w:tcBorders>
            <w:shd w:val="clear" w:color="auto" w:fill="DBE5F1"/>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3.86E-16</w:t>
            </w:r>
          </w:p>
        </w:tc>
        <w:tc>
          <w:tcPr>
            <w:tcW w:w="1945" w:type="dxa"/>
            <w:tcBorders>
              <w:top w:val="nil"/>
              <w:left w:val="nil"/>
              <w:bottom w:val="nil"/>
              <w:right w:val="nil"/>
            </w:tcBorders>
            <w:shd w:val="clear" w:color="auto" w:fill="DBE5F1"/>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 xml:space="preserve">0.05 </w:t>
            </w:r>
          </w:p>
        </w:tc>
        <w:tc>
          <w:tcPr>
            <w:tcW w:w="1945" w:type="dxa"/>
            <w:tcBorders>
              <w:top w:val="nil"/>
              <w:left w:val="nil"/>
              <w:bottom w:val="nil"/>
              <w:right w:val="nil"/>
            </w:tcBorders>
            <w:shd w:val="clear" w:color="auto" w:fill="DBE5F1"/>
            <w:vAlign w:val="center"/>
          </w:tcPr>
          <w:p w:rsidR="00B9479A" w:rsidRDefault="00533AF7">
            <w:pPr>
              <w:widowControl/>
              <w:jc w:val="center"/>
              <w:textAlignment w:val="center"/>
              <w:rPr>
                <w:b/>
                <w:bCs/>
                <w:color w:val="000000" w:themeColor="text1"/>
                <w:kern w:val="0"/>
                <w:sz w:val="22"/>
                <w:lang w:bidi="ar"/>
              </w:rPr>
            </w:pPr>
            <w:r>
              <w:rPr>
                <w:rFonts w:hint="eastAsia"/>
                <w:b/>
                <w:bCs/>
                <w:color w:val="000000" w:themeColor="text1"/>
                <w:sz w:val="24"/>
                <w:szCs w:val="24"/>
              </w:rPr>
              <w:t>1.01E+09</w:t>
            </w:r>
          </w:p>
        </w:tc>
      </w:tr>
      <w:tr w:rsidR="00B9479A">
        <w:trPr>
          <w:jc w:val="center"/>
        </w:trPr>
        <w:tc>
          <w:tcPr>
            <w:tcW w:w="1944"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PDA-4</w:t>
            </w:r>
          </w:p>
        </w:tc>
        <w:tc>
          <w:tcPr>
            <w:tcW w:w="1667"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60.3</w:t>
            </w:r>
          </w:p>
        </w:tc>
        <w:tc>
          <w:tcPr>
            <w:tcW w:w="1668"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0.083</w:t>
            </w:r>
          </w:p>
        </w:tc>
        <w:tc>
          <w:tcPr>
            <w:tcW w:w="1668"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1.15E+05</w:t>
            </w:r>
          </w:p>
        </w:tc>
        <w:tc>
          <w:tcPr>
            <w:tcW w:w="1668" w:type="dxa"/>
            <w:tcBorders>
              <w:top w:val="nil"/>
              <w:left w:val="nil"/>
              <w:bottom w:val="nil"/>
              <w:right w:val="nil"/>
            </w:tcBorders>
            <w:shd w:val="clear" w:color="auto" w:fill="FFFFFF"/>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0.05</w:t>
            </w:r>
          </w:p>
        </w:tc>
        <w:tc>
          <w:tcPr>
            <w:tcW w:w="1873" w:type="dxa"/>
            <w:tcBorders>
              <w:top w:val="nil"/>
              <w:left w:val="nil"/>
              <w:bottom w:val="nil"/>
              <w:right w:val="nil"/>
            </w:tcBorders>
            <w:shd w:val="clear" w:color="auto" w:fill="FFFFFF"/>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5.47E-17</w:t>
            </w:r>
          </w:p>
        </w:tc>
        <w:tc>
          <w:tcPr>
            <w:tcW w:w="1945" w:type="dxa"/>
            <w:tcBorders>
              <w:top w:val="nil"/>
              <w:left w:val="nil"/>
              <w:bottom w:val="nil"/>
              <w:right w:val="nil"/>
            </w:tcBorders>
            <w:shd w:val="clear" w:color="auto" w:fill="FFFFFF"/>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 xml:space="preserve">0.02 </w:t>
            </w:r>
          </w:p>
        </w:tc>
        <w:tc>
          <w:tcPr>
            <w:tcW w:w="1945" w:type="dxa"/>
            <w:tcBorders>
              <w:top w:val="nil"/>
              <w:left w:val="nil"/>
              <w:bottom w:val="nil"/>
              <w:right w:val="nil"/>
            </w:tcBorders>
            <w:shd w:val="clear" w:color="auto" w:fill="FFFFFF"/>
            <w:vAlign w:val="center"/>
          </w:tcPr>
          <w:p w:rsidR="00B9479A" w:rsidRDefault="00533AF7">
            <w:pPr>
              <w:widowControl/>
              <w:jc w:val="center"/>
              <w:textAlignment w:val="center"/>
              <w:rPr>
                <w:b/>
                <w:bCs/>
                <w:color w:val="000000" w:themeColor="text1"/>
                <w:kern w:val="0"/>
                <w:sz w:val="22"/>
                <w:lang w:bidi="ar"/>
              </w:rPr>
            </w:pPr>
            <w:r>
              <w:rPr>
                <w:rFonts w:hint="eastAsia"/>
                <w:b/>
                <w:bCs/>
                <w:color w:val="000000" w:themeColor="text1"/>
                <w:sz w:val="24"/>
                <w:szCs w:val="24"/>
              </w:rPr>
              <w:t>1.43E+08</w:t>
            </w:r>
          </w:p>
        </w:tc>
      </w:tr>
      <w:tr w:rsidR="00B9479A">
        <w:trPr>
          <w:jc w:val="center"/>
        </w:trPr>
        <w:tc>
          <w:tcPr>
            <w:tcW w:w="1944" w:type="dxa"/>
            <w:tcBorders>
              <w:top w:val="nil"/>
              <w:left w:val="nil"/>
              <w:bottom w:val="single" w:sz="12" w:space="0" w:color="4F81BD"/>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PDA(DOX)</w:t>
            </w:r>
          </w:p>
        </w:tc>
        <w:tc>
          <w:tcPr>
            <w:tcW w:w="1667" w:type="dxa"/>
            <w:tcBorders>
              <w:top w:val="nil"/>
              <w:left w:val="nil"/>
              <w:bottom w:val="single" w:sz="12" w:space="0" w:color="4F81BD"/>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60.3</w:t>
            </w:r>
          </w:p>
        </w:tc>
        <w:tc>
          <w:tcPr>
            <w:tcW w:w="1668" w:type="dxa"/>
            <w:tcBorders>
              <w:top w:val="nil"/>
              <w:left w:val="nil"/>
              <w:bottom w:val="single" w:sz="12" w:space="0" w:color="4F81BD"/>
              <w:right w:val="nil"/>
            </w:tcBorders>
            <w:shd w:val="clear" w:color="auto" w:fill="DBE5F1"/>
          </w:tcPr>
          <w:p w:rsidR="00B9479A" w:rsidRDefault="00533AF7">
            <w:pPr>
              <w:spacing w:beforeLines="50" w:before="156" w:afterLines="50" w:after="156" w:line="480" w:lineRule="auto"/>
              <w:jc w:val="center"/>
              <w:rPr>
                <w:b/>
                <w:bCs/>
                <w:color w:val="000000"/>
                <w:sz w:val="24"/>
                <w:szCs w:val="24"/>
              </w:rPr>
            </w:pPr>
            <w:r>
              <w:rPr>
                <w:rFonts w:hint="eastAsia"/>
                <w:b/>
                <w:bCs/>
                <w:color w:val="000000"/>
                <w:sz w:val="24"/>
                <w:szCs w:val="24"/>
              </w:rPr>
              <w:t>0.365</w:t>
            </w:r>
          </w:p>
        </w:tc>
        <w:tc>
          <w:tcPr>
            <w:tcW w:w="1668" w:type="dxa"/>
            <w:tcBorders>
              <w:top w:val="nil"/>
              <w:left w:val="nil"/>
              <w:bottom w:val="single" w:sz="12" w:space="0" w:color="4F81BD"/>
              <w:right w:val="nil"/>
            </w:tcBorders>
            <w:shd w:val="clear" w:color="auto" w:fill="DBE5F1"/>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1.15E+05</w:t>
            </w:r>
          </w:p>
        </w:tc>
        <w:tc>
          <w:tcPr>
            <w:tcW w:w="1668" w:type="dxa"/>
            <w:tcBorders>
              <w:top w:val="nil"/>
              <w:left w:val="nil"/>
              <w:bottom w:val="single" w:sz="12" w:space="0" w:color="4F81BD"/>
              <w:right w:val="nil"/>
            </w:tcBorders>
            <w:shd w:val="clear" w:color="auto" w:fill="DBE5F1"/>
          </w:tcPr>
          <w:p w:rsidR="00B9479A" w:rsidRDefault="00533AF7">
            <w:pPr>
              <w:spacing w:beforeLines="50" w:before="156" w:afterLines="50" w:after="156" w:line="480" w:lineRule="auto"/>
              <w:jc w:val="center"/>
              <w:rPr>
                <w:b/>
                <w:bCs/>
                <w:color w:val="000000" w:themeColor="text1"/>
                <w:sz w:val="24"/>
                <w:szCs w:val="24"/>
              </w:rPr>
            </w:pPr>
            <w:r>
              <w:rPr>
                <w:rFonts w:hint="eastAsia"/>
                <w:b/>
                <w:bCs/>
                <w:color w:val="000000" w:themeColor="text1"/>
                <w:sz w:val="24"/>
                <w:szCs w:val="24"/>
              </w:rPr>
              <w:t>0.075</w:t>
            </w:r>
          </w:p>
        </w:tc>
        <w:tc>
          <w:tcPr>
            <w:tcW w:w="1873" w:type="dxa"/>
            <w:tcBorders>
              <w:top w:val="nil"/>
              <w:left w:val="nil"/>
              <w:bottom w:val="single" w:sz="12" w:space="0" w:color="4F81BD"/>
              <w:right w:val="nil"/>
            </w:tcBorders>
            <w:shd w:val="clear" w:color="auto" w:fill="DBE5F1"/>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1.60E-16</w:t>
            </w:r>
          </w:p>
        </w:tc>
        <w:tc>
          <w:tcPr>
            <w:tcW w:w="1945" w:type="dxa"/>
            <w:tcBorders>
              <w:top w:val="nil"/>
              <w:left w:val="nil"/>
              <w:bottom w:val="single" w:sz="12" w:space="0" w:color="4F81BD"/>
              <w:right w:val="nil"/>
            </w:tcBorders>
            <w:shd w:val="clear" w:color="auto" w:fill="DBE5F1"/>
            <w:vAlign w:val="center"/>
          </w:tcPr>
          <w:p w:rsidR="00B9479A" w:rsidRDefault="00533AF7">
            <w:pPr>
              <w:widowControl/>
              <w:jc w:val="center"/>
              <w:textAlignment w:val="center"/>
              <w:rPr>
                <w:b/>
                <w:bCs/>
                <w:color w:val="000000" w:themeColor="text1"/>
                <w:sz w:val="22"/>
              </w:rPr>
            </w:pPr>
            <w:r>
              <w:rPr>
                <w:b/>
                <w:bCs/>
                <w:color w:val="000000" w:themeColor="text1"/>
                <w:kern w:val="0"/>
                <w:sz w:val="22"/>
                <w:lang w:bidi="ar"/>
              </w:rPr>
              <w:t xml:space="preserve">0.06 </w:t>
            </w:r>
          </w:p>
        </w:tc>
        <w:tc>
          <w:tcPr>
            <w:tcW w:w="1945" w:type="dxa"/>
            <w:tcBorders>
              <w:top w:val="nil"/>
              <w:left w:val="nil"/>
              <w:bottom w:val="single" w:sz="12" w:space="0" w:color="4F81BD"/>
              <w:right w:val="nil"/>
            </w:tcBorders>
            <w:shd w:val="clear" w:color="auto" w:fill="DBE5F1"/>
            <w:vAlign w:val="center"/>
          </w:tcPr>
          <w:p w:rsidR="00B9479A" w:rsidRDefault="00533AF7">
            <w:pPr>
              <w:widowControl/>
              <w:jc w:val="center"/>
              <w:textAlignment w:val="center"/>
              <w:rPr>
                <w:b/>
                <w:bCs/>
                <w:color w:val="000000" w:themeColor="text1"/>
                <w:kern w:val="0"/>
                <w:sz w:val="22"/>
                <w:lang w:bidi="ar"/>
              </w:rPr>
            </w:pPr>
            <w:r>
              <w:rPr>
                <w:rFonts w:hint="eastAsia"/>
                <w:b/>
                <w:bCs/>
                <w:color w:val="000000" w:themeColor="text1"/>
                <w:sz w:val="24"/>
                <w:szCs w:val="24"/>
              </w:rPr>
              <w:t>5.57E+08</w:t>
            </w:r>
          </w:p>
        </w:tc>
      </w:tr>
    </w:tbl>
    <w:p w:rsidR="00B9479A" w:rsidRDefault="00B9479A">
      <w:pPr>
        <w:spacing w:beforeLines="50" w:before="156" w:afterLines="50" w:after="156" w:line="480" w:lineRule="auto"/>
        <w:rPr>
          <w:sz w:val="24"/>
          <w:szCs w:val="24"/>
        </w:rPr>
      </w:pPr>
    </w:p>
    <w:p w:rsidR="00B9479A" w:rsidRDefault="00B9479A">
      <w:pPr>
        <w:widowControl/>
        <w:jc w:val="left"/>
        <w:rPr>
          <w:sz w:val="24"/>
          <w:szCs w:val="24"/>
        </w:rPr>
      </w:pPr>
    </w:p>
    <w:p w:rsidR="00B9479A" w:rsidRDefault="00B9479A">
      <w:pPr>
        <w:widowControl/>
        <w:jc w:val="left"/>
        <w:rPr>
          <w:sz w:val="24"/>
          <w:szCs w:val="24"/>
        </w:rPr>
      </w:pPr>
    </w:p>
    <w:p w:rsidR="00B9479A" w:rsidRDefault="00B9479A">
      <w:pPr>
        <w:widowControl/>
        <w:jc w:val="left"/>
        <w:rPr>
          <w:sz w:val="24"/>
          <w:szCs w:val="24"/>
        </w:rPr>
        <w:sectPr w:rsidR="00B9479A" w:rsidSect="00533AF7">
          <w:type w:val="continuous"/>
          <w:pgSz w:w="16838" w:h="11906" w:orient="landscape"/>
          <w:pgMar w:top="850" w:right="850" w:bottom="850" w:left="850" w:header="851" w:footer="992" w:gutter="0"/>
          <w:cols w:space="720"/>
          <w:docGrid w:type="lines" w:linePitch="312"/>
        </w:sectPr>
      </w:pPr>
    </w:p>
    <w:p w:rsidR="00B9479A" w:rsidRDefault="00533AF7">
      <w:pPr>
        <w:widowControl/>
        <w:jc w:val="center"/>
        <w:rPr>
          <w:sz w:val="24"/>
          <w:szCs w:val="24"/>
        </w:rPr>
      </w:pPr>
      <w:r>
        <w:rPr>
          <w:noProof/>
          <w:sz w:val="24"/>
          <w:szCs w:val="24"/>
          <w:lang w:eastAsia="en-US"/>
        </w:rPr>
        <w:drawing>
          <wp:inline distT="0" distB="0" distL="0" distR="0">
            <wp:extent cx="3115310" cy="2382520"/>
            <wp:effectExtent l="0" t="0" r="0" b="0"/>
            <wp:docPr id="1378954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5440" name="图片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124863" cy="2390340"/>
                    </a:xfrm>
                    <a:prstGeom prst="rect">
                      <a:avLst/>
                    </a:prstGeom>
                    <a:noFill/>
                    <a:ln>
                      <a:noFill/>
                    </a:ln>
                  </pic:spPr>
                </pic:pic>
              </a:graphicData>
            </a:graphic>
          </wp:inline>
        </w:drawing>
      </w:r>
    </w:p>
    <w:p w:rsidR="00B9479A" w:rsidRDefault="00533AF7">
      <w:pPr>
        <w:spacing w:beforeLines="50" w:before="156" w:afterLines="50" w:after="156" w:line="480" w:lineRule="auto"/>
        <w:jc w:val="center"/>
        <w:rPr>
          <w:sz w:val="24"/>
          <w:szCs w:val="24"/>
        </w:rPr>
      </w:pPr>
      <w:r>
        <w:rPr>
          <w:rFonts w:hint="eastAsia"/>
          <w:b/>
          <w:bCs/>
          <w:sz w:val="24"/>
          <w:szCs w:val="24"/>
        </w:rPr>
        <w:t>Figure S</w:t>
      </w:r>
      <w:r>
        <w:rPr>
          <w:b/>
          <w:bCs/>
          <w:sz w:val="24"/>
          <w:szCs w:val="24"/>
        </w:rPr>
        <w:t>6.</w:t>
      </w:r>
      <w:r>
        <w:rPr>
          <w:rFonts w:hint="eastAsia"/>
          <w:b/>
          <w:bCs/>
          <w:sz w:val="24"/>
          <w:szCs w:val="24"/>
        </w:rPr>
        <w:t xml:space="preserve"> </w:t>
      </w:r>
      <w:r>
        <w:rPr>
          <w:rFonts w:hint="eastAsia"/>
          <w:sz w:val="24"/>
          <w:szCs w:val="24"/>
        </w:rPr>
        <w:t>The cytotoxicity of various concentrations of DOX on H9C2 cells.</w:t>
      </w:r>
    </w:p>
    <w:p w:rsidR="00B9479A" w:rsidRDefault="00B9479A">
      <w:pPr>
        <w:spacing w:line="360" w:lineRule="auto"/>
        <w:rPr>
          <w:sz w:val="24"/>
          <w:szCs w:val="24"/>
        </w:rPr>
      </w:pPr>
    </w:p>
    <w:p w:rsidR="00B9479A" w:rsidRDefault="00533AF7">
      <w:pPr>
        <w:spacing w:line="360" w:lineRule="auto"/>
        <w:rPr>
          <w:sz w:val="24"/>
          <w:szCs w:val="24"/>
        </w:rPr>
      </w:pPr>
      <w:r>
        <w:rPr>
          <w:noProof/>
          <w:sz w:val="24"/>
          <w:szCs w:val="24"/>
          <w:lang w:eastAsia="en-US"/>
        </w:rPr>
        <w:drawing>
          <wp:inline distT="0" distB="0" distL="0" distR="0">
            <wp:extent cx="6480810" cy="6480810"/>
            <wp:effectExtent l="0" t="0" r="0" b="0"/>
            <wp:docPr id="1" name="图片 1" descr="C:\Users\yzs\Desktop\Figures_20230801\Fig.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yzs\Desktop\Figures_20230801\Fig.S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6480810" cy="6480810"/>
                    </a:xfrm>
                    <a:prstGeom prst="rect">
                      <a:avLst/>
                    </a:prstGeom>
                    <a:noFill/>
                    <a:ln>
                      <a:noFill/>
                    </a:ln>
                  </pic:spPr>
                </pic:pic>
              </a:graphicData>
            </a:graphic>
          </wp:inline>
        </w:drawing>
      </w:r>
    </w:p>
    <w:p w:rsidR="00B9479A" w:rsidRDefault="00B9479A">
      <w:pPr>
        <w:spacing w:line="360" w:lineRule="auto"/>
        <w:rPr>
          <w:sz w:val="24"/>
          <w:szCs w:val="24"/>
        </w:rPr>
      </w:pPr>
    </w:p>
    <w:p w:rsidR="00B9479A" w:rsidRDefault="00533AF7">
      <w:pPr>
        <w:spacing w:line="360" w:lineRule="auto"/>
        <w:jc w:val="center"/>
        <w:rPr>
          <w:szCs w:val="21"/>
        </w:rPr>
      </w:pPr>
      <w:r>
        <w:rPr>
          <w:rFonts w:hint="eastAsia"/>
          <w:b/>
          <w:bCs/>
          <w:sz w:val="24"/>
          <w:szCs w:val="24"/>
        </w:rPr>
        <w:t>Figure</w:t>
      </w:r>
      <w:r>
        <w:rPr>
          <w:b/>
          <w:bCs/>
          <w:sz w:val="24"/>
          <w:szCs w:val="24"/>
        </w:rPr>
        <w:t xml:space="preserve"> S7. </w:t>
      </w:r>
      <w:bookmarkStart w:id="4" w:name="_Hlk133783566"/>
      <w:r>
        <w:rPr>
          <w:sz w:val="24"/>
          <w:szCs w:val="24"/>
        </w:rPr>
        <w:t xml:space="preserve">Confocal microscope images of H9C2 and 4T1 cells </w:t>
      </w:r>
      <w:r>
        <w:rPr>
          <w:rFonts w:hint="eastAsia"/>
          <w:sz w:val="24"/>
          <w:szCs w:val="24"/>
        </w:rPr>
        <w:t xml:space="preserve">uptake DOX </w:t>
      </w:r>
      <w:r>
        <w:rPr>
          <w:sz w:val="24"/>
          <w:szCs w:val="24"/>
        </w:rPr>
        <w:t>and</w:t>
      </w:r>
      <w:r>
        <w:rPr>
          <w:rFonts w:hint="eastAsia"/>
          <w:sz w:val="24"/>
          <w:szCs w:val="24"/>
        </w:rPr>
        <w:t xml:space="preserve"> PDA(DOX)</w:t>
      </w:r>
      <w:r>
        <w:rPr>
          <w:sz w:val="24"/>
          <w:szCs w:val="24"/>
        </w:rPr>
        <w:t xml:space="preserve"> for 2 h with different concentrations.</w:t>
      </w:r>
    </w:p>
    <w:bookmarkEnd w:id="4"/>
    <w:p w:rsidR="00B9479A" w:rsidRDefault="00B9479A">
      <w:pPr>
        <w:spacing w:line="360" w:lineRule="auto"/>
        <w:rPr>
          <w:b/>
          <w:bCs/>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533AF7">
      <w:pPr>
        <w:spacing w:line="360" w:lineRule="auto"/>
        <w:rPr>
          <w:sz w:val="24"/>
          <w:szCs w:val="24"/>
        </w:rPr>
      </w:pPr>
      <w:r>
        <w:rPr>
          <w:noProof/>
          <w:sz w:val="24"/>
          <w:szCs w:val="24"/>
          <w:lang w:eastAsia="en-US"/>
        </w:rPr>
        <w:drawing>
          <wp:inline distT="0" distB="0" distL="0" distR="0">
            <wp:extent cx="6480810" cy="3550920"/>
            <wp:effectExtent l="0" t="0" r="0" b="0"/>
            <wp:docPr id="2" name="图片 2" descr="C:\Users\yzs\Desktop\Figures_20230801\Fig.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yzs\Desktop\Figures_20230801\Fig.S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6480810" cy="3551125"/>
                    </a:xfrm>
                    <a:prstGeom prst="rect">
                      <a:avLst/>
                    </a:prstGeom>
                    <a:noFill/>
                    <a:ln>
                      <a:noFill/>
                    </a:ln>
                  </pic:spPr>
                </pic:pic>
              </a:graphicData>
            </a:graphic>
          </wp:inline>
        </w:drawing>
      </w:r>
    </w:p>
    <w:p w:rsidR="00B9479A" w:rsidRDefault="00B9479A">
      <w:pPr>
        <w:spacing w:line="360" w:lineRule="auto"/>
        <w:rPr>
          <w:sz w:val="24"/>
          <w:szCs w:val="24"/>
        </w:rPr>
      </w:pPr>
    </w:p>
    <w:p w:rsidR="00B9479A" w:rsidRDefault="00533AF7">
      <w:pPr>
        <w:spacing w:line="360" w:lineRule="auto"/>
        <w:jc w:val="center"/>
        <w:rPr>
          <w:szCs w:val="21"/>
        </w:rPr>
      </w:pPr>
      <w:r>
        <w:rPr>
          <w:b/>
          <w:bCs/>
          <w:sz w:val="24"/>
          <w:szCs w:val="24"/>
        </w:rPr>
        <w:t xml:space="preserve">Figure S8. </w:t>
      </w:r>
      <w:r>
        <w:rPr>
          <w:sz w:val="24"/>
          <w:szCs w:val="24"/>
        </w:rPr>
        <w:t xml:space="preserve">Confocal microscope images of H9C2 and 4T1 cells </w:t>
      </w:r>
      <w:r>
        <w:rPr>
          <w:rFonts w:hint="eastAsia"/>
          <w:sz w:val="24"/>
          <w:szCs w:val="24"/>
        </w:rPr>
        <w:t xml:space="preserve">uptake DOX </w:t>
      </w:r>
      <w:r>
        <w:rPr>
          <w:sz w:val="24"/>
          <w:szCs w:val="24"/>
        </w:rPr>
        <w:t>and</w:t>
      </w:r>
      <w:r>
        <w:rPr>
          <w:rFonts w:hint="eastAsia"/>
          <w:sz w:val="24"/>
          <w:szCs w:val="24"/>
        </w:rPr>
        <w:t xml:space="preserve"> PDA(DOX)</w:t>
      </w:r>
      <w:r>
        <w:rPr>
          <w:sz w:val="24"/>
          <w:szCs w:val="24"/>
        </w:rPr>
        <w:t xml:space="preserve"> for 4 h with different concentrations.</w:t>
      </w:r>
    </w:p>
    <w:p w:rsidR="00B9479A" w:rsidRDefault="00B9479A">
      <w:pPr>
        <w:spacing w:line="360" w:lineRule="auto"/>
        <w:rPr>
          <w:b/>
          <w:bCs/>
          <w:sz w:val="24"/>
          <w:szCs w:val="24"/>
        </w:rPr>
      </w:pPr>
    </w:p>
    <w:p w:rsidR="00B9479A" w:rsidRDefault="00B9479A">
      <w:pPr>
        <w:spacing w:line="360" w:lineRule="auto"/>
        <w:rPr>
          <w:sz w:val="24"/>
          <w:szCs w:val="24"/>
        </w:rPr>
      </w:pPr>
    </w:p>
    <w:p w:rsidR="00B9479A" w:rsidRDefault="00533AF7">
      <w:pPr>
        <w:spacing w:beforeLines="100" w:before="312" w:afterLines="50" w:after="156" w:line="480" w:lineRule="auto"/>
        <w:jc w:val="center"/>
        <w:rPr>
          <w:sz w:val="24"/>
          <w:szCs w:val="24"/>
        </w:rPr>
      </w:pPr>
      <w:r>
        <w:rPr>
          <w:noProof/>
          <w:lang w:eastAsia="en-US"/>
        </w:rPr>
        <w:drawing>
          <wp:inline distT="0" distB="0" distL="0" distR="0">
            <wp:extent cx="6480810" cy="273177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6480810" cy="2731770"/>
                    </a:xfrm>
                    <a:prstGeom prst="rect">
                      <a:avLst/>
                    </a:prstGeom>
                    <a:noFill/>
                    <a:ln>
                      <a:noFill/>
                    </a:ln>
                  </pic:spPr>
                </pic:pic>
              </a:graphicData>
            </a:graphic>
          </wp:inline>
        </w:drawing>
      </w:r>
    </w:p>
    <w:p w:rsidR="00B9479A" w:rsidRDefault="00533AF7">
      <w:pPr>
        <w:spacing w:beforeLines="50" w:before="156" w:afterLines="50" w:after="156" w:line="480" w:lineRule="auto"/>
        <w:jc w:val="center"/>
        <w:rPr>
          <w:sz w:val="24"/>
          <w:szCs w:val="24"/>
        </w:rPr>
      </w:pPr>
      <w:r>
        <w:rPr>
          <w:rFonts w:hint="eastAsia"/>
          <w:b/>
          <w:bCs/>
          <w:sz w:val="24"/>
          <w:szCs w:val="24"/>
        </w:rPr>
        <w:t>Figure S</w:t>
      </w:r>
      <w:r>
        <w:rPr>
          <w:b/>
          <w:bCs/>
          <w:sz w:val="24"/>
          <w:szCs w:val="24"/>
        </w:rPr>
        <w:t>9.</w:t>
      </w:r>
      <w:r>
        <w:rPr>
          <w:rFonts w:hint="eastAsia"/>
          <w:b/>
          <w:bCs/>
          <w:sz w:val="24"/>
          <w:szCs w:val="24"/>
        </w:rPr>
        <w:t xml:space="preserve"> </w:t>
      </w:r>
      <w:r>
        <w:rPr>
          <w:rFonts w:hint="eastAsia"/>
          <w:sz w:val="24"/>
          <w:szCs w:val="24"/>
        </w:rPr>
        <w:t xml:space="preserve">(a) Tumor weight of the excised tumors of mice after sacrifice; (b) Body Weights of 4T1 tumor-bearing mice within 21 days after synergetic </w:t>
      </w:r>
      <w:r>
        <w:rPr>
          <w:sz w:val="24"/>
          <w:szCs w:val="24"/>
        </w:rPr>
        <w:t>c</w:t>
      </w:r>
      <w:r>
        <w:rPr>
          <w:rFonts w:hint="eastAsia"/>
          <w:sz w:val="24"/>
          <w:szCs w:val="24"/>
        </w:rPr>
        <w:t>hemo-photothermal therapy</w:t>
      </w:r>
      <w:r>
        <w:rPr>
          <w:sz w:val="24"/>
          <w:szCs w:val="24"/>
        </w:rPr>
        <w:t>.</w:t>
      </w:r>
    </w:p>
    <w:p w:rsidR="00B9479A" w:rsidRDefault="00533AF7">
      <w:pPr>
        <w:spacing w:line="360" w:lineRule="auto"/>
        <w:jc w:val="center"/>
        <w:rPr>
          <w:sz w:val="24"/>
          <w:szCs w:val="24"/>
        </w:rPr>
      </w:pPr>
      <w:r>
        <w:rPr>
          <w:noProof/>
          <w:sz w:val="24"/>
          <w:szCs w:val="24"/>
          <w:lang w:eastAsia="en-US"/>
        </w:rPr>
        <w:drawing>
          <wp:inline distT="0" distB="0" distL="0" distR="0">
            <wp:extent cx="6480810" cy="5460365"/>
            <wp:effectExtent l="0" t="0" r="0" b="6985"/>
            <wp:docPr id="3" name="图片 3" descr="C:\Users\yzs\Desktop\Figures_20230801\Fig.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yzs\Desktop\Figures_20230801\Fig.S1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6480810" cy="5460627"/>
                    </a:xfrm>
                    <a:prstGeom prst="rect">
                      <a:avLst/>
                    </a:prstGeom>
                    <a:noFill/>
                    <a:ln>
                      <a:noFill/>
                    </a:ln>
                  </pic:spPr>
                </pic:pic>
              </a:graphicData>
            </a:graphic>
          </wp:inline>
        </w:drawing>
      </w:r>
    </w:p>
    <w:p w:rsidR="00B9479A" w:rsidRDefault="00533AF7">
      <w:pPr>
        <w:spacing w:beforeLines="50" w:before="156" w:afterLines="50" w:after="156" w:line="480" w:lineRule="auto"/>
        <w:jc w:val="center"/>
        <w:rPr>
          <w:sz w:val="24"/>
          <w:szCs w:val="24"/>
        </w:rPr>
      </w:pPr>
      <w:r>
        <w:rPr>
          <w:rFonts w:hint="eastAsia"/>
          <w:b/>
          <w:bCs/>
          <w:sz w:val="24"/>
          <w:szCs w:val="24"/>
        </w:rPr>
        <w:t>Figure S</w:t>
      </w:r>
      <w:r>
        <w:rPr>
          <w:b/>
          <w:bCs/>
          <w:sz w:val="24"/>
          <w:szCs w:val="24"/>
        </w:rPr>
        <w:t>10.</w:t>
      </w:r>
      <w:r>
        <w:rPr>
          <w:rFonts w:hint="eastAsia"/>
          <w:b/>
          <w:bCs/>
          <w:sz w:val="24"/>
          <w:szCs w:val="24"/>
        </w:rPr>
        <w:t xml:space="preserve"> </w:t>
      </w:r>
      <w:r>
        <w:rPr>
          <w:rFonts w:hint="eastAsia"/>
          <w:sz w:val="24"/>
          <w:szCs w:val="24"/>
        </w:rPr>
        <w:t xml:space="preserve">Micrographs of H&amp;E-stained major organ slices from mice with synergetic </w:t>
      </w:r>
      <w:r>
        <w:rPr>
          <w:sz w:val="24"/>
          <w:szCs w:val="24"/>
        </w:rPr>
        <w:t>c</w:t>
      </w:r>
      <w:r>
        <w:rPr>
          <w:rFonts w:hint="eastAsia"/>
          <w:sz w:val="24"/>
          <w:szCs w:val="24"/>
        </w:rPr>
        <w:t>hemo-</w:t>
      </w:r>
      <w:r>
        <w:rPr>
          <w:sz w:val="24"/>
          <w:szCs w:val="24"/>
        </w:rPr>
        <w:t>p</w:t>
      </w:r>
      <w:r>
        <w:rPr>
          <w:rFonts w:hint="eastAsia"/>
          <w:sz w:val="24"/>
          <w:szCs w:val="24"/>
        </w:rPr>
        <w:t xml:space="preserve">hotothermal therapy </w:t>
      </w:r>
      <w:r>
        <w:rPr>
          <w:sz w:val="24"/>
          <w:szCs w:val="24"/>
        </w:rPr>
        <w:t xml:space="preserve">were </w:t>
      </w:r>
      <w:r>
        <w:rPr>
          <w:rFonts w:hint="eastAsia"/>
          <w:sz w:val="24"/>
          <w:szCs w:val="24"/>
        </w:rPr>
        <w:t>collected after 21 days.</w:t>
      </w:r>
    </w:p>
    <w:p w:rsidR="00B9479A" w:rsidRDefault="00B9479A">
      <w:pPr>
        <w:spacing w:line="360" w:lineRule="auto"/>
        <w:rPr>
          <w:sz w:val="24"/>
          <w:szCs w:val="24"/>
        </w:rPr>
      </w:pPr>
    </w:p>
    <w:p w:rsidR="00B9479A" w:rsidRDefault="00B9479A">
      <w:pPr>
        <w:spacing w:beforeLines="50" w:before="156" w:afterLines="50" w:after="156" w:line="480" w:lineRule="auto"/>
        <w:jc w:val="center"/>
        <w:rPr>
          <w:sz w:val="24"/>
          <w:szCs w:val="24"/>
        </w:rPr>
      </w:pPr>
    </w:p>
    <w:p w:rsidR="00B9479A" w:rsidRDefault="00B9479A">
      <w:pPr>
        <w:spacing w:line="360" w:lineRule="auto"/>
        <w:rPr>
          <w:sz w:val="24"/>
          <w:szCs w:val="24"/>
        </w:rPr>
      </w:pPr>
    </w:p>
    <w:p w:rsidR="00B9479A" w:rsidRDefault="00B9479A">
      <w:pPr>
        <w:spacing w:line="360" w:lineRule="auto"/>
        <w:jc w:val="center"/>
        <w:rPr>
          <w:sz w:val="24"/>
          <w:szCs w:val="24"/>
        </w:rPr>
      </w:pPr>
    </w:p>
    <w:p w:rsidR="00B9479A" w:rsidRDefault="00B9479A">
      <w:pPr>
        <w:spacing w:beforeLines="50" w:before="156" w:afterLines="50" w:after="156" w:line="480" w:lineRule="auto"/>
        <w:rPr>
          <w:b/>
          <w:bCs/>
          <w:sz w:val="24"/>
          <w:szCs w:val="24"/>
        </w:rPr>
      </w:pPr>
    </w:p>
    <w:p w:rsidR="00B9479A" w:rsidRDefault="00B9479A">
      <w:pPr>
        <w:spacing w:line="360" w:lineRule="auto"/>
        <w:rPr>
          <w:sz w:val="24"/>
          <w:szCs w:val="24"/>
        </w:rPr>
      </w:pPr>
    </w:p>
    <w:p w:rsidR="00B9479A" w:rsidRDefault="00533AF7">
      <w:pPr>
        <w:spacing w:line="360" w:lineRule="auto"/>
        <w:jc w:val="center"/>
        <w:rPr>
          <w:sz w:val="24"/>
          <w:szCs w:val="24"/>
        </w:rPr>
      </w:pPr>
      <w:r>
        <w:rPr>
          <w:noProof/>
          <w:lang w:eastAsia="en-US"/>
        </w:rPr>
        <w:drawing>
          <wp:inline distT="0" distB="0" distL="0" distR="0">
            <wp:extent cx="6480810" cy="3462655"/>
            <wp:effectExtent l="0" t="0" r="0"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6480810" cy="3462655"/>
                    </a:xfrm>
                    <a:prstGeom prst="rect">
                      <a:avLst/>
                    </a:prstGeom>
                    <a:noFill/>
                    <a:ln>
                      <a:noFill/>
                    </a:ln>
                  </pic:spPr>
                </pic:pic>
              </a:graphicData>
            </a:graphic>
          </wp:inline>
        </w:drawing>
      </w:r>
    </w:p>
    <w:p w:rsidR="00B9479A" w:rsidRDefault="00533AF7">
      <w:pPr>
        <w:spacing w:beforeLines="50" w:before="156" w:afterLines="50" w:after="156" w:line="480" w:lineRule="auto"/>
        <w:jc w:val="center"/>
        <w:rPr>
          <w:sz w:val="24"/>
          <w:szCs w:val="24"/>
        </w:rPr>
      </w:pPr>
      <w:r>
        <w:rPr>
          <w:rFonts w:hint="eastAsia"/>
          <w:b/>
          <w:bCs/>
          <w:sz w:val="24"/>
          <w:szCs w:val="24"/>
        </w:rPr>
        <w:t>Figure S1</w:t>
      </w:r>
      <w:r>
        <w:rPr>
          <w:b/>
          <w:bCs/>
          <w:sz w:val="24"/>
          <w:szCs w:val="24"/>
        </w:rPr>
        <w:t>1.</w:t>
      </w:r>
      <w:r>
        <w:rPr>
          <w:rFonts w:hint="eastAsia"/>
          <w:b/>
          <w:bCs/>
          <w:sz w:val="24"/>
          <w:szCs w:val="24"/>
        </w:rPr>
        <w:t xml:space="preserve"> </w:t>
      </w:r>
      <w:r>
        <w:rPr>
          <w:sz w:val="24"/>
          <w:szCs w:val="24"/>
        </w:rPr>
        <w:t xml:space="preserve">(a) </w:t>
      </w:r>
      <w:r>
        <w:rPr>
          <w:rFonts w:hint="eastAsia"/>
          <w:sz w:val="24"/>
          <w:szCs w:val="24"/>
        </w:rPr>
        <w:t xml:space="preserve">4T1 tumor-bearing mice images on the 0, 7, and 14 days after different treatments and </w:t>
      </w:r>
      <w:r>
        <w:rPr>
          <w:sz w:val="24"/>
          <w:szCs w:val="24"/>
        </w:rPr>
        <w:t xml:space="preserve">(b) </w:t>
      </w:r>
      <w:r>
        <w:rPr>
          <w:rFonts w:hint="eastAsia"/>
          <w:sz w:val="24"/>
          <w:szCs w:val="24"/>
        </w:rPr>
        <w:t>photographs of the major organs of mice after sacrifice.</w:t>
      </w:r>
    </w:p>
    <w:p w:rsidR="00B9479A" w:rsidRDefault="00B9479A">
      <w:pPr>
        <w:spacing w:beforeLines="50" w:before="156" w:afterLines="50" w:after="156" w:line="480" w:lineRule="auto"/>
        <w:jc w:val="center"/>
        <w:rPr>
          <w:sz w:val="24"/>
          <w:szCs w:val="24"/>
        </w:rPr>
      </w:pPr>
    </w:p>
    <w:p w:rsidR="00B9479A" w:rsidRDefault="00B9479A">
      <w:pPr>
        <w:spacing w:line="360" w:lineRule="auto"/>
        <w:jc w:val="center"/>
        <w:rPr>
          <w:sz w:val="24"/>
          <w:szCs w:val="24"/>
        </w:rPr>
      </w:pPr>
    </w:p>
    <w:p w:rsidR="00B9479A" w:rsidRDefault="00533AF7">
      <w:pPr>
        <w:spacing w:line="360" w:lineRule="auto"/>
        <w:jc w:val="center"/>
        <w:rPr>
          <w:sz w:val="24"/>
          <w:szCs w:val="24"/>
        </w:rPr>
      </w:pPr>
      <w:r>
        <w:rPr>
          <w:noProof/>
          <w:lang w:eastAsia="en-US"/>
        </w:rPr>
        <w:drawing>
          <wp:inline distT="0" distB="0" distL="0" distR="0">
            <wp:extent cx="3599815" cy="2710815"/>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3600000" cy="2711111"/>
                    </a:xfrm>
                    <a:prstGeom prst="rect">
                      <a:avLst/>
                    </a:prstGeom>
                    <a:noFill/>
                    <a:ln>
                      <a:noFill/>
                    </a:ln>
                  </pic:spPr>
                </pic:pic>
              </a:graphicData>
            </a:graphic>
          </wp:inline>
        </w:drawing>
      </w:r>
    </w:p>
    <w:p w:rsidR="00B9479A" w:rsidRDefault="00533AF7">
      <w:pPr>
        <w:spacing w:beforeLines="50" w:before="156" w:afterLines="50" w:after="156" w:line="480" w:lineRule="auto"/>
        <w:jc w:val="center"/>
        <w:rPr>
          <w:sz w:val="24"/>
          <w:szCs w:val="24"/>
        </w:rPr>
      </w:pPr>
      <w:r>
        <w:rPr>
          <w:rFonts w:hint="eastAsia"/>
          <w:b/>
          <w:bCs/>
          <w:sz w:val="24"/>
          <w:szCs w:val="24"/>
        </w:rPr>
        <w:t>Figure S1</w:t>
      </w:r>
      <w:r>
        <w:rPr>
          <w:b/>
          <w:bCs/>
          <w:sz w:val="24"/>
          <w:szCs w:val="24"/>
        </w:rPr>
        <w:t>2.</w:t>
      </w:r>
      <w:r>
        <w:rPr>
          <w:rFonts w:hint="eastAsia"/>
          <w:sz w:val="24"/>
          <w:szCs w:val="24"/>
        </w:rPr>
        <w:t xml:space="preserve"> </w:t>
      </w:r>
      <w:bookmarkStart w:id="5" w:name="_Hlk133783695"/>
      <w:r>
        <w:rPr>
          <w:rFonts w:hint="eastAsia"/>
          <w:sz w:val="24"/>
          <w:szCs w:val="24"/>
        </w:rPr>
        <w:t>Organ Coefficient of chemotherapy mice after sacrifice</w:t>
      </w:r>
      <w:r>
        <w:rPr>
          <w:sz w:val="24"/>
          <w:szCs w:val="24"/>
        </w:rPr>
        <w:t xml:space="preserve"> </w:t>
      </w:r>
      <w:r>
        <w:rPr>
          <w:rFonts w:hint="eastAsia"/>
          <w:sz w:val="24"/>
          <w:szCs w:val="24"/>
        </w:rPr>
        <w:t>within 21 days after different treatments</w:t>
      </w:r>
      <w:r>
        <w:rPr>
          <w:sz w:val="24"/>
          <w:szCs w:val="24"/>
        </w:rPr>
        <w:t>.</w:t>
      </w:r>
      <w:bookmarkEnd w:id="5"/>
    </w:p>
    <w:p w:rsidR="00B9479A" w:rsidRDefault="00533AF7">
      <w:pPr>
        <w:spacing w:line="360" w:lineRule="auto"/>
        <w:jc w:val="center"/>
        <w:rPr>
          <w:sz w:val="24"/>
          <w:szCs w:val="24"/>
        </w:rPr>
      </w:pPr>
      <w:r>
        <w:rPr>
          <w:rFonts w:hint="eastAsia"/>
          <w:noProof/>
          <w:sz w:val="24"/>
          <w:szCs w:val="24"/>
          <w:lang w:eastAsia="en-US"/>
        </w:rPr>
        <w:drawing>
          <wp:inline distT="0" distB="0" distL="114300" distR="114300">
            <wp:extent cx="5013960" cy="6089650"/>
            <wp:effectExtent l="0" t="0" r="5715" b="6350"/>
            <wp:docPr id="4" name="图片 4" descr="Fig. 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14"/>
                    <pic:cNvPicPr>
                      <a:picLocks noChangeAspect="1"/>
                    </pic:cNvPicPr>
                  </pic:nvPicPr>
                  <pic:blipFill>
                    <a:blip r:embed="rId37"/>
                    <a:stretch>
                      <a:fillRect/>
                    </a:stretch>
                  </pic:blipFill>
                  <pic:spPr>
                    <a:xfrm>
                      <a:off x="0" y="0"/>
                      <a:ext cx="5013960" cy="6089650"/>
                    </a:xfrm>
                    <a:prstGeom prst="rect">
                      <a:avLst/>
                    </a:prstGeom>
                  </pic:spPr>
                </pic:pic>
              </a:graphicData>
            </a:graphic>
          </wp:inline>
        </w:drawing>
      </w:r>
    </w:p>
    <w:p w:rsidR="00B9479A" w:rsidRDefault="00533AF7">
      <w:pPr>
        <w:spacing w:line="480" w:lineRule="auto"/>
        <w:jc w:val="center"/>
        <w:rPr>
          <w:sz w:val="24"/>
          <w:szCs w:val="24"/>
        </w:rPr>
      </w:pPr>
      <w:r>
        <w:rPr>
          <w:rFonts w:hint="eastAsia"/>
          <w:b/>
          <w:bCs/>
          <w:sz w:val="24"/>
          <w:szCs w:val="24"/>
        </w:rPr>
        <w:t xml:space="preserve">Figure S13. </w:t>
      </w:r>
      <w:r>
        <w:rPr>
          <w:rFonts w:hint="eastAsia"/>
          <w:i/>
          <w:iCs/>
          <w:sz w:val="24"/>
          <w:szCs w:val="24"/>
        </w:rPr>
        <w:t>In vivo</w:t>
      </w:r>
      <w:r>
        <w:rPr>
          <w:rFonts w:hint="eastAsia"/>
          <w:sz w:val="24"/>
          <w:szCs w:val="24"/>
        </w:rPr>
        <w:t xml:space="preserve"> synergetic </w:t>
      </w:r>
      <w:r>
        <w:rPr>
          <w:sz w:val="24"/>
          <w:szCs w:val="24"/>
        </w:rPr>
        <w:t>c</w:t>
      </w:r>
      <w:r>
        <w:rPr>
          <w:rFonts w:hint="eastAsia"/>
          <w:sz w:val="24"/>
          <w:szCs w:val="24"/>
        </w:rPr>
        <w:t>hemo-photothermal therapy of tumor. (a) Fluorescence images of ICG labeled PDA(DOX) nanoparticles at different time points after intravenous injection. (</w:t>
      </w:r>
      <w:r>
        <w:rPr>
          <w:sz w:val="24"/>
          <w:szCs w:val="24"/>
        </w:rPr>
        <w:t>b</w:t>
      </w:r>
      <w:r>
        <w:rPr>
          <w:rFonts w:hint="eastAsia"/>
          <w:sz w:val="24"/>
          <w:szCs w:val="24"/>
        </w:rPr>
        <w:t>-d) Temperature rise curves, body weights, and tumor volumes of 4T1 tumor-bearing mice irradiated by 808 nm laser at a laser power of 0.8 W</w:t>
      </w:r>
      <w:r>
        <w:rPr>
          <w:sz w:val="24"/>
          <w:szCs w:val="24"/>
        </w:rPr>
        <w:t>/cm</w:t>
      </w:r>
      <w:r>
        <w:rPr>
          <w:sz w:val="24"/>
          <w:szCs w:val="24"/>
          <w:vertAlign w:val="superscript"/>
        </w:rPr>
        <w:t>2</w:t>
      </w:r>
      <w:r>
        <w:rPr>
          <w:rFonts w:hint="eastAsia"/>
          <w:sz w:val="24"/>
          <w:szCs w:val="24"/>
        </w:rPr>
        <w:t xml:space="preserve"> for 5 min, and then implement chemotherapy; (e) Photographs of the excised tumors of mice after sacrifice.</w:t>
      </w:r>
    </w:p>
    <w:p w:rsidR="00B9479A" w:rsidRDefault="00533AF7">
      <w:pPr>
        <w:spacing w:line="360" w:lineRule="auto"/>
        <w:jc w:val="center"/>
        <w:rPr>
          <w:sz w:val="24"/>
          <w:szCs w:val="24"/>
        </w:rPr>
      </w:pPr>
      <w:r>
        <w:rPr>
          <w:rFonts w:hint="eastAsia"/>
          <w:noProof/>
          <w:sz w:val="24"/>
          <w:szCs w:val="24"/>
          <w:lang w:eastAsia="en-US"/>
        </w:rPr>
        <w:drawing>
          <wp:inline distT="0" distB="0" distL="114300" distR="114300">
            <wp:extent cx="5054600" cy="7247890"/>
            <wp:effectExtent l="0" t="0" r="3175" b="635"/>
            <wp:docPr id="5" name="图片 5" descr="Fig. 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15"/>
                    <pic:cNvPicPr>
                      <a:picLocks noChangeAspect="1"/>
                    </pic:cNvPicPr>
                  </pic:nvPicPr>
                  <pic:blipFill>
                    <a:blip r:embed="rId38"/>
                    <a:srcRect l="2127" t="2210" r="2757"/>
                    <a:stretch>
                      <a:fillRect/>
                    </a:stretch>
                  </pic:blipFill>
                  <pic:spPr>
                    <a:xfrm>
                      <a:off x="0" y="0"/>
                      <a:ext cx="5054600" cy="7247890"/>
                    </a:xfrm>
                    <a:prstGeom prst="rect">
                      <a:avLst/>
                    </a:prstGeom>
                  </pic:spPr>
                </pic:pic>
              </a:graphicData>
            </a:graphic>
          </wp:inline>
        </w:drawing>
      </w:r>
    </w:p>
    <w:p w:rsidR="00B9479A" w:rsidRDefault="00533AF7">
      <w:pPr>
        <w:spacing w:beforeLines="50" w:before="156" w:afterLines="50" w:after="156" w:line="480" w:lineRule="auto"/>
        <w:jc w:val="center"/>
        <w:rPr>
          <w:sz w:val="24"/>
          <w:szCs w:val="24"/>
        </w:rPr>
      </w:pPr>
      <w:r>
        <w:rPr>
          <w:rFonts w:hint="eastAsia"/>
          <w:b/>
          <w:bCs/>
          <w:sz w:val="24"/>
          <w:szCs w:val="24"/>
        </w:rPr>
        <w:t xml:space="preserve">Figure S14. </w:t>
      </w:r>
      <w:r>
        <w:rPr>
          <w:rFonts w:hint="eastAsia"/>
          <w:sz w:val="24"/>
          <w:szCs w:val="24"/>
        </w:rPr>
        <w:t>(a) 4T1 tumor-bearing mice images on the 0, 7, and 14 days after different treatments. (b-e) Tumor growth curves from individual 4T1 tumor-bearing Balb/c mice in different treatment groups (NIR: 0.8 W</w:t>
      </w:r>
      <w:r>
        <w:rPr>
          <w:sz w:val="24"/>
          <w:szCs w:val="24"/>
        </w:rPr>
        <w:t>/cm</w:t>
      </w:r>
      <w:r>
        <w:rPr>
          <w:sz w:val="24"/>
          <w:szCs w:val="24"/>
          <w:vertAlign w:val="superscript"/>
        </w:rPr>
        <w:t>2</w:t>
      </w:r>
      <w:r>
        <w:rPr>
          <w:rFonts w:hint="eastAsia"/>
          <w:sz w:val="24"/>
          <w:szCs w:val="24"/>
        </w:rPr>
        <w:t xml:space="preserve"> for 5 min).</w:t>
      </w:r>
    </w:p>
    <w:p w:rsidR="00B9479A" w:rsidRDefault="00B9479A">
      <w:pPr>
        <w:spacing w:line="360" w:lineRule="auto"/>
        <w:jc w:val="center"/>
        <w:rPr>
          <w:sz w:val="24"/>
          <w:szCs w:val="24"/>
        </w:rPr>
      </w:pPr>
    </w:p>
    <w:p w:rsidR="00B9479A" w:rsidRDefault="00B9479A">
      <w:pPr>
        <w:spacing w:line="360" w:lineRule="auto"/>
        <w:rPr>
          <w:sz w:val="24"/>
          <w:szCs w:val="24"/>
        </w:rPr>
      </w:pPr>
    </w:p>
    <w:p w:rsidR="00B9479A" w:rsidRDefault="00533AF7">
      <w:pPr>
        <w:spacing w:line="360" w:lineRule="auto"/>
        <w:rPr>
          <w:sz w:val="24"/>
          <w:szCs w:val="24"/>
        </w:rPr>
      </w:pPr>
      <w:r>
        <w:rPr>
          <w:noProof/>
          <w:lang w:eastAsia="en-US"/>
        </w:rPr>
        <w:drawing>
          <wp:inline distT="0" distB="0" distL="0" distR="0">
            <wp:extent cx="6480810" cy="49149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6480810" cy="4914900"/>
                    </a:xfrm>
                    <a:prstGeom prst="rect">
                      <a:avLst/>
                    </a:prstGeom>
                    <a:noFill/>
                    <a:ln>
                      <a:noFill/>
                    </a:ln>
                  </pic:spPr>
                </pic:pic>
              </a:graphicData>
            </a:graphic>
          </wp:inline>
        </w:drawing>
      </w:r>
    </w:p>
    <w:p w:rsidR="00B9479A" w:rsidRDefault="00B9479A">
      <w:pPr>
        <w:spacing w:line="360" w:lineRule="auto"/>
        <w:rPr>
          <w:sz w:val="24"/>
          <w:szCs w:val="24"/>
        </w:rPr>
      </w:pPr>
    </w:p>
    <w:p w:rsidR="00B9479A" w:rsidRDefault="00533AF7">
      <w:pPr>
        <w:spacing w:line="480" w:lineRule="auto"/>
        <w:jc w:val="center"/>
        <w:rPr>
          <w:b/>
          <w:bCs/>
          <w:sz w:val="24"/>
          <w:szCs w:val="24"/>
        </w:rPr>
      </w:pPr>
      <w:r>
        <w:rPr>
          <w:rFonts w:hint="eastAsia"/>
          <w:b/>
          <w:bCs/>
          <w:sz w:val="24"/>
          <w:szCs w:val="24"/>
        </w:rPr>
        <w:t>Figure</w:t>
      </w:r>
      <w:r>
        <w:rPr>
          <w:b/>
          <w:bCs/>
          <w:sz w:val="24"/>
          <w:szCs w:val="24"/>
        </w:rPr>
        <w:t xml:space="preserve"> S1</w:t>
      </w:r>
      <w:r>
        <w:rPr>
          <w:rFonts w:hint="eastAsia"/>
          <w:b/>
          <w:bCs/>
          <w:sz w:val="24"/>
          <w:szCs w:val="24"/>
        </w:rPr>
        <w:t>5</w:t>
      </w:r>
      <w:r>
        <w:rPr>
          <w:b/>
          <w:bCs/>
          <w:sz w:val="24"/>
          <w:szCs w:val="24"/>
        </w:rPr>
        <w:t xml:space="preserve">. </w:t>
      </w:r>
      <w:r>
        <w:rPr>
          <w:rFonts w:hint="eastAsia"/>
          <w:sz w:val="24"/>
          <w:szCs w:val="24"/>
        </w:rPr>
        <w:t>H&amp;E</w:t>
      </w:r>
      <w:r>
        <w:rPr>
          <w:sz w:val="24"/>
          <w:szCs w:val="24"/>
        </w:rPr>
        <w:t xml:space="preserve"> and Masson</w:t>
      </w:r>
      <w:r>
        <w:rPr>
          <w:rFonts w:hint="eastAsia"/>
          <w:sz w:val="24"/>
          <w:szCs w:val="24"/>
        </w:rPr>
        <w:t>-stain</w:t>
      </w:r>
      <w:r>
        <w:rPr>
          <w:sz w:val="24"/>
          <w:szCs w:val="24"/>
        </w:rPr>
        <w:t>ing m</w:t>
      </w:r>
      <w:r>
        <w:rPr>
          <w:rFonts w:hint="eastAsia"/>
          <w:sz w:val="24"/>
          <w:szCs w:val="24"/>
        </w:rPr>
        <w:t>icrographs of major organ slices from</w:t>
      </w:r>
      <w:r>
        <w:rPr>
          <w:sz w:val="24"/>
          <w:szCs w:val="24"/>
        </w:rPr>
        <w:t xml:space="preserve"> different</w:t>
      </w:r>
      <w:r>
        <w:rPr>
          <w:rFonts w:hint="eastAsia"/>
          <w:sz w:val="24"/>
          <w:szCs w:val="24"/>
        </w:rPr>
        <w:t xml:space="preserve"> chemotherapy</w:t>
      </w:r>
      <w:r>
        <w:rPr>
          <w:sz w:val="24"/>
          <w:szCs w:val="24"/>
        </w:rPr>
        <w:t xml:space="preserve"> groups</w:t>
      </w:r>
      <w:r>
        <w:rPr>
          <w:rFonts w:hint="eastAsia"/>
          <w:sz w:val="24"/>
          <w:szCs w:val="24"/>
        </w:rPr>
        <w:t xml:space="preserve"> after sacrifice</w:t>
      </w:r>
      <w:r>
        <w:rPr>
          <w:sz w:val="24"/>
          <w:szCs w:val="24"/>
        </w:rPr>
        <w:t xml:space="preserve"> </w:t>
      </w:r>
      <w:r>
        <w:rPr>
          <w:rFonts w:hint="eastAsia"/>
          <w:sz w:val="24"/>
          <w:szCs w:val="24"/>
        </w:rPr>
        <w:t>within 21 days</w:t>
      </w:r>
      <w:r>
        <w:rPr>
          <w:sz w:val="24"/>
          <w:szCs w:val="24"/>
        </w:rPr>
        <w:t>.</w:t>
      </w: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rPr>
          <w:sz w:val="24"/>
          <w:szCs w:val="24"/>
        </w:rPr>
      </w:pPr>
    </w:p>
    <w:p w:rsidR="00B9479A" w:rsidRDefault="00B9479A">
      <w:pPr>
        <w:spacing w:line="360" w:lineRule="auto"/>
        <w:jc w:val="center"/>
        <w:rPr>
          <w:sz w:val="24"/>
          <w:szCs w:val="24"/>
        </w:rPr>
      </w:pPr>
    </w:p>
    <w:sectPr w:rsidR="00B9479A" w:rsidSect="00533AF7">
      <w:type w:val="continuous"/>
      <w:pgSz w:w="11906" w:h="16838"/>
      <w:pgMar w:top="850" w:right="850" w:bottom="850" w:left="85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DFB" w:rsidRDefault="00533AF7">
      <w:r>
        <w:separator/>
      </w:r>
    </w:p>
  </w:endnote>
  <w:endnote w:type="continuationSeparator" w:id="0">
    <w:p w:rsidR="00F24DFB" w:rsidRDefault="0053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DengXian">
    <w:altName w:val="Arial Unicode MS"/>
    <w:charset w:val="86"/>
    <w:family w:val="auto"/>
    <w:pitch w:val="default"/>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429329"/>
    </w:sdtPr>
    <w:sdtEndPr/>
    <w:sdtContent>
      <w:p w:rsidR="00B9479A" w:rsidRDefault="00533AF7">
        <w:pPr>
          <w:pStyle w:val="Footer"/>
          <w:jc w:val="center"/>
        </w:pPr>
        <w:r>
          <w:fldChar w:fldCharType="begin"/>
        </w:r>
        <w:r>
          <w:instrText>PAGE   \* MERGEFORMAT</w:instrText>
        </w:r>
        <w:r>
          <w:fldChar w:fldCharType="separate"/>
        </w:r>
        <w:r>
          <w:rPr>
            <w:lang w:val="zh-CN"/>
          </w:rPr>
          <w:t>24</w:t>
        </w:r>
        <w:r>
          <w:fldChar w:fldCharType="end"/>
        </w:r>
      </w:p>
    </w:sdtContent>
  </w:sdt>
  <w:p w:rsidR="00B9479A" w:rsidRDefault="00B947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DFB" w:rsidRDefault="00533AF7">
      <w:r>
        <w:separator/>
      </w:r>
    </w:p>
  </w:footnote>
  <w:footnote w:type="continuationSeparator" w:id="0">
    <w:p w:rsidR="00F24DFB" w:rsidRDefault="00533A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zMjcxtzCwsDSxNDJT0lEKTi0uzszPAymwMKoFAMNxSJwtAAAA"/>
    <w:docVar w:name="commondata" w:val="eyJoZGlkIjoiZjk4YTAyODIzNjVmOGU4ZWE4Y2VmNzI0MzA4MmExYzQifQ=="/>
  </w:docVars>
  <w:rsids>
    <w:rsidRoot w:val="008060A1"/>
    <w:rsid w:val="00004BCC"/>
    <w:rsid w:val="00007EAB"/>
    <w:rsid w:val="000164E4"/>
    <w:rsid w:val="00025EE1"/>
    <w:rsid w:val="0002728C"/>
    <w:rsid w:val="00034920"/>
    <w:rsid w:val="00035816"/>
    <w:rsid w:val="00043DC8"/>
    <w:rsid w:val="00044741"/>
    <w:rsid w:val="000541C1"/>
    <w:rsid w:val="000547A2"/>
    <w:rsid w:val="000578CC"/>
    <w:rsid w:val="00063C29"/>
    <w:rsid w:val="00067FFA"/>
    <w:rsid w:val="00074695"/>
    <w:rsid w:val="0007733B"/>
    <w:rsid w:val="000812C5"/>
    <w:rsid w:val="00086E66"/>
    <w:rsid w:val="00091AE4"/>
    <w:rsid w:val="00093084"/>
    <w:rsid w:val="000A0CF6"/>
    <w:rsid w:val="000A13CB"/>
    <w:rsid w:val="000A57C8"/>
    <w:rsid w:val="000A7E7B"/>
    <w:rsid w:val="000B0E9E"/>
    <w:rsid w:val="000B73DD"/>
    <w:rsid w:val="000C2CD4"/>
    <w:rsid w:val="000D1617"/>
    <w:rsid w:val="000E2BCB"/>
    <w:rsid w:val="000E621E"/>
    <w:rsid w:val="000E73E3"/>
    <w:rsid w:val="000F39CA"/>
    <w:rsid w:val="000F7CCF"/>
    <w:rsid w:val="00103A90"/>
    <w:rsid w:val="00104412"/>
    <w:rsid w:val="00105348"/>
    <w:rsid w:val="00107F64"/>
    <w:rsid w:val="001100DF"/>
    <w:rsid w:val="00113F1E"/>
    <w:rsid w:val="00114D68"/>
    <w:rsid w:val="00120614"/>
    <w:rsid w:val="001278E9"/>
    <w:rsid w:val="00134207"/>
    <w:rsid w:val="001352C2"/>
    <w:rsid w:val="00140B32"/>
    <w:rsid w:val="00142C7E"/>
    <w:rsid w:val="00145864"/>
    <w:rsid w:val="0014789A"/>
    <w:rsid w:val="001503FF"/>
    <w:rsid w:val="00150A36"/>
    <w:rsid w:val="001529D6"/>
    <w:rsid w:val="00152BEE"/>
    <w:rsid w:val="00153AD3"/>
    <w:rsid w:val="00154060"/>
    <w:rsid w:val="0015568D"/>
    <w:rsid w:val="0015767F"/>
    <w:rsid w:val="001646B2"/>
    <w:rsid w:val="00167BA1"/>
    <w:rsid w:val="00170391"/>
    <w:rsid w:val="00171504"/>
    <w:rsid w:val="00176485"/>
    <w:rsid w:val="001864E5"/>
    <w:rsid w:val="00186C21"/>
    <w:rsid w:val="0019172E"/>
    <w:rsid w:val="00191BD0"/>
    <w:rsid w:val="001A5620"/>
    <w:rsid w:val="001A5BDE"/>
    <w:rsid w:val="001C743E"/>
    <w:rsid w:val="001D2BFB"/>
    <w:rsid w:val="001D65C8"/>
    <w:rsid w:val="001E0644"/>
    <w:rsid w:val="001E1A26"/>
    <w:rsid w:val="001E28CE"/>
    <w:rsid w:val="001E53D6"/>
    <w:rsid w:val="001F0995"/>
    <w:rsid w:val="00201A3C"/>
    <w:rsid w:val="002046F5"/>
    <w:rsid w:val="00204AD1"/>
    <w:rsid w:val="002056A5"/>
    <w:rsid w:val="00206D95"/>
    <w:rsid w:val="002074A0"/>
    <w:rsid w:val="00210152"/>
    <w:rsid w:val="00212E2A"/>
    <w:rsid w:val="00215CA8"/>
    <w:rsid w:val="00217182"/>
    <w:rsid w:val="00224639"/>
    <w:rsid w:val="00225DA6"/>
    <w:rsid w:val="0023452D"/>
    <w:rsid w:val="00235927"/>
    <w:rsid w:val="00236816"/>
    <w:rsid w:val="00245A50"/>
    <w:rsid w:val="00252FFE"/>
    <w:rsid w:val="0025369A"/>
    <w:rsid w:val="002554DF"/>
    <w:rsid w:val="00257E43"/>
    <w:rsid w:val="00263120"/>
    <w:rsid w:val="00271DBB"/>
    <w:rsid w:val="00274CA2"/>
    <w:rsid w:val="002755C6"/>
    <w:rsid w:val="00277616"/>
    <w:rsid w:val="0028297C"/>
    <w:rsid w:val="00283785"/>
    <w:rsid w:val="00285428"/>
    <w:rsid w:val="00286069"/>
    <w:rsid w:val="00295192"/>
    <w:rsid w:val="00296436"/>
    <w:rsid w:val="00296C16"/>
    <w:rsid w:val="002A148D"/>
    <w:rsid w:val="002B3862"/>
    <w:rsid w:val="002B509D"/>
    <w:rsid w:val="002D2D1A"/>
    <w:rsid w:val="002D5D0A"/>
    <w:rsid w:val="002E22EB"/>
    <w:rsid w:val="002E4ECD"/>
    <w:rsid w:val="002E6E53"/>
    <w:rsid w:val="002E7FC7"/>
    <w:rsid w:val="002F39F8"/>
    <w:rsid w:val="00301F88"/>
    <w:rsid w:val="003033B8"/>
    <w:rsid w:val="00307BFD"/>
    <w:rsid w:val="00312077"/>
    <w:rsid w:val="00312F4C"/>
    <w:rsid w:val="00313B89"/>
    <w:rsid w:val="003160C3"/>
    <w:rsid w:val="0032118E"/>
    <w:rsid w:val="00322C24"/>
    <w:rsid w:val="003277A5"/>
    <w:rsid w:val="00327894"/>
    <w:rsid w:val="00332B2A"/>
    <w:rsid w:val="003331E4"/>
    <w:rsid w:val="0033368C"/>
    <w:rsid w:val="00340993"/>
    <w:rsid w:val="00340E7C"/>
    <w:rsid w:val="00342269"/>
    <w:rsid w:val="003427B3"/>
    <w:rsid w:val="00353014"/>
    <w:rsid w:val="00357413"/>
    <w:rsid w:val="00362B1D"/>
    <w:rsid w:val="00371301"/>
    <w:rsid w:val="00381D55"/>
    <w:rsid w:val="00387CF1"/>
    <w:rsid w:val="00392009"/>
    <w:rsid w:val="00393DA3"/>
    <w:rsid w:val="00395F93"/>
    <w:rsid w:val="003A0E0B"/>
    <w:rsid w:val="003A1298"/>
    <w:rsid w:val="003A3534"/>
    <w:rsid w:val="003A5503"/>
    <w:rsid w:val="003A60DA"/>
    <w:rsid w:val="003B16BE"/>
    <w:rsid w:val="003B2F06"/>
    <w:rsid w:val="003B33D7"/>
    <w:rsid w:val="003B4490"/>
    <w:rsid w:val="003C229B"/>
    <w:rsid w:val="003C5CEF"/>
    <w:rsid w:val="003D31F9"/>
    <w:rsid w:val="003D5933"/>
    <w:rsid w:val="003D6E5B"/>
    <w:rsid w:val="003E4BC7"/>
    <w:rsid w:val="003E7595"/>
    <w:rsid w:val="00402E27"/>
    <w:rsid w:val="00405C38"/>
    <w:rsid w:val="00413DD7"/>
    <w:rsid w:val="00414055"/>
    <w:rsid w:val="00415A39"/>
    <w:rsid w:val="00420D45"/>
    <w:rsid w:val="00422518"/>
    <w:rsid w:val="00422609"/>
    <w:rsid w:val="00426C3D"/>
    <w:rsid w:val="004428C6"/>
    <w:rsid w:val="00462DFD"/>
    <w:rsid w:val="0046338E"/>
    <w:rsid w:val="0046511A"/>
    <w:rsid w:val="00466478"/>
    <w:rsid w:val="004703B2"/>
    <w:rsid w:val="0047280A"/>
    <w:rsid w:val="00474243"/>
    <w:rsid w:val="004744E4"/>
    <w:rsid w:val="004758F2"/>
    <w:rsid w:val="004820F5"/>
    <w:rsid w:val="004844D5"/>
    <w:rsid w:val="00492588"/>
    <w:rsid w:val="004A175D"/>
    <w:rsid w:val="004A32B8"/>
    <w:rsid w:val="004A5136"/>
    <w:rsid w:val="004B72BC"/>
    <w:rsid w:val="004C3567"/>
    <w:rsid w:val="004C61D8"/>
    <w:rsid w:val="004D2ABB"/>
    <w:rsid w:val="004D312A"/>
    <w:rsid w:val="004E1C34"/>
    <w:rsid w:val="004E61F1"/>
    <w:rsid w:val="004F31C0"/>
    <w:rsid w:val="0050317F"/>
    <w:rsid w:val="00512C3B"/>
    <w:rsid w:val="005217B1"/>
    <w:rsid w:val="00523826"/>
    <w:rsid w:val="00533AF7"/>
    <w:rsid w:val="005364FB"/>
    <w:rsid w:val="00542B3D"/>
    <w:rsid w:val="005434FF"/>
    <w:rsid w:val="0054617A"/>
    <w:rsid w:val="005549D0"/>
    <w:rsid w:val="00557868"/>
    <w:rsid w:val="00577422"/>
    <w:rsid w:val="005803D7"/>
    <w:rsid w:val="0058175A"/>
    <w:rsid w:val="00581DF1"/>
    <w:rsid w:val="005964F3"/>
    <w:rsid w:val="005A5F0E"/>
    <w:rsid w:val="005B124C"/>
    <w:rsid w:val="005B6465"/>
    <w:rsid w:val="005C4960"/>
    <w:rsid w:val="005D40DD"/>
    <w:rsid w:val="005E2B73"/>
    <w:rsid w:val="005F3894"/>
    <w:rsid w:val="005F6C66"/>
    <w:rsid w:val="00600DD5"/>
    <w:rsid w:val="00601603"/>
    <w:rsid w:val="0060260A"/>
    <w:rsid w:val="00603368"/>
    <w:rsid w:val="00603DDF"/>
    <w:rsid w:val="00605B96"/>
    <w:rsid w:val="006070A1"/>
    <w:rsid w:val="00607664"/>
    <w:rsid w:val="00607C8B"/>
    <w:rsid w:val="006105F7"/>
    <w:rsid w:val="00613191"/>
    <w:rsid w:val="00613EA1"/>
    <w:rsid w:val="006150D5"/>
    <w:rsid w:val="00622E0F"/>
    <w:rsid w:val="00643A0C"/>
    <w:rsid w:val="0065088C"/>
    <w:rsid w:val="0065500E"/>
    <w:rsid w:val="00656896"/>
    <w:rsid w:val="00656A29"/>
    <w:rsid w:val="0066119C"/>
    <w:rsid w:val="0066320A"/>
    <w:rsid w:val="00664038"/>
    <w:rsid w:val="00672B1D"/>
    <w:rsid w:val="006748C1"/>
    <w:rsid w:val="00690A7F"/>
    <w:rsid w:val="00694332"/>
    <w:rsid w:val="00696972"/>
    <w:rsid w:val="00696B11"/>
    <w:rsid w:val="006A46C1"/>
    <w:rsid w:val="006B00C4"/>
    <w:rsid w:val="006B1153"/>
    <w:rsid w:val="006B1943"/>
    <w:rsid w:val="006B2CA1"/>
    <w:rsid w:val="006B4F84"/>
    <w:rsid w:val="006B70CE"/>
    <w:rsid w:val="006D6FD4"/>
    <w:rsid w:val="006E6E83"/>
    <w:rsid w:val="006F1620"/>
    <w:rsid w:val="006F4564"/>
    <w:rsid w:val="006F588C"/>
    <w:rsid w:val="006F6A8C"/>
    <w:rsid w:val="00702276"/>
    <w:rsid w:val="0071477C"/>
    <w:rsid w:val="00721C61"/>
    <w:rsid w:val="0072530E"/>
    <w:rsid w:val="007259F9"/>
    <w:rsid w:val="007269B8"/>
    <w:rsid w:val="00734C48"/>
    <w:rsid w:val="007429C8"/>
    <w:rsid w:val="00747275"/>
    <w:rsid w:val="00747CA2"/>
    <w:rsid w:val="00752FF9"/>
    <w:rsid w:val="00753E88"/>
    <w:rsid w:val="00757B2B"/>
    <w:rsid w:val="007625F5"/>
    <w:rsid w:val="00765E0F"/>
    <w:rsid w:val="00765F27"/>
    <w:rsid w:val="007678B1"/>
    <w:rsid w:val="00774135"/>
    <w:rsid w:val="00775298"/>
    <w:rsid w:val="00776B24"/>
    <w:rsid w:val="00777AA0"/>
    <w:rsid w:val="00783B72"/>
    <w:rsid w:val="007852C6"/>
    <w:rsid w:val="00790731"/>
    <w:rsid w:val="00792067"/>
    <w:rsid w:val="007A135C"/>
    <w:rsid w:val="007A4134"/>
    <w:rsid w:val="007A53D3"/>
    <w:rsid w:val="007A593F"/>
    <w:rsid w:val="007A7DB2"/>
    <w:rsid w:val="007B1620"/>
    <w:rsid w:val="007B1A91"/>
    <w:rsid w:val="007B3948"/>
    <w:rsid w:val="007B6EBF"/>
    <w:rsid w:val="007B7495"/>
    <w:rsid w:val="007C14C0"/>
    <w:rsid w:val="007C2572"/>
    <w:rsid w:val="007C3A9C"/>
    <w:rsid w:val="007C4B07"/>
    <w:rsid w:val="007C4E4F"/>
    <w:rsid w:val="007C5BDE"/>
    <w:rsid w:val="007D02C9"/>
    <w:rsid w:val="007D2777"/>
    <w:rsid w:val="007D4A16"/>
    <w:rsid w:val="007E0045"/>
    <w:rsid w:val="007E3DEA"/>
    <w:rsid w:val="007E6F93"/>
    <w:rsid w:val="007E74D5"/>
    <w:rsid w:val="007F0DEF"/>
    <w:rsid w:val="00801A03"/>
    <w:rsid w:val="00801C58"/>
    <w:rsid w:val="00804D24"/>
    <w:rsid w:val="00805704"/>
    <w:rsid w:val="008060A1"/>
    <w:rsid w:val="00825084"/>
    <w:rsid w:val="00826332"/>
    <w:rsid w:val="00827D4C"/>
    <w:rsid w:val="008303FD"/>
    <w:rsid w:val="00830FF1"/>
    <w:rsid w:val="008349FB"/>
    <w:rsid w:val="00837923"/>
    <w:rsid w:val="00840D42"/>
    <w:rsid w:val="008414EB"/>
    <w:rsid w:val="0085664D"/>
    <w:rsid w:val="00861C7D"/>
    <w:rsid w:val="00864975"/>
    <w:rsid w:val="00870B26"/>
    <w:rsid w:val="0087134C"/>
    <w:rsid w:val="008932C2"/>
    <w:rsid w:val="008972FA"/>
    <w:rsid w:val="008A0656"/>
    <w:rsid w:val="008A7A28"/>
    <w:rsid w:val="008B3D1B"/>
    <w:rsid w:val="008B64AB"/>
    <w:rsid w:val="008C1D40"/>
    <w:rsid w:val="008C3862"/>
    <w:rsid w:val="008D1CD0"/>
    <w:rsid w:val="008E389C"/>
    <w:rsid w:val="008E3975"/>
    <w:rsid w:val="008F6697"/>
    <w:rsid w:val="008F74AD"/>
    <w:rsid w:val="008F7A0B"/>
    <w:rsid w:val="0090128E"/>
    <w:rsid w:val="00907F9E"/>
    <w:rsid w:val="009104D0"/>
    <w:rsid w:val="00913288"/>
    <w:rsid w:val="0092589D"/>
    <w:rsid w:val="0093102E"/>
    <w:rsid w:val="009326B8"/>
    <w:rsid w:val="009376D7"/>
    <w:rsid w:val="00940A1F"/>
    <w:rsid w:val="00940C86"/>
    <w:rsid w:val="00950CC9"/>
    <w:rsid w:val="009626F7"/>
    <w:rsid w:val="00965018"/>
    <w:rsid w:val="0097086C"/>
    <w:rsid w:val="00976A17"/>
    <w:rsid w:val="00976B8C"/>
    <w:rsid w:val="009806B9"/>
    <w:rsid w:val="00987014"/>
    <w:rsid w:val="00987F05"/>
    <w:rsid w:val="00990876"/>
    <w:rsid w:val="009A0B0C"/>
    <w:rsid w:val="009A0D76"/>
    <w:rsid w:val="009A4071"/>
    <w:rsid w:val="009A72A5"/>
    <w:rsid w:val="009B6C52"/>
    <w:rsid w:val="009C10A3"/>
    <w:rsid w:val="009C58BD"/>
    <w:rsid w:val="009C7050"/>
    <w:rsid w:val="009D2FB8"/>
    <w:rsid w:val="009D317B"/>
    <w:rsid w:val="009D3EDA"/>
    <w:rsid w:val="009D61BD"/>
    <w:rsid w:val="009E04EB"/>
    <w:rsid w:val="009E0D7E"/>
    <w:rsid w:val="009E264F"/>
    <w:rsid w:val="009E40FA"/>
    <w:rsid w:val="009E599A"/>
    <w:rsid w:val="009F5EEF"/>
    <w:rsid w:val="00A01646"/>
    <w:rsid w:val="00A05248"/>
    <w:rsid w:val="00A121F0"/>
    <w:rsid w:val="00A13D4C"/>
    <w:rsid w:val="00A147B8"/>
    <w:rsid w:val="00A300FB"/>
    <w:rsid w:val="00A3266E"/>
    <w:rsid w:val="00A347CA"/>
    <w:rsid w:val="00A34C58"/>
    <w:rsid w:val="00A4240F"/>
    <w:rsid w:val="00A55F68"/>
    <w:rsid w:val="00A5639B"/>
    <w:rsid w:val="00A63EC3"/>
    <w:rsid w:val="00A65956"/>
    <w:rsid w:val="00A75703"/>
    <w:rsid w:val="00A77D01"/>
    <w:rsid w:val="00A84830"/>
    <w:rsid w:val="00A87312"/>
    <w:rsid w:val="00A9013D"/>
    <w:rsid w:val="00A91F25"/>
    <w:rsid w:val="00AB16C4"/>
    <w:rsid w:val="00AB4D0F"/>
    <w:rsid w:val="00AB537F"/>
    <w:rsid w:val="00AC0350"/>
    <w:rsid w:val="00AC4621"/>
    <w:rsid w:val="00AC78CB"/>
    <w:rsid w:val="00AD11DA"/>
    <w:rsid w:val="00AD16B0"/>
    <w:rsid w:val="00AD2667"/>
    <w:rsid w:val="00AD516C"/>
    <w:rsid w:val="00AD7DF3"/>
    <w:rsid w:val="00AE0B92"/>
    <w:rsid w:val="00AE3046"/>
    <w:rsid w:val="00AF052B"/>
    <w:rsid w:val="00B0082E"/>
    <w:rsid w:val="00B01A32"/>
    <w:rsid w:val="00B03909"/>
    <w:rsid w:val="00B0408C"/>
    <w:rsid w:val="00B05496"/>
    <w:rsid w:val="00B0744F"/>
    <w:rsid w:val="00B07A09"/>
    <w:rsid w:val="00B1011B"/>
    <w:rsid w:val="00B107CD"/>
    <w:rsid w:val="00B1307C"/>
    <w:rsid w:val="00B20DA2"/>
    <w:rsid w:val="00B2528E"/>
    <w:rsid w:val="00B2535B"/>
    <w:rsid w:val="00B46053"/>
    <w:rsid w:val="00B4626A"/>
    <w:rsid w:val="00B64FAE"/>
    <w:rsid w:val="00B671C0"/>
    <w:rsid w:val="00B671F9"/>
    <w:rsid w:val="00B70C40"/>
    <w:rsid w:val="00B73DDB"/>
    <w:rsid w:val="00B74466"/>
    <w:rsid w:val="00B768A9"/>
    <w:rsid w:val="00B778AD"/>
    <w:rsid w:val="00B841F7"/>
    <w:rsid w:val="00B8462F"/>
    <w:rsid w:val="00B915E5"/>
    <w:rsid w:val="00B9479A"/>
    <w:rsid w:val="00BA051B"/>
    <w:rsid w:val="00BA33DD"/>
    <w:rsid w:val="00BA52B3"/>
    <w:rsid w:val="00BA5FEF"/>
    <w:rsid w:val="00BA716D"/>
    <w:rsid w:val="00BB0477"/>
    <w:rsid w:val="00BB2D9A"/>
    <w:rsid w:val="00BB666A"/>
    <w:rsid w:val="00BC15CF"/>
    <w:rsid w:val="00BC57C5"/>
    <w:rsid w:val="00BC626C"/>
    <w:rsid w:val="00BD11B7"/>
    <w:rsid w:val="00BE093F"/>
    <w:rsid w:val="00BE68AD"/>
    <w:rsid w:val="00BF33F3"/>
    <w:rsid w:val="00BF4109"/>
    <w:rsid w:val="00BF5276"/>
    <w:rsid w:val="00C02B46"/>
    <w:rsid w:val="00C0790E"/>
    <w:rsid w:val="00C20624"/>
    <w:rsid w:val="00C228B9"/>
    <w:rsid w:val="00C2354C"/>
    <w:rsid w:val="00C23C12"/>
    <w:rsid w:val="00C260F2"/>
    <w:rsid w:val="00C432C1"/>
    <w:rsid w:val="00C4579B"/>
    <w:rsid w:val="00C46928"/>
    <w:rsid w:val="00C54884"/>
    <w:rsid w:val="00C56E4A"/>
    <w:rsid w:val="00C65827"/>
    <w:rsid w:val="00C66D20"/>
    <w:rsid w:val="00C702B5"/>
    <w:rsid w:val="00C770BD"/>
    <w:rsid w:val="00C805A2"/>
    <w:rsid w:val="00C81669"/>
    <w:rsid w:val="00C8554F"/>
    <w:rsid w:val="00C86BE6"/>
    <w:rsid w:val="00C95A42"/>
    <w:rsid w:val="00C96069"/>
    <w:rsid w:val="00C96492"/>
    <w:rsid w:val="00CA04FA"/>
    <w:rsid w:val="00CA3F76"/>
    <w:rsid w:val="00CA54FD"/>
    <w:rsid w:val="00CA5B24"/>
    <w:rsid w:val="00CA7576"/>
    <w:rsid w:val="00CA7D64"/>
    <w:rsid w:val="00CB3649"/>
    <w:rsid w:val="00CB464F"/>
    <w:rsid w:val="00CC0869"/>
    <w:rsid w:val="00CC0CC0"/>
    <w:rsid w:val="00CD7C67"/>
    <w:rsid w:val="00CE07E9"/>
    <w:rsid w:val="00CE5663"/>
    <w:rsid w:val="00CE59A2"/>
    <w:rsid w:val="00CE6276"/>
    <w:rsid w:val="00CF2D35"/>
    <w:rsid w:val="00CF36DB"/>
    <w:rsid w:val="00CF6C1D"/>
    <w:rsid w:val="00CF7A40"/>
    <w:rsid w:val="00D02400"/>
    <w:rsid w:val="00D03622"/>
    <w:rsid w:val="00D04475"/>
    <w:rsid w:val="00D04512"/>
    <w:rsid w:val="00D0635E"/>
    <w:rsid w:val="00D129A5"/>
    <w:rsid w:val="00D156EF"/>
    <w:rsid w:val="00D17FE7"/>
    <w:rsid w:val="00D20830"/>
    <w:rsid w:val="00D256D5"/>
    <w:rsid w:val="00D2598F"/>
    <w:rsid w:val="00D27F84"/>
    <w:rsid w:val="00D31114"/>
    <w:rsid w:val="00D34085"/>
    <w:rsid w:val="00D36689"/>
    <w:rsid w:val="00D37953"/>
    <w:rsid w:val="00D61CC7"/>
    <w:rsid w:val="00D764F0"/>
    <w:rsid w:val="00D95BB6"/>
    <w:rsid w:val="00D97BF5"/>
    <w:rsid w:val="00DA2F72"/>
    <w:rsid w:val="00DB14AF"/>
    <w:rsid w:val="00DB72BB"/>
    <w:rsid w:val="00DD2337"/>
    <w:rsid w:val="00DD672E"/>
    <w:rsid w:val="00DE0B91"/>
    <w:rsid w:val="00DE356B"/>
    <w:rsid w:val="00DE7A20"/>
    <w:rsid w:val="00DE7E55"/>
    <w:rsid w:val="00DF0647"/>
    <w:rsid w:val="00DF0718"/>
    <w:rsid w:val="00DF20AD"/>
    <w:rsid w:val="00DF6610"/>
    <w:rsid w:val="00E0149F"/>
    <w:rsid w:val="00E0430A"/>
    <w:rsid w:val="00E14984"/>
    <w:rsid w:val="00E15A26"/>
    <w:rsid w:val="00E24616"/>
    <w:rsid w:val="00E2751A"/>
    <w:rsid w:val="00E2753A"/>
    <w:rsid w:val="00E277B4"/>
    <w:rsid w:val="00E318B6"/>
    <w:rsid w:val="00E35FE4"/>
    <w:rsid w:val="00E413EB"/>
    <w:rsid w:val="00E43C7E"/>
    <w:rsid w:val="00E454C5"/>
    <w:rsid w:val="00E51F4A"/>
    <w:rsid w:val="00E52253"/>
    <w:rsid w:val="00E53AE9"/>
    <w:rsid w:val="00E62330"/>
    <w:rsid w:val="00E63F0E"/>
    <w:rsid w:val="00E64DE1"/>
    <w:rsid w:val="00E652D1"/>
    <w:rsid w:val="00E65845"/>
    <w:rsid w:val="00E65F80"/>
    <w:rsid w:val="00E67B91"/>
    <w:rsid w:val="00E7049A"/>
    <w:rsid w:val="00E71E31"/>
    <w:rsid w:val="00E7362D"/>
    <w:rsid w:val="00E7713A"/>
    <w:rsid w:val="00E8681A"/>
    <w:rsid w:val="00E9182C"/>
    <w:rsid w:val="00E92226"/>
    <w:rsid w:val="00E94FEE"/>
    <w:rsid w:val="00E97B31"/>
    <w:rsid w:val="00EA110A"/>
    <w:rsid w:val="00EA15EF"/>
    <w:rsid w:val="00EA403E"/>
    <w:rsid w:val="00EB7AC7"/>
    <w:rsid w:val="00EC6A4E"/>
    <w:rsid w:val="00ED6351"/>
    <w:rsid w:val="00ED7DED"/>
    <w:rsid w:val="00EE3D59"/>
    <w:rsid w:val="00EE6360"/>
    <w:rsid w:val="00EF35E4"/>
    <w:rsid w:val="00EF6152"/>
    <w:rsid w:val="00F02B59"/>
    <w:rsid w:val="00F06D3A"/>
    <w:rsid w:val="00F15F26"/>
    <w:rsid w:val="00F20935"/>
    <w:rsid w:val="00F22E5D"/>
    <w:rsid w:val="00F23DD7"/>
    <w:rsid w:val="00F24DFB"/>
    <w:rsid w:val="00F32B52"/>
    <w:rsid w:val="00F34FC3"/>
    <w:rsid w:val="00F45C12"/>
    <w:rsid w:val="00F46BF0"/>
    <w:rsid w:val="00F51072"/>
    <w:rsid w:val="00F549D8"/>
    <w:rsid w:val="00F55F39"/>
    <w:rsid w:val="00F60B58"/>
    <w:rsid w:val="00F657B5"/>
    <w:rsid w:val="00F725F8"/>
    <w:rsid w:val="00F7397E"/>
    <w:rsid w:val="00F73A2C"/>
    <w:rsid w:val="00F77B4F"/>
    <w:rsid w:val="00F82717"/>
    <w:rsid w:val="00F904EB"/>
    <w:rsid w:val="00F910C0"/>
    <w:rsid w:val="00F95B62"/>
    <w:rsid w:val="00F969C1"/>
    <w:rsid w:val="00FA0E19"/>
    <w:rsid w:val="00FA2527"/>
    <w:rsid w:val="00FA5464"/>
    <w:rsid w:val="00FB6956"/>
    <w:rsid w:val="00FC0636"/>
    <w:rsid w:val="00FC2D37"/>
    <w:rsid w:val="00FC5B5A"/>
    <w:rsid w:val="00FD6DBA"/>
    <w:rsid w:val="00FE37E9"/>
    <w:rsid w:val="00FE4620"/>
    <w:rsid w:val="00FE7BB7"/>
    <w:rsid w:val="00FF450A"/>
    <w:rsid w:val="010C3740"/>
    <w:rsid w:val="011E2216"/>
    <w:rsid w:val="012419C7"/>
    <w:rsid w:val="01396BC2"/>
    <w:rsid w:val="014F5925"/>
    <w:rsid w:val="01643644"/>
    <w:rsid w:val="0166613A"/>
    <w:rsid w:val="017B15B0"/>
    <w:rsid w:val="01A06EAC"/>
    <w:rsid w:val="01A1720F"/>
    <w:rsid w:val="01AA2958"/>
    <w:rsid w:val="01B03C20"/>
    <w:rsid w:val="01BD00D8"/>
    <w:rsid w:val="01C07690"/>
    <w:rsid w:val="01C86C5F"/>
    <w:rsid w:val="01CF1E5F"/>
    <w:rsid w:val="01D1184A"/>
    <w:rsid w:val="01D323D4"/>
    <w:rsid w:val="01FB75FA"/>
    <w:rsid w:val="01FF518B"/>
    <w:rsid w:val="020D1ED6"/>
    <w:rsid w:val="02124EE7"/>
    <w:rsid w:val="02134911"/>
    <w:rsid w:val="023937FC"/>
    <w:rsid w:val="02420609"/>
    <w:rsid w:val="02443D84"/>
    <w:rsid w:val="024838DD"/>
    <w:rsid w:val="024E1CE1"/>
    <w:rsid w:val="02586EB7"/>
    <w:rsid w:val="025D0B35"/>
    <w:rsid w:val="026279F6"/>
    <w:rsid w:val="02657E25"/>
    <w:rsid w:val="02795395"/>
    <w:rsid w:val="02842753"/>
    <w:rsid w:val="028930D7"/>
    <w:rsid w:val="02923400"/>
    <w:rsid w:val="02967138"/>
    <w:rsid w:val="02A3179A"/>
    <w:rsid w:val="02AF3191"/>
    <w:rsid w:val="02B66C88"/>
    <w:rsid w:val="02B82703"/>
    <w:rsid w:val="02FB0E63"/>
    <w:rsid w:val="0301066B"/>
    <w:rsid w:val="03037FCC"/>
    <w:rsid w:val="030727B3"/>
    <w:rsid w:val="03091B75"/>
    <w:rsid w:val="030F3B93"/>
    <w:rsid w:val="03123A1B"/>
    <w:rsid w:val="03137876"/>
    <w:rsid w:val="031669AD"/>
    <w:rsid w:val="031C310D"/>
    <w:rsid w:val="032B399E"/>
    <w:rsid w:val="032E3AD1"/>
    <w:rsid w:val="03311DE5"/>
    <w:rsid w:val="03312D02"/>
    <w:rsid w:val="033562B6"/>
    <w:rsid w:val="036B1C84"/>
    <w:rsid w:val="03741757"/>
    <w:rsid w:val="037803EA"/>
    <w:rsid w:val="03873B4C"/>
    <w:rsid w:val="038E02F6"/>
    <w:rsid w:val="039442DC"/>
    <w:rsid w:val="039C1AC2"/>
    <w:rsid w:val="03BA45A4"/>
    <w:rsid w:val="03C57662"/>
    <w:rsid w:val="03EF7513"/>
    <w:rsid w:val="0405398D"/>
    <w:rsid w:val="04081349"/>
    <w:rsid w:val="04083A06"/>
    <w:rsid w:val="041001ED"/>
    <w:rsid w:val="04221CF7"/>
    <w:rsid w:val="04280FB6"/>
    <w:rsid w:val="042D2035"/>
    <w:rsid w:val="0431746B"/>
    <w:rsid w:val="043315DD"/>
    <w:rsid w:val="04390C31"/>
    <w:rsid w:val="044226D3"/>
    <w:rsid w:val="04481992"/>
    <w:rsid w:val="044D07DB"/>
    <w:rsid w:val="0450418C"/>
    <w:rsid w:val="045634D1"/>
    <w:rsid w:val="045934A5"/>
    <w:rsid w:val="04687A5D"/>
    <w:rsid w:val="04812742"/>
    <w:rsid w:val="049125BA"/>
    <w:rsid w:val="0496410E"/>
    <w:rsid w:val="04AF68FC"/>
    <w:rsid w:val="04B24FA8"/>
    <w:rsid w:val="04CF7079"/>
    <w:rsid w:val="04D02DAA"/>
    <w:rsid w:val="04D07794"/>
    <w:rsid w:val="04D1200E"/>
    <w:rsid w:val="04D75EEC"/>
    <w:rsid w:val="04DB78D7"/>
    <w:rsid w:val="04E23283"/>
    <w:rsid w:val="050F4CD0"/>
    <w:rsid w:val="054C1AEE"/>
    <w:rsid w:val="05591BBA"/>
    <w:rsid w:val="056260F5"/>
    <w:rsid w:val="056C3F9C"/>
    <w:rsid w:val="05711173"/>
    <w:rsid w:val="057B76A7"/>
    <w:rsid w:val="058D370C"/>
    <w:rsid w:val="05903DA9"/>
    <w:rsid w:val="059571FD"/>
    <w:rsid w:val="059A5B3C"/>
    <w:rsid w:val="05A95F6F"/>
    <w:rsid w:val="05D33ACA"/>
    <w:rsid w:val="05DB3983"/>
    <w:rsid w:val="05DD60CF"/>
    <w:rsid w:val="060B32F2"/>
    <w:rsid w:val="060D0D52"/>
    <w:rsid w:val="060F1787"/>
    <w:rsid w:val="061203B8"/>
    <w:rsid w:val="06304245"/>
    <w:rsid w:val="063D4814"/>
    <w:rsid w:val="06446FAA"/>
    <w:rsid w:val="06447580"/>
    <w:rsid w:val="064B4078"/>
    <w:rsid w:val="06544283"/>
    <w:rsid w:val="06861D12"/>
    <w:rsid w:val="06867E44"/>
    <w:rsid w:val="06A023D0"/>
    <w:rsid w:val="06A4100A"/>
    <w:rsid w:val="06F62AB2"/>
    <w:rsid w:val="070F4EFC"/>
    <w:rsid w:val="07291241"/>
    <w:rsid w:val="073D4598"/>
    <w:rsid w:val="07433A50"/>
    <w:rsid w:val="07442B7E"/>
    <w:rsid w:val="075C2224"/>
    <w:rsid w:val="07657545"/>
    <w:rsid w:val="077D4B65"/>
    <w:rsid w:val="07907D3E"/>
    <w:rsid w:val="07AA6C68"/>
    <w:rsid w:val="07C73771"/>
    <w:rsid w:val="07C84834"/>
    <w:rsid w:val="07D07AB4"/>
    <w:rsid w:val="08054856"/>
    <w:rsid w:val="0808781F"/>
    <w:rsid w:val="080F0CC4"/>
    <w:rsid w:val="080F5F23"/>
    <w:rsid w:val="08400325"/>
    <w:rsid w:val="084861C0"/>
    <w:rsid w:val="084B7CB9"/>
    <w:rsid w:val="08532592"/>
    <w:rsid w:val="085928CF"/>
    <w:rsid w:val="085F0EED"/>
    <w:rsid w:val="086D0577"/>
    <w:rsid w:val="08853E03"/>
    <w:rsid w:val="089A4D1E"/>
    <w:rsid w:val="089D0ABA"/>
    <w:rsid w:val="089E77A5"/>
    <w:rsid w:val="08A235D4"/>
    <w:rsid w:val="08CD7E24"/>
    <w:rsid w:val="08F04119"/>
    <w:rsid w:val="09135AE1"/>
    <w:rsid w:val="091A452B"/>
    <w:rsid w:val="091F46C9"/>
    <w:rsid w:val="0920387E"/>
    <w:rsid w:val="09293C67"/>
    <w:rsid w:val="092D444A"/>
    <w:rsid w:val="09351800"/>
    <w:rsid w:val="09362701"/>
    <w:rsid w:val="09415038"/>
    <w:rsid w:val="095344B0"/>
    <w:rsid w:val="09597AF4"/>
    <w:rsid w:val="098A3AC5"/>
    <w:rsid w:val="09B06866"/>
    <w:rsid w:val="09C56E2F"/>
    <w:rsid w:val="09D34149"/>
    <w:rsid w:val="09DB26EB"/>
    <w:rsid w:val="09EA22A1"/>
    <w:rsid w:val="09EB629E"/>
    <w:rsid w:val="09FA5732"/>
    <w:rsid w:val="0A1F28CC"/>
    <w:rsid w:val="0A3354D0"/>
    <w:rsid w:val="0A402BD0"/>
    <w:rsid w:val="0A41209D"/>
    <w:rsid w:val="0A577C50"/>
    <w:rsid w:val="0A5C3ED2"/>
    <w:rsid w:val="0A6A444D"/>
    <w:rsid w:val="0A781ABB"/>
    <w:rsid w:val="0A8A794B"/>
    <w:rsid w:val="0A98343B"/>
    <w:rsid w:val="0AA6365C"/>
    <w:rsid w:val="0AA826BD"/>
    <w:rsid w:val="0ABD69AA"/>
    <w:rsid w:val="0AC4785F"/>
    <w:rsid w:val="0ADA242C"/>
    <w:rsid w:val="0AE222B8"/>
    <w:rsid w:val="0AEA40C7"/>
    <w:rsid w:val="0AEC5418"/>
    <w:rsid w:val="0B0033C8"/>
    <w:rsid w:val="0B352CE8"/>
    <w:rsid w:val="0B9A7CDC"/>
    <w:rsid w:val="0BA27580"/>
    <w:rsid w:val="0BA311FB"/>
    <w:rsid w:val="0BB8764B"/>
    <w:rsid w:val="0BC723A4"/>
    <w:rsid w:val="0BC82927"/>
    <w:rsid w:val="0BCA2DCF"/>
    <w:rsid w:val="0BD416EA"/>
    <w:rsid w:val="0BDF0D00"/>
    <w:rsid w:val="0BF068AB"/>
    <w:rsid w:val="0BF40CAC"/>
    <w:rsid w:val="0BF971CB"/>
    <w:rsid w:val="0BFC1E3A"/>
    <w:rsid w:val="0C100716"/>
    <w:rsid w:val="0C1705A1"/>
    <w:rsid w:val="0C3E3539"/>
    <w:rsid w:val="0C421139"/>
    <w:rsid w:val="0C7E3FD2"/>
    <w:rsid w:val="0C9B1F03"/>
    <w:rsid w:val="0C9E2790"/>
    <w:rsid w:val="0CA45DD2"/>
    <w:rsid w:val="0CA7066A"/>
    <w:rsid w:val="0CA82ABD"/>
    <w:rsid w:val="0CAA0399"/>
    <w:rsid w:val="0CCE3888"/>
    <w:rsid w:val="0CD85732"/>
    <w:rsid w:val="0CE8524A"/>
    <w:rsid w:val="0CEB7AA3"/>
    <w:rsid w:val="0D0D170A"/>
    <w:rsid w:val="0D1B55AB"/>
    <w:rsid w:val="0D4A6295"/>
    <w:rsid w:val="0D4C4CBF"/>
    <w:rsid w:val="0D5946FB"/>
    <w:rsid w:val="0D70152E"/>
    <w:rsid w:val="0D7925F6"/>
    <w:rsid w:val="0D8A17D7"/>
    <w:rsid w:val="0D8A1E47"/>
    <w:rsid w:val="0D983D88"/>
    <w:rsid w:val="0D9A4AE2"/>
    <w:rsid w:val="0DA02DE7"/>
    <w:rsid w:val="0DA2374E"/>
    <w:rsid w:val="0DC061B3"/>
    <w:rsid w:val="0DD65D57"/>
    <w:rsid w:val="0DE353D6"/>
    <w:rsid w:val="0DF016EF"/>
    <w:rsid w:val="0DF4140C"/>
    <w:rsid w:val="0E292F56"/>
    <w:rsid w:val="0E301764"/>
    <w:rsid w:val="0E3A25D2"/>
    <w:rsid w:val="0E3E7E33"/>
    <w:rsid w:val="0E510CA7"/>
    <w:rsid w:val="0E543425"/>
    <w:rsid w:val="0E550B30"/>
    <w:rsid w:val="0E71507E"/>
    <w:rsid w:val="0E777865"/>
    <w:rsid w:val="0E81617B"/>
    <w:rsid w:val="0E904964"/>
    <w:rsid w:val="0E963B12"/>
    <w:rsid w:val="0EA72D72"/>
    <w:rsid w:val="0EA9276B"/>
    <w:rsid w:val="0EB11A41"/>
    <w:rsid w:val="0EC952D1"/>
    <w:rsid w:val="0ECA34F3"/>
    <w:rsid w:val="0EDA4CF8"/>
    <w:rsid w:val="0EEC7703"/>
    <w:rsid w:val="0EF533EE"/>
    <w:rsid w:val="0EF71483"/>
    <w:rsid w:val="0EFC2FC2"/>
    <w:rsid w:val="0F1216A7"/>
    <w:rsid w:val="0F2210C0"/>
    <w:rsid w:val="0F384FB3"/>
    <w:rsid w:val="0F3C1AB2"/>
    <w:rsid w:val="0F45677B"/>
    <w:rsid w:val="0F477966"/>
    <w:rsid w:val="0F657FA0"/>
    <w:rsid w:val="0F660CD4"/>
    <w:rsid w:val="0F6832BC"/>
    <w:rsid w:val="0F8061A7"/>
    <w:rsid w:val="0F840E53"/>
    <w:rsid w:val="0F8D1934"/>
    <w:rsid w:val="0F9720E8"/>
    <w:rsid w:val="0FA7589A"/>
    <w:rsid w:val="10262AB7"/>
    <w:rsid w:val="1028710E"/>
    <w:rsid w:val="102B10D2"/>
    <w:rsid w:val="10391BB8"/>
    <w:rsid w:val="104840CC"/>
    <w:rsid w:val="105506F1"/>
    <w:rsid w:val="105E7C06"/>
    <w:rsid w:val="10647723"/>
    <w:rsid w:val="107D7B28"/>
    <w:rsid w:val="10815FC0"/>
    <w:rsid w:val="10AC7B0F"/>
    <w:rsid w:val="10AF55B0"/>
    <w:rsid w:val="10B024B7"/>
    <w:rsid w:val="10B02C50"/>
    <w:rsid w:val="10B07C65"/>
    <w:rsid w:val="10B140E2"/>
    <w:rsid w:val="10B2085B"/>
    <w:rsid w:val="10B33C43"/>
    <w:rsid w:val="10B52A53"/>
    <w:rsid w:val="11024337"/>
    <w:rsid w:val="110903FA"/>
    <w:rsid w:val="112351A0"/>
    <w:rsid w:val="1126107D"/>
    <w:rsid w:val="1127065C"/>
    <w:rsid w:val="112B64D1"/>
    <w:rsid w:val="113930AE"/>
    <w:rsid w:val="116909D0"/>
    <w:rsid w:val="116A259E"/>
    <w:rsid w:val="116F2A37"/>
    <w:rsid w:val="117A4D44"/>
    <w:rsid w:val="117D7E31"/>
    <w:rsid w:val="117E6C4A"/>
    <w:rsid w:val="11807301"/>
    <w:rsid w:val="118D0A13"/>
    <w:rsid w:val="11AB1021"/>
    <w:rsid w:val="11B276B2"/>
    <w:rsid w:val="11B3201C"/>
    <w:rsid w:val="11B347EB"/>
    <w:rsid w:val="11C0368E"/>
    <w:rsid w:val="11C110BD"/>
    <w:rsid w:val="11D210F7"/>
    <w:rsid w:val="11E502BC"/>
    <w:rsid w:val="11F71C51"/>
    <w:rsid w:val="12070599"/>
    <w:rsid w:val="121049A3"/>
    <w:rsid w:val="12122E8C"/>
    <w:rsid w:val="122E5591"/>
    <w:rsid w:val="12312399"/>
    <w:rsid w:val="123211F5"/>
    <w:rsid w:val="12377263"/>
    <w:rsid w:val="12603017"/>
    <w:rsid w:val="12AB7AEE"/>
    <w:rsid w:val="12BA0EF1"/>
    <w:rsid w:val="12C578E2"/>
    <w:rsid w:val="12C95D64"/>
    <w:rsid w:val="12CC4356"/>
    <w:rsid w:val="12D068C5"/>
    <w:rsid w:val="12D32585"/>
    <w:rsid w:val="12F5192D"/>
    <w:rsid w:val="130034EA"/>
    <w:rsid w:val="13010916"/>
    <w:rsid w:val="130A0835"/>
    <w:rsid w:val="130E5274"/>
    <w:rsid w:val="130F6E92"/>
    <w:rsid w:val="13195745"/>
    <w:rsid w:val="13412E49"/>
    <w:rsid w:val="134B290C"/>
    <w:rsid w:val="135C6A88"/>
    <w:rsid w:val="13773EE1"/>
    <w:rsid w:val="13793C4C"/>
    <w:rsid w:val="138F5F6D"/>
    <w:rsid w:val="13A95683"/>
    <w:rsid w:val="13C07CCD"/>
    <w:rsid w:val="13CC5E43"/>
    <w:rsid w:val="13CC7BB2"/>
    <w:rsid w:val="13FD1BF6"/>
    <w:rsid w:val="14160C89"/>
    <w:rsid w:val="14341B2C"/>
    <w:rsid w:val="144F523A"/>
    <w:rsid w:val="14506500"/>
    <w:rsid w:val="146D406C"/>
    <w:rsid w:val="14723B03"/>
    <w:rsid w:val="147344B7"/>
    <w:rsid w:val="148932AB"/>
    <w:rsid w:val="149608B5"/>
    <w:rsid w:val="14C652E0"/>
    <w:rsid w:val="14DA105A"/>
    <w:rsid w:val="14E11458"/>
    <w:rsid w:val="14E20CC5"/>
    <w:rsid w:val="14E67C2A"/>
    <w:rsid w:val="14F551F9"/>
    <w:rsid w:val="14FA3EE2"/>
    <w:rsid w:val="150156D9"/>
    <w:rsid w:val="150D001E"/>
    <w:rsid w:val="151356C9"/>
    <w:rsid w:val="15193755"/>
    <w:rsid w:val="151A0B4B"/>
    <w:rsid w:val="15555D77"/>
    <w:rsid w:val="155768EA"/>
    <w:rsid w:val="15631794"/>
    <w:rsid w:val="15663533"/>
    <w:rsid w:val="15775394"/>
    <w:rsid w:val="157A15A1"/>
    <w:rsid w:val="157A163E"/>
    <w:rsid w:val="15882D39"/>
    <w:rsid w:val="15A6741D"/>
    <w:rsid w:val="15EB097E"/>
    <w:rsid w:val="15EE6D4F"/>
    <w:rsid w:val="15F72ECF"/>
    <w:rsid w:val="15F73138"/>
    <w:rsid w:val="15F9618C"/>
    <w:rsid w:val="16052A26"/>
    <w:rsid w:val="16106413"/>
    <w:rsid w:val="1612727A"/>
    <w:rsid w:val="161441D9"/>
    <w:rsid w:val="161667D9"/>
    <w:rsid w:val="161965E1"/>
    <w:rsid w:val="161D2B0F"/>
    <w:rsid w:val="162167B0"/>
    <w:rsid w:val="1625794F"/>
    <w:rsid w:val="163030A9"/>
    <w:rsid w:val="1635418A"/>
    <w:rsid w:val="16402975"/>
    <w:rsid w:val="16480C62"/>
    <w:rsid w:val="16580EE0"/>
    <w:rsid w:val="16635369"/>
    <w:rsid w:val="16747ECA"/>
    <w:rsid w:val="167C1129"/>
    <w:rsid w:val="16BB056F"/>
    <w:rsid w:val="16CA26EC"/>
    <w:rsid w:val="16CC506C"/>
    <w:rsid w:val="16D01B7B"/>
    <w:rsid w:val="16D44897"/>
    <w:rsid w:val="16E07216"/>
    <w:rsid w:val="16F367DC"/>
    <w:rsid w:val="16F517AE"/>
    <w:rsid w:val="16F96216"/>
    <w:rsid w:val="17066EF9"/>
    <w:rsid w:val="171521AD"/>
    <w:rsid w:val="17154A39"/>
    <w:rsid w:val="17292B9A"/>
    <w:rsid w:val="172F0E02"/>
    <w:rsid w:val="173527D1"/>
    <w:rsid w:val="175A39E7"/>
    <w:rsid w:val="175E6555"/>
    <w:rsid w:val="176C3AAF"/>
    <w:rsid w:val="17763674"/>
    <w:rsid w:val="178205CF"/>
    <w:rsid w:val="17957796"/>
    <w:rsid w:val="17A077F7"/>
    <w:rsid w:val="17BD1813"/>
    <w:rsid w:val="17C342E9"/>
    <w:rsid w:val="17D40E38"/>
    <w:rsid w:val="17D851C8"/>
    <w:rsid w:val="17DC36A8"/>
    <w:rsid w:val="17DE4884"/>
    <w:rsid w:val="17E11327"/>
    <w:rsid w:val="17E35009"/>
    <w:rsid w:val="18051262"/>
    <w:rsid w:val="18236287"/>
    <w:rsid w:val="18323AC1"/>
    <w:rsid w:val="183A58D8"/>
    <w:rsid w:val="183F52E8"/>
    <w:rsid w:val="184B2E7B"/>
    <w:rsid w:val="187D3B9A"/>
    <w:rsid w:val="18A9597E"/>
    <w:rsid w:val="18AB2ED1"/>
    <w:rsid w:val="18B164AE"/>
    <w:rsid w:val="18C23C32"/>
    <w:rsid w:val="18D02274"/>
    <w:rsid w:val="18DC4072"/>
    <w:rsid w:val="18EF7CE0"/>
    <w:rsid w:val="18F162F7"/>
    <w:rsid w:val="18FC0646"/>
    <w:rsid w:val="19001645"/>
    <w:rsid w:val="190F3A5E"/>
    <w:rsid w:val="193F70D0"/>
    <w:rsid w:val="194062E7"/>
    <w:rsid w:val="194A4C7C"/>
    <w:rsid w:val="195812D7"/>
    <w:rsid w:val="195D1A8D"/>
    <w:rsid w:val="19610438"/>
    <w:rsid w:val="19634F25"/>
    <w:rsid w:val="196A6322"/>
    <w:rsid w:val="19A11436"/>
    <w:rsid w:val="19BA255C"/>
    <w:rsid w:val="19BB4D70"/>
    <w:rsid w:val="19C504F1"/>
    <w:rsid w:val="19C8788B"/>
    <w:rsid w:val="19CF5B10"/>
    <w:rsid w:val="19D625F5"/>
    <w:rsid w:val="19E861A3"/>
    <w:rsid w:val="19E959E8"/>
    <w:rsid w:val="19F45A44"/>
    <w:rsid w:val="19FA24A9"/>
    <w:rsid w:val="19FC31AB"/>
    <w:rsid w:val="19FD1E03"/>
    <w:rsid w:val="19FF093C"/>
    <w:rsid w:val="1A000282"/>
    <w:rsid w:val="1A001C65"/>
    <w:rsid w:val="1A1F1B1F"/>
    <w:rsid w:val="1A272C46"/>
    <w:rsid w:val="1A2E57CC"/>
    <w:rsid w:val="1A580808"/>
    <w:rsid w:val="1A5C43C3"/>
    <w:rsid w:val="1A7A28E3"/>
    <w:rsid w:val="1A8B4D72"/>
    <w:rsid w:val="1AA6464B"/>
    <w:rsid w:val="1AAA548A"/>
    <w:rsid w:val="1AB206E3"/>
    <w:rsid w:val="1ABD7EA0"/>
    <w:rsid w:val="1AE3464F"/>
    <w:rsid w:val="1AE710D9"/>
    <w:rsid w:val="1AEE1C2B"/>
    <w:rsid w:val="1B017A96"/>
    <w:rsid w:val="1B0F217A"/>
    <w:rsid w:val="1B1A7BAB"/>
    <w:rsid w:val="1B24058C"/>
    <w:rsid w:val="1B333513"/>
    <w:rsid w:val="1B383125"/>
    <w:rsid w:val="1B3E066D"/>
    <w:rsid w:val="1B4D1B7E"/>
    <w:rsid w:val="1BA77E78"/>
    <w:rsid w:val="1BAC20CE"/>
    <w:rsid w:val="1BAF6FA1"/>
    <w:rsid w:val="1BB346B2"/>
    <w:rsid w:val="1BB4397F"/>
    <w:rsid w:val="1BBB457B"/>
    <w:rsid w:val="1BE067AF"/>
    <w:rsid w:val="1BE669C6"/>
    <w:rsid w:val="1BE95A01"/>
    <w:rsid w:val="1BEE3EBF"/>
    <w:rsid w:val="1BF75639"/>
    <w:rsid w:val="1C0F676E"/>
    <w:rsid w:val="1C3513EE"/>
    <w:rsid w:val="1C3A6736"/>
    <w:rsid w:val="1C461364"/>
    <w:rsid w:val="1C6F7621"/>
    <w:rsid w:val="1C71180A"/>
    <w:rsid w:val="1C872CBB"/>
    <w:rsid w:val="1C87735C"/>
    <w:rsid w:val="1C8962A5"/>
    <w:rsid w:val="1C9217AB"/>
    <w:rsid w:val="1C9B5B18"/>
    <w:rsid w:val="1CB875CB"/>
    <w:rsid w:val="1CC65D62"/>
    <w:rsid w:val="1CDC587C"/>
    <w:rsid w:val="1CE0162A"/>
    <w:rsid w:val="1CEE3C32"/>
    <w:rsid w:val="1CF202AF"/>
    <w:rsid w:val="1CFC13F7"/>
    <w:rsid w:val="1CFE3A24"/>
    <w:rsid w:val="1D08180D"/>
    <w:rsid w:val="1D2057E2"/>
    <w:rsid w:val="1D2E2E24"/>
    <w:rsid w:val="1D3907B5"/>
    <w:rsid w:val="1D4D7F8F"/>
    <w:rsid w:val="1D5374D6"/>
    <w:rsid w:val="1D5B6206"/>
    <w:rsid w:val="1D8C6591"/>
    <w:rsid w:val="1DBC6952"/>
    <w:rsid w:val="1DE945F4"/>
    <w:rsid w:val="1DF47B99"/>
    <w:rsid w:val="1E167BA2"/>
    <w:rsid w:val="1E1D26C4"/>
    <w:rsid w:val="1E237B3F"/>
    <w:rsid w:val="1E300A8E"/>
    <w:rsid w:val="1E31632C"/>
    <w:rsid w:val="1E364F49"/>
    <w:rsid w:val="1E381AF4"/>
    <w:rsid w:val="1E424336"/>
    <w:rsid w:val="1E5E57D5"/>
    <w:rsid w:val="1E605269"/>
    <w:rsid w:val="1E6D67C4"/>
    <w:rsid w:val="1E85328C"/>
    <w:rsid w:val="1E92064C"/>
    <w:rsid w:val="1EA833CF"/>
    <w:rsid w:val="1EA9410B"/>
    <w:rsid w:val="1EB36623"/>
    <w:rsid w:val="1EB87B2F"/>
    <w:rsid w:val="1EE9272D"/>
    <w:rsid w:val="1F004CAB"/>
    <w:rsid w:val="1F01628A"/>
    <w:rsid w:val="1F0C14DC"/>
    <w:rsid w:val="1F1162E3"/>
    <w:rsid w:val="1F12142A"/>
    <w:rsid w:val="1F173632"/>
    <w:rsid w:val="1F287C2E"/>
    <w:rsid w:val="1F627DB9"/>
    <w:rsid w:val="1F836BE8"/>
    <w:rsid w:val="1F971000"/>
    <w:rsid w:val="1F9956AA"/>
    <w:rsid w:val="1F9F2D48"/>
    <w:rsid w:val="1FA0787A"/>
    <w:rsid w:val="1FAC574E"/>
    <w:rsid w:val="1FB12D6E"/>
    <w:rsid w:val="1FB570F7"/>
    <w:rsid w:val="1FCF4C99"/>
    <w:rsid w:val="1FDA5676"/>
    <w:rsid w:val="1FDD5E4F"/>
    <w:rsid w:val="1FE91FD7"/>
    <w:rsid w:val="1FEB71D0"/>
    <w:rsid w:val="1FFF4087"/>
    <w:rsid w:val="20056404"/>
    <w:rsid w:val="2008333A"/>
    <w:rsid w:val="200D1028"/>
    <w:rsid w:val="20171D2E"/>
    <w:rsid w:val="20232A46"/>
    <w:rsid w:val="203E13DC"/>
    <w:rsid w:val="203E40FA"/>
    <w:rsid w:val="20546B43"/>
    <w:rsid w:val="2056171E"/>
    <w:rsid w:val="20702CC2"/>
    <w:rsid w:val="207516FC"/>
    <w:rsid w:val="20825D18"/>
    <w:rsid w:val="208F5FF0"/>
    <w:rsid w:val="209A018A"/>
    <w:rsid w:val="209E149F"/>
    <w:rsid w:val="20A2201E"/>
    <w:rsid w:val="20A52F8E"/>
    <w:rsid w:val="20A80B69"/>
    <w:rsid w:val="20B17363"/>
    <w:rsid w:val="20B462E1"/>
    <w:rsid w:val="20B9358F"/>
    <w:rsid w:val="20CF424C"/>
    <w:rsid w:val="20CF5412"/>
    <w:rsid w:val="20CF6FC2"/>
    <w:rsid w:val="20D25D42"/>
    <w:rsid w:val="20DA466E"/>
    <w:rsid w:val="20E3461D"/>
    <w:rsid w:val="20E374CE"/>
    <w:rsid w:val="20F93624"/>
    <w:rsid w:val="21056798"/>
    <w:rsid w:val="211E58CB"/>
    <w:rsid w:val="21333FDE"/>
    <w:rsid w:val="21360F42"/>
    <w:rsid w:val="213F78B6"/>
    <w:rsid w:val="214C13F4"/>
    <w:rsid w:val="216169CE"/>
    <w:rsid w:val="2166648B"/>
    <w:rsid w:val="2177011B"/>
    <w:rsid w:val="21787707"/>
    <w:rsid w:val="21927D2B"/>
    <w:rsid w:val="21950427"/>
    <w:rsid w:val="21B828FB"/>
    <w:rsid w:val="21BB5791"/>
    <w:rsid w:val="21C15076"/>
    <w:rsid w:val="21D610A3"/>
    <w:rsid w:val="21ED6617"/>
    <w:rsid w:val="22117F1D"/>
    <w:rsid w:val="221A5303"/>
    <w:rsid w:val="22256C39"/>
    <w:rsid w:val="222B645F"/>
    <w:rsid w:val="22461793"/>
    <w:rsid w:val="22740F07"/>
    <w:rsid w:val="227C2870"/>
    <w:rsid w:val="22A961BC"/>
    <w:rsid w:val="22B7235F"/>
    <w:rsid w:val="22BA0B55"/>
    <w:rsid w:val="22CB74AD"/>
    <w:rsid w:val="22F979D5"/>
    <w:rsid w:val="22FF1C02"/>
    <w:rsid w:val="233C7CC4"/>
    <w:rsid w:val="234303D6"/>
    <w:rsid w:val="23487940"/>
    <w:rsid w:val="23664D63"/>
    <w:rsid w:val="236A5B20"/>
    <w:rsid w:val="23716B66"/>
    <w:rsid w:val="237F4689"/>
    <w:rsid w:val="23815233"/>
    <w:rsid w:val="238F3AC1"/>
    <w:rsid w:val="239731F7"/>
    <w:rsid w:val="239D11F0"/>
    <w:rsid w:val="23A52AD1"/>
    <w:rsid w:val="23B125EC"/>
    <w:rsid w:val="23C35198"/>
    <w:rsid w:val="23D85BB7"/>
    <w:rsid w:val="23D8621B"/>
    <w:rsid w:val="23DF07D8"/>
    <w:rsid w:val="23F40208"/>
    <w:rsid w:val="24146C87"/>
    <w:rsid w:val="241500EB"/>
    <w:rsid w:val="24285939"/>
    <w:rsid w:val="242B36EA"/>
    <w:rsid w:val="24311649"/>
    <w:rsid w:val="243430C0"/>
    <w:rsid w:val="243536EE"/>
    <w:rsid w:val="243F6AC7"/>
    <w:rsid w:val="245A4400"/>
    <w:rsid w:val="24721B34"/>
    <w:rsid w:val="248C4B70"/>
    <w:rsid w:val="248F1E95"/>
    <w:rsid w:val="24C867EF"/>
    <w:rsid w:val="24CC6A52"/>
    <w:rsid w:val="24CF6341"/>
    <w:rsid w:val="24DD0859"/>
    <w:rsid w:val="24E17396"/>
    <w:rsid w:val="24E43AD7"/>
    <w:rsid w:val="24F07E06"/>
    <w:rsid w:val="25066457"/>
    <w:rsid w:val="2513502B"/>
    <w:rsid w:val="2525242F"/>
    <w:rsid w:val="252C0DB5"/>
    <w:rsid w:val="252D66B5"/>
    <w:rsid w:val="25484390"/>
    <w:rsid w:val="254D1EA7"/>
    <w:rsid w:val="25562E69"/>
    <w:rsid w:val="25573031"/>
    <w:rsid w:val="259D473E"/>
    <w:rsid w:val="25AE5696"/>
    <w:rsid w:val="25B819BD"/>
    <w:rsid w:val="25C83000"/>
    <w:rsid w:val="25E11157"/>
    <w:rsid w:val="25FE469D"/>
    <w:rsid w:val="26006EC9"/>
    <w:rsid w:val="260464F1"/>
    <w:rsid w:val="26151BE1"/>
    <w:rsid w:val="261A6438"/>
    <w:rsid w:val="261B78D4"/>
    <w:rsid w:val="263A1069"/>
    <w:rsid w:val="263F3BE5"/>
    <w:rsid w:val="265D16AF"/>
    <w:rsid w:val="266239C1"/>
    <w:rsid w:val="26667724"/>
    <w:rsid w:val="26830366"/>
    <w:rsid w:val="26A91DBD"/>
    <w:rsid w:val="26AA5672"/>
    <w:rsid w:val="26B83BB5"/>
    <w:rsid w:val="26C03021"/>
    <w:rsid w:val="26C53B72"/>
    <w:rsid w:val="26E27C69"/>
    <w:rsid w:val="27052D44"/>
    <w:rsid w:val="270F7BA5"/>
    <w:rsid w:val="271B62F2"/>
    <w:rsid w:val="27200826"/>
    <w:rsid w:val="27224883"/>
    <w:rsid w:val="27431B83"/>
    <w:rsid w:val="27512301"/>
    <w:rsid w:val="275D7803"/>
    <w:rsid w:val="27693C75"/>
    <w:rsid w:val="276A5117"/>
    <w:rsid w:val="27735C57"/>
    <w:rsid w:val="277F2A3E"/>
    <w:rsid w:val="27824583"/>
    <w:rsid w:val="27A27EB1"/>
    <w:rsid w:val="27AE44D4"/>
    <w:rsid w:val="27E6709F"/>
    <w:rsid w:val="2805794E"/>
    <w:rsid w:val="280A10B3"/>
    <w:rsid w:val="28103175"/>
    <w:rsid w:val="2815008B"/>
    <w:rsid w:val="281C737F"/>
    <w:rsid w:val="28495738"/>
    <w:rsid w:val="287A27AB"/>
    <w:rsid w:val="287D2BE1"/>
    <w:rsid w:val="287D6FBD"/>
    <w:rsid w:val="28925234"/>
    <w:rsid w:val="289312C7"/>
    <w:rsid w:val="28A66252"/>
    <w:rsid w:val="28AA27E6"/>
    <w:rsid w:val="28B15AF9"/>
    <w:rsid w:val="28C22A5D"/>
    <w:rsid w:val="28C453A4"/>
    <w:rsid w:val="28CC3DA5"/>
    <w:rsid w:val="28F84C33"/>
    <w:rsid w:val="28FC25A8"/>
    <w:rsid w:val="291E20AF"/>
    <w:rsid w:val="294058B2"/>
    <w:rsid w:val="2942214A"/>
    <w:rsid w:val="294B5CD2"/>
    <w:rsid w:val="294C2E59"/>
    <w:rsid w:val="29501110"/>
    <w:rsid w:val="295A4AED"/>
    <w:rsid w:val="295F4ADC"/>
    <w:rsid w:val="29790DD4"/>
    <w:rsid w:val="297C16B7"/>
    <w:rsid w:val="298C3190"/>
    <w:rsid w:val="298E563B"/>
    <w:rsid w:val="299B0B18"/>
    <w:rsid w:val="29A167FB"/>
    <w:rsid w:val="29A56CEB"/>
    <w:rsid w:val="29AE7FD1"/>
    <w:rsid w:val="29B71B80"/>
    <w:rsid w:val="29C42E17"/>
    <w:rsid w:val="29C52AC9"/>
    <w:rsid w:val="29DC3335"/>
    <w:rsid w:val="29E33FE5"/>
    <w:rsid w:val="29F15BEB"/>
    <w:rsid w:val="2A225D13"/>
    <w:rsid w:val="2A3644FB"/>
    <w:rsid w:val="2A3B5695"/>
    <w:rsid w:val="2A3F1FB5"/>
    <w:rsid w:val="2A3F6191"/>
    <w:rsid w:val="2A4474E5"/>
    <w:rsid w:val="2A557619"/>
    <w:rsid w:val="2A701B07"/>
    <w:rsid w:val="2A9160C6"/>
    <w:rsid w:val="2A954C8C"/>
    <w:rsid w:val="2A9A0FBA"/>
    <w:rsid w:val="2AA00F80"/>
    <w:rsid w:val="2AC3429B"/>
    <w:rsid w:val="2AC84E25"/>
    <w:rsid w:val="2AC944E3"/>
    <w:rsid w:val="2AD94E99"/>
    <w:rsid w:val="2AE62C68"/>
    <w:rsid w:val="2B0D634A"/>
    <w:rsid w:val="2B196411"/>
    <w:rsid w:val="2B1F0F16"/>
    <w:rsid w:val="2B285938"/>
    <w:rsid w:val="2B472730"/>
    <w:rsid w:val="2B5C4002"/>
    <w:rsid w:val="2B5F4939"/>
    <w:rsid w:val="2B845022"/>
    <w:rsid w:val="2B8B2422"/>
    <w:rsid w:val="2B8B6667"/>
    <w:rsid w:val="2BAB679E"/>
    <w:rsid w:val="2BDC1322"/>
    <w:rsid w:val="2BDD24BF"/>
    <w:rsid w:val="2BE6443F"/>
    <w:rsid w:val="2C0F1F33"/>
    <w:rsid w:val="2C104645"/>
    <w:rsid w:val="2C1234DD"/>
    <w:rsid w:val="2C416543"/>
    <w:rsid w:val="2C566244"/>
    <w:rsid w:val="2C652696"/>
    <w:rsid w:val="2C6A26ED"/>
    <w:rsid w:val="2C731C23"/>
    <w:rsid w:val="2C797ED2"/>
    <w:rsid w:val="2CAB4013"/>
    <w:rsid w:val="2CB7740F"/>
    <w:rsid w:val="2CBB2AAA"/>
    <w:rsid w:val="2CC01F69"/>
    <w:rsid w:val="2CC630B5"/>
    <w:rsid w:val="2CF03826"/>
    <w:rsid w:val="2CF61C55"/>
    <w:rsid w:val="2CF768E3"/>
    <w:rsid w:val="2D0C15B7"/>
    <w:rsid w:val="2D163489"/>
    <w:rsid w:val="2D25685E"/>
    <w:rsid w:val="2D2A4DCA"/>
    <w:rsid w:val="2D457D60"/>
    <w:rsid w:val="2D513C86"/>
    <w:rsid w:val="2D5716D8"/>
    <w:rsid w:val="2D571E6B"/>
    <w:rsid w:val="2D5967A8"/>
    <w:rsid w:val="2D655125"/>
    <w:rsid w:val="2D692FFA"/>
    <w:rsid w:val="2D7C1A68"/>
    <w:rsid w:val="2D7E6517"/>
    <w:rsid w:val="2D8941F5"/>
    <w:rsid w:val="2D8D2184"/>
    <w:rsid w:val="2D976B5B"/>
    <w:rsid w:val="2D980D32"/>
    <w:rsid w:val="2DB333A1"/>
    <w:rsid w:val="2DD53EBF"/>
    <w:rsid w:val="2DE12E29"/>
    <w:rsid w:val="2DF22DE3"/>
    <w:rsid w:val="2E032AE7"/>
    <w:rsid w:val="2E047F1B"/>
    <w:rsid w:val="2E1C4FF7"/>
    <w:rsid w:val="2E370B53"/>
    <w:rsid w:val="2E3A7AE9"/>
    <w:rsid w:val="2E3F4817"/>
    <w:rsid w:val="2E40533A"/>
    <w:rsid w:val="2E5572F1"/>
    <w:rsid w:val="2E5E1832"/>
    <w:rsid w:val="2E640B48"/>
    <w:rsid w:val="2E7E669F"/>
    <w:rsid w:val="2E8A501A"/>
    <w:rsid w:val="2E9051D1"/>
    <w:rsid w:val="2E9206B9"/>
    <w:rsid w:val="2E9726C8"/>
    <w:rsid w:val="2EA32E6D"/>
    <w:rsid w:val="2EA357D2"/>
    <w:rsid w:val="2EB0460C"/>
    <w:rsid w:val="2EB5126F"/>
    <w:rsid w:val="2EB71598"/>
    <w:rsid w:val="2EDE00F6"/>
    <w:rsid w:val="2EE43237"/>
    <w:rsid w:val="2EF03491"/>
    <w:rsid w:val="2EF962E7"/>
    <w:rsid w:val="2F1D7A97"/>
    <w:rsid w:val="2F2A7B2C"/>
    <w:rsid w:val="2F4532A8"/>
    <w:rsid w:val="2F46554D"/>
    <w:rsid w:val="2F5C48B5"/>
    <w:rsid w:val="2F5D6C08"/>
    <w:rsid w:val="2F7379A4"/>
    <w:rsid w:val="2F7F691B"/>
    <w:rsid w:val="2F853DE2"/>
    <w:rsid w:val="2F883BBD"/>
    <w:rsid w:val="2F885CF3"/>
    <w:rsid w:val="2F893C36"/>
    <w:rsid w:val="2F903186"/>
    <w:rsid w:val="2F92321C"/>
    <w:rsid w:val="2F9537BC"/>
    <w:rsid w:val="2FC245A0"/>
    <w:rsid w:val="2FD07CBE"/>
    <w:rsid w:val="2FE27845"/>
    <w:rsid w:val="2FE57ECB"/>
    <w:rsid w:val="2FF21354"/>
    <w:rsid w:val="2FF25DAF"/>
    <w:rsid w:val="2FFF070E"/>
    <w:rsid w:val="300B7373"/>
    <w:rsid w:val="301F4F50"/>
    <w:rsid w:val="302258EF"/>
    <w:rsid w:val="302D7109"/>
    <w:rsid w:val="30326CE0"/>
    <w:rsid w:val="30365485"/>
    <w:rsid w:val="303A1923"/>
    <w:rsid w:val="304C6677"/>
    <w:rsid w:val="304D1D8B"/>
    <w:rsid w:val="30550B57"/>
    <w:rsid w:val="30550E92"/>
    <w:rsid w:val="307D4F5B"/>
    <w:rsid w:val="30854FF2"/>
    <w:rsid w:val="30A323F7"/>
    <w:rsid w:val="30A60098"/>
    <w:rsid w:val="30B73A75"/>
    <w:rsid w:val="30C172FA"/>
    <w:rsid w:val="30C74A8D"/>
    <w:rsid w:val="30CB404B"/>
    <w:rsid w:val="30CD06F6"/>
    <w:rsid w:val="30D16149"/>
    <w:rsid w:val="30DF1268"/>
    <w:rsid w:val="30E510B9"/>
    <w:rsid w:val="31022089"/>
    <w:rsid w:val="31130CC5"/>
    <w:rsid w:val="311A6B5C"/>
    <w:rsid w:val="31217689"/>
    <w:rsid w:val="31276E4C"/>
    <w:rsid w:val="31434AEE"/>
    <w:rsid w:val="315839F3"/>
    <w:rsid w:val="31AC2778"/>
    <w:rsid w:val="31B43433"/>
    <w:rsid w:val="31C93336"/>
    <w:rsid w:val="31D326E8"/>
    <w:rsid w:val="31D75EC9"/>
    <w:rsid w:val="31E20A9B"/>
    <w:rsid w:val="31E66434"/>
    <w:rsid w:val="32015C73"/>
    <w:rsid w:val="3207221F"/>
    <w:rsid w:val="320730DF"/>
    <w:rsid w:val="320C0D49"/>
    <w:rsid w:val="32152F1E"/>
    <w:rsid w:val="32317EBB"/>
    <w:rsid w:val="324015C3"/>
    <w:rsid w:val="325570EB"/>
    <w:rsid w:val="326E1618"/>
    <w:rsid w:val="32771C9E"/>
    <w:rsid w:val="32795529"/>
    <w:rsid w:val="32806AF6"/>
    <w:rsid w:val="3282047F"/>
    <w:rsid w:val="32860EF7"/>
    <w:rsid w:val="32A03752"/>
    <w:rsid w:val="32D021FD"/>
    <w:rsid w:val="32D814C3"/>
    <w:rsid w:val="32E310E6"/>
    <w:rsid w:val="32E703E6"/>
    <w:rsid w:val="32EE0227"/>
    <w:rsid w:val="32F81D79"/>
    <w:rsid w:val="3312728B"/>
    <w:rsid w:val="33291E24"/>
    <w:rsid w:val="332F3CA8"/>
    <w:rsid w:val="33454971"/>
    <w:rsid w:val="335312F5"/>
    <w:rsid w:val="335559C4"/>
    <w:rsid w:val="335B752F"/>
    <w:rsid w:val="33603847"/>
    <w:rsid w:val="33702F78"/>
    <w:rsid w:val="33716AAB"/>
    <w:rsid w:val="337E45E6"/>
    <w:rsid w:val="33893E16"/>
    <w:rsid w:val="33A82D04"/>
    <w:rsid w:val="33C33C3C"/>
    <w:rsid w:val="33DA5D9B"/>
    <w:rsid w:val="33F63897"/>
    <w:rsid w:val="34162064"/>
    <w:rsid w:val="341678B8"/>
    <w:rsid w:val="341D21E6"/>
    <w:rsid w:val="345640ED"/>
    <w:rsid w:val="347F6AF2"/>
    <w:rsid w:val="3480730D"/>
    <w:rsid w:val="34817198"/>
    <w:rsid w:val="34964E65"/>
    <w:rsid w:val="34D16C26"/>
    <w:rsid w:val="34D43C4A"/>
    <w:rsid w:val="34DB2794"/>
    <w:rsid w:val="34ED2886"/>
    <w:rsid w:val="35414257"/>
    <w:rsid w:val="354922EC"/>
    <w:rsid w:val="354D71E5"/>
    <w:rsid w:val="35536C2D"/>
    <w:rsid w:val="355C003F"/>
    <w:rsid w:val="359027DC"/>
    <w:rsid w:val="35A278E1"/>
    <w:rsid w:val="35B337DC"/>
    <w:rsid w:val="35C3770D"/>
    <w:rsid w:val="35C8351C"/>
    <w:rsid w:val="35D231CE"/>
    <w:rsid w:val="35EA32B8"/>
    <w:rsid w:val="35EA65D9"/>
    <w:rsid w:val="35F23469"/>
    <w:rsid w:val="35F41E13"/>
    <w:rsid w:val="36095B47"/>
    <w:rsid w:val="361C11FD"/>
    <w:rsid w:val="36244B04"/>
    <w:rsid w:val="363415B4"/>
    <w:rsid w:val="363D07EE"/>
    <w:rsid w:val="364E619F"/>
    <w:rsid w:val="365706E8"/>
    <w:rsid w:val="36651C33"/>
    <w:rsid w:val="368558EC"/>
    <w:rsid w:val="368B5725"/>
    <w:rsid w:val="368E3AD3"/>
    <w:rsid w:val="36917E87"/>
    <w:rsid w:val="369727ED"/>
    <w:rsid w:val="36A26B5C"/>
    <w:rsid w:val="36AC7F33"/>
    <w:rsid w:val="36C06948"/>
    <w:rsid w:val="36C44C94"/>
    <w:rsid w:val="36F90D70"/>
    <w:rsid w:val="36FB7FD1"/>
    <w:rsid w:val="37012D77"/>
    <w:rsid w:val="37135AA0"/>
    <w:rsid w:val="37136B7F"/>
    <w:rsid w:val="371B65E4"/>
    <w:rsid w:val="372B459A"/>
    <w:rsid w:val="372F24DA"/>
    <w:rsid w:val="37597E91"/>
    <w:rsid w:val="375A50E0"/>
    <w:rsid w:val="3762256E"/>
    <w:rsid w:val="376B59D6"/>
    <w:rsid w:val="37966040"/>
    <w:rsid w:val="379837B6"/>
    <w:rsid w:val="379E186F"/>
    <w:rsid w:val="37A13BD1"/>
    <w:rsid w:val="37A6251F"/>
    <w:rsid w:val="37AB4513"/>
    <w:rsid w:val="37C27518"/>
    <w:rsid w:val="37C62065"/>
    <w:rsid w:val="37E04243"/>
    <w:rsid w:val="37E864F5"/>
    <w:rsid w:val="37F04AAC"/>
    <w:rsid w:val="37F5008D"/>
    <w:rsid w:val="381C2E00"/>
    <w:rsid w:val="381F097C"/>
    <w:rsid w:val="38383E38"/>
    <w:rsid w:val="383973C2"/>
    <w:rsid w:val="383D3F57"/>
    <w:rsid w:val="385C6D59"/>
    <w:rsid w:val="38682D45"/>
    <w:rsid w:val="387267B5"/>
    <w:rsid w:val="38732826"/>
    <w:rsid w:val="38782575"/>
    <w:rsid w:val="38844883"/>
    <w:rsid w:val="38877D30"/>
    <w:rsid w:val="38886CA8"/>
    <w:rsid w:val="389E1451"/>
    <w:rsid w:val="38C0570B"/>
    <w:rsid w:val="38EA0E90"/>
    <w:rsid w:val="38F94FDA"/>
    <w:rsid w:val="390B2932"/>
    <w:rsid w:val="391D33A3"/>
    <w:rsid w:val="39236DBC"/>
    <w:rsid w:val="392C5B35"/>
    <w:rsid w:val="39493B49"/>
    <w:rsid w:val="394F2C1D"/>
    <w:rsid w:val="396D2AFD"/>
    <w:rsid w:val="39832ED0"/>
    <w:rsid w:val="3988459B"/>
    <w:rsid w:val="399B15E1"/>
    <w:rsid w:val="39CB68CD"/>
    <w:rsid w:val="39D914E5"/>
    <w:rsid w:val="39DC4C05"/>
    <w:rsid w:val="39DE1D1A"/>
    <w:rsid w:val="39E331EF"/>
    <w:rsid w:val="39EB149A"/>
    <w:rsid w:val="39F018EB"/>
    <w:rsid w:val="3A0E1BF5"/>
    <w:rsid w:val="3A176A7F"/>
    <w:rsid w:val="3A2917A6"/>
    <w:rsid w:val="3A293FD9"/>
    <w:rsid w:val="3A364E11"/>
    <w:rsid w:val="3A5D656A"/>
    <w:rsid w:val="3A6A0DAC"/>
    <w:rsid w:val="3A6B2AAE"/>
    <w:rsid w:val="3A6F7B75"/>
    <w:rsid w:val="3A751507"/>
    <w:rsid w:val="3A780062"/>
    <w:rsid w:val="3A7F4EE2"/>
    <w:rsid w:val="3A8215B1"/>
    <w:rsid w:val="3A821E11"/>
    <w:rsid w:val="3A996AB0"/>
    <w:rsid w:val="3AA32F89"/>
    <w:rsid w:val="3AB67393"/>
    <w:rsid w:val="3ABB0153"/>
    <w:rsid w:val="3AC93290"/>
    <w:rsid w:val="3AD05A74"/>
    <w:rsid w:val="3AF13E87"/>
    <w:rsid w:val="3B1B0C03"/>
    <w:rsid w:val="3B391131"/>
    <w:rsid w:val="3B436E39"/>
    <w:rsid w:val="3B463501"/>
    <w:rsid w:val="3B585871"/>
    <w:rsid w:val="3B5E1C73"/>
    <w:rsid w:val="3B624E73"/>
    <w:rsid w:val="3B6C5FF6"/>
    <w:rsid w:val="3B8F1545"/>
    <w:rsid w:val="3BA23374"/>
    <w:rsid w:val="3BA40211"/>
    <w:rsid w:val="3BCD12BC"/>
    <w:rsid w:val="3C237D77"/>
    <w:rsid w:val="3C256116"/>
    <w:rsid w:val="3C2F7E5B"/>
    <w:rsid w:val="3C312732"/>
    <w:rsid w:val="3C476076"/>
    <w:rsid w:val="3C4C4617"/>
    <w:rsid w:val="3C4F023F"/>
    <w:rsid w:val="3C503C40"/>
    <w:rsid w:val="3C541671"/>
    <w:rsid w:val="3C5D5095"/>
    <w:rsid w:val="3C602E42"/>
    <w:rsid w:val="3C70072D"/>
    <w:rsid w:val="3C8771A6"/>
    <w:rsid w:val="3C8B133E"/>
    <w:rsid w:val="3C8D1331"/>
    <w:rsid w:val="3C9B4D0B"/>
    <w:rsid w:val="3CA45BBC"/>
    <w:rsid w:val="3CAA051E"/>
    <w:rsid w:val="3CAE5070"/>
    <w:rsid w:val="3CCD0445"/>
    <w:rsid w:val="3CD3311C"/>
    <w:rsid w:val="3CD3739D"/>
    <w:rsid w:val="3CD802A7"/>
    <w:rsid w:val="3CDB22C1"/>
    <w:rsid w:val="3CDB7590"/>
    <w:rsid w:val="3CE07DB4"/>
    <w:rsid w:val="3CF50A5F"/>
    <w:rsid w:val="3CF82321"/>
    <w:rsid w:val="3D08229D"/>
    <w:rsid w:val="3D10173C"/>
    <w:rsid w:val="3D107F6F"/>
    <w:rsid w:val="3D222853"/>
    <w:rsid w:val="3D2E64BA"/>
    <w:rsid w:val="3D387E60"/>
    <w:rsid w:val="3D4A6236"/>
    <w:rsid w:val="3D6F2179"/>
    <w:rsid w:val="3D7F5853"/>
    <w:rsid w:val="3D8405A1"/>
    <w:rsid w:val="3D845FA6"/>
    <w:rsid w:val="3DA60112"/>
    <w:rsid w:val="3DB665A1"/>
    <w:rsid w:val="3DC4565E"/>
    <w:rsid w:val="3DD01C48"/>
    <w:rsid w:val="3DE62138"/>
    <w:rsid w:val="3DE838DB"/>
    <w:rsid w:val="3DE91549"/>
    <w:rsid w:val="3DED3666"/>
    <w:rsid w:val="3DF15AA4"/>
    <w:rsid w:val="3DFB1E96"/>
    <w:rsid w:val="3E0043C8"/>
    <w:rsid w:val="3E11422A"/>
    <w:rsid w:val="3E1D5FAF"/>
    <w:rsid w:val="3E284F48"/>
    <w:rsid w:val="3E425C5E"/>
    <w:rsid w:val="3E441141"/>
    <w:rsid w:val="3E477A3D"/>
    <w:rsid w:val="3E4B6FAF"/>
    <w:rsid w:val="3E5A3B20"/>
    <w:rsid w:val="3E6A54A0"/>
    <w:rsid w:val="3E6E2F5E"/>
    <w:rsid w:val="3E7B512D"/>
    <w:rsid w:val="3E8209DC"/>
    <w:rsid w:val="3EAA7192"/>
    <w:rsid w:val="3EB8492D"/>
    <w:rsid w:val="3EBB3054"/>
    <w:rsid w:val="3EBF5C1F"/>
    <w:rsid w:val="3EC53336"/>
    <w:rsid w:val="3EC7087D"/>
    <w:rsid w:val="3ECB28BD"/>
    <w:rsid w:val="3ECC4DC1"/>
    <w:rsid w:val="3ED56DAB"/>
    <w:rsid w:val="3EDE03EB"/>
    <w:rsid w:val="3EE74A3F"/>
    <w:rsid w:val="3F0952DD"/>
    <w:rsid w:val="3F11296E"/>
    <w:rsid w:val="3F133617"/>
    <w:rsid w:val="3F1B609C"/>
    <w:rsid w:val="3F3E3E44"/>
    <w:rsid w:val="3F47373F"/>
    <w:rsid w:val="3F665721"/>
    <w:rsid w:val="3F832F77"/>
    <w:rsid w:val="3FA56AFF"/>
    <w:rsid w:val="3FA71C39"/>
    <w:rsid w:val="3FC95038"/>
    <w:rsid w:val="3FD62F2C"/>
    <w:rsid w:val="3FDD19BC"/>
    <w:rsid w:val="3FE32CFF"/>
    <w:rsid w:val="3FE44E80"/>
    <w:rsid w:val="3FEB0C0F"/>
    <w:rsid w:val="3FEF39C5"/>
    <w:rsid w:val="3FF27487"/>
    <w:rsid w:val="4000202B"/>
    <w:rsid w:val="40004407"/>
    <w:rsid w:val="400F2966"/>
    <w:rsid w:val="401441C1"/>
    <w:rsid w:val="4017622F"/>
    <w:rsid w:val="4024672F"/>
    <w:rsid w:val="402A12F8"/>
    <w:rsid w:val="40500232"/>
    <w:rsid w:val="405E67D0"/>
    <w:rsid w:val="407A36EE"/>
    <w:rsid w:val="40995D44"/>
    <w:rsid w:val="40A80A15"/>
    <w:rsid w:val="40BF102F"/>
    <w:rsid w:val="40BF48D6"/>
    <w:rsid w:val="40C7392E"/>
    <w:rsid w:val="40CF0EA3"/>
    <w:rsid w:val="40D03DDB"/>
    <w:rsid w:val="40DA3F91"/>
    <w:rsid w:val="40DF3EF0"/>
    <w:rsid w:val="40E21614"/>
    <w:rsid w:val="40E82589"/>
    <w:rsid w:val="40EB758E"/>
    <w:rsid w:val="40EC2C9D"/>
    <w:rsid w:val="40F22496"/>
    <w:rsid w:val="40F71555"/>
    <w:rsid w:val="40FD0142"/>
    <w:rsid w:val="410311CB"/>
    <w:rsid w:val="41311CAA"/>
    <w:rsid w:val="414533C0"/>
    <w:rsid w:val="415E36AB"/>
    <w:rsid w:val="416E0DC3"/>
    <w:rsid w:val="41A34270"/>
    <w:rsid w:val="41AB20AB"/>
    <w:rsid w:val="41B4585A"/>
    <w:rsid w:val="41B62ECF"/>
    <w:rsid w:val="41CE1236"/>
    <w:rsid w:val="41D30205"/>
    <w:rsid w:val="41EB60D2"/>
    <w:rsid w:val="41F21086"/>
    <w:rsid w:val="41FA4183"/>
    <w:rsid w:val="42090DC5"/>
    <w:rsid w:val="422829DF"/>
    <w:rsid w:val="42324137"/>
    <w:rsid w:val="42362383"/>
    <w:rsid w:val="42503F7D"/>
    <w:rsid w:val="426B2F76"/>
    <w:rsid w:val="428F283F"/>
    <w:rsid w:val="429307D4"/>
    <w:rsid w:val="42A555D1"/>
    <w:rsid w:val="42AA1991"/>
    <w:rsid w:val="42BA496F"/>
    <w:rsid w:val="42C010DF"/>
    <w:rsid w:val="42C173E7"/>
    <w:rsid w:val="42C2132E"/>
    <w:rsid w:val="42CA0E7D"/>
    <w:rsid w:val="42D9557A"/>
    <w:rsid w:val="42DD2029"/>
    <w:rsid w:val="42F558F3"/>
    <w:rsid w:val="43006387"/>
    <w:rsid w:val="430213FE"/>
    <w:rsid w:val="430C1B60"/>
    <w:rsid w:val="43100716"/>
    <w:rsid w:val="43243E0D"/>
    <w:rsid w:val="43345809"/>
    <w:rsid w:val="43372E7C"/>
    <w:rsid w:val="434127C3"/>
    <w:rsid w:val="434A0961"/>
    <w:rsid w:val="43623354"/>
    <w:rsid w:val="436B2431"/>
    <w:rsid w:val="43721FED"/>
    <w:rsid w:val="437378DC"/>
    <w:rsid w:val="437636A3"/>
    <w:rsid w:val="43771141"/>
    <w:rsid w:val="439961CF"/>
    <w:rsid w:val="439C2279"/>
    <w:rsid w:val="43A16E7F"/>
    <w:rsid w:val="43A9728F"/>
    <w:rsid w:val="43AA7719"/>
    <w:rsid w:val="43BC0816"/>
    <w:rsid w:val="43DA2D97"/>
    <w:rsid w:val="43E52B89"/>
    <w:rsid w:val="43EA7832"/>
    <w:rsid w:val="43F37B6C"/>
    <w:rsid w:val="440216DB"/>
    <w:rsid w:val="441235C4"/>
    <w:rsid w:val="441646ED"/>
    <w:rsid w:val="44194B6E"/>
    <w:rsid w:val="441B1785"/>
    <w:rsid w:val="442224B2"/>
    <w:rsid w:val="4425003A"/>
    <w:rsid w:val="44363DF4"/>
    <w:rsid w:val="44522621"/>
    <w:rsid w:val="44672E91"/>
    <w:rsid w:val="446A6491"/>
    <w:rsid w:val="447069D1"/>
    <w:rsid w:val="447900F0"/>
    <w:rsid w:val="44862538"/>
    <w:rsid w:val="448646A0"/>
    <w:rsid w:val="448A7FD9"/>
    <w:rsid w:val="44900876"/>
    <w:rsid w:val="44A24577"/>
    <w:rsid w:val="44B26698"/>
    <w:rsid w:val="44BF36CD"/>
    <w:rsid w:val="44E86FF9"/>
    <w:rsid w:val="45077F57"/>
    <w:rsid w:val="4514018E"/>
    <w:rsid w:val="45156A02"/>
    <w:rsid w:val="453101D7"/>
    <w:rsid w:val="45357EC7"/>
    <w:rsid w:val="45396E1E"/>
    <w:rsid w:val="455D41DA"/>
    <w:rsid w:val="4579150E"/>
    <w:rsid w:val="458B0CD2"/>
    <w:rsid w:val="45953E43"/>
    <w:rsid w:val="45A70CED"/>
    <w:rsid w:val="45AC050B"/>
    <w:rsid w:val="45AC2998"/>
    <w:rsid w:val="45B6375B"/>
    <w:rsid w:val="45B80549"/>
    <w:rsid w:val="45B94C1B"/>
    <w:rsid w:val="45C34E23"/>
    <w:rsid w:val="45C92DD3"/>
    <w:rsid w:val="45CC4B05"/>
    <w:rsid w:val="45CD4FC2"/>
    <w:rsid w:val="45CE464C"/>
    <w:rsid w:val="45D550E6"/>
    <w:rsid w:val="45DD4CFA"/>
    <w:rsid w:val="45E42D06"/>
    <w:rsid w:val="46034593"/>
    <w:rsid w:val="4606274B"/>
    <w:rsid w:val="46066616"/>
    <w:rsid w:val="462713AE"/>
    <w:rsid w:val="462E4EFB"/>
    <w:rsid w:val="464E1FF0"/>
    <w:rsid w:val="464E7036"/>
    <w:rsid w:val="464F370D"/>
    <w:rsid w:val="46657B41"/>
    <w:rsid w:val="46960293"/>
    <w:rsid w:val="469A11CD"/>
    <w:rsid w:val="46A76088"/>
    <w:rsid w:val="46AA26E3"/>
    <w:rsid w:val="46C624CE"/>
    <w:rsid w:val="46E629F2"/>
    <w:rsid w:val="46ED1233"/>
    <w:rsid w:val="46FA2774"/>
    <w:rsid w:val="47052945"/>
    <w:rsid w:val="471A7B48"/>
    <w:rsid w:val="47265BB3"/>
    <w:rsid w:val="47483CE0"/>
    <w:rsid w:val="474F0E4F"/>
    <w:rsid w:val="474F72BA"/>
    <w:rsid w:val="477F3484"/>
    <w:rsid w:val="47A5210F"/>
    <w:rsid w:val="47A55BF0"/>
    <w:rsid w:val="47AB154E"/>
    <w:rsid w:val="47B53958"/>
    <w:rsid w:val="47BE5DFD"/>
    <w:rsid w:val="47CC58D9"/>
    <w:rsid w:val="47D07014"/>
    <w:rsid w:val="47D57E24"/>
    <w:rsid w:val="47EE62C4"/>
    <w:rsid w:val="480B69A0"/>
    <w:rsid w:val="481F0E87"/>
    <w:rsid w:val="48266438"/>
    <w:rsid w:val="483E55CA"/>
    <w:rsid w:val="48406C53"/>
    <w:rsid w:val="48411E73"/>
    <w:rsid w:val="485637FD"/>
    <w:rsid w:val="48614FC7"/>
    <w:rsid w:val="48726B07"/>
    <w:rsid w:val="48751904"/>
    <w:rsid w:val="4876477C"/>
    <w:rsid w:val="48790AAE"/>
    <w:rsid w:val="487A643F"/>
    <w:rsid w:val="488A288B"/>
    <w:rsid w:val="4894108E"/>
    <w:rsid w:val="489D4303"/>
    <w:rsid w:val="48BA0456"/>
    <w:rsid w:val="48BA6D56"/>
    <w:rsid w:val="48BB5CE1"/>
    <w:rsid w:val="48C05557"/>
    <w:rsid w:val="48C43232"/>
    <w:rsid w:val="49163FD0"/>
    <w:rsid w:val="49175937"/>
    <w:rsid w:val="49235957"/>
    <w:rsid w:val="492E2A7B"/>
    <w:rsid w:val="495653BF"/>
    <w:rsid w:val="495666F2"/>
    <w:rsid w:val="495C6050"/>
    <w:rsid w:val="4966644D"/>
    <w:rsid w:val="496C0534"/>
    <w:rsid w:val="496E1D46"/>
    <w:rsid w:val="497B0557"/>
    <w:rsid w:val="497D5775"/>
    <w:rsid w:val="498808DD"/>
    <w:rsid w:val="498E03DF"/>
    <w:rsid w:val="49956D95"/>
    <w:rsid w:val="499B1336"/>
    <w:rsid w:val="49A10372"/>
    <w:rsid w:val="49AE30AF"/>
    <w:rsid w:val="49BC24A2"/>
    <w:rsid w:val="49CF4E40"/>
    <w:rsid w:val="49D37103"/>
    <w:rsid w:val="49D83AB3"/>
    <w:rsid w:val="49E3489F"/>
    <w:rsid w:val="49FC60F5"/>
    <w:rsid w:val="4A0A0F5F"/>
    <w:rsid w:val="4A1C6D80"/>
    <w:rsid w:val="4A212071"/>
    <w:rsid w:val="4A225D75"/>
    <w:rsid w:val="4A427686"/>
    <w:rsid w:val="4A484E98"/>
    <w:rsid w:val="4A520FFD"/>
    <w:rsid w:val="4A686885"/>
    <w:rsid w:val="4A7437AC"/>
    <w:rsid w:val="4A790555"/>
    <w:rsid w:val="4A7F5C36"/>
    <w:rsid w:val="4A834FD0"/>
    <w:rsid w:val="4A8517B8"/>
    <w:rsid w:val="4A890F99"/>
    <w:rsid w:val="4AAE1976"/>
    <w:rsid w:val="4AB877B4"/>
    <w:rsid w:val="4ABD391A"/>
    <w:rsid w:val="4AC571E0"/>
    <w:rsid w:val="4AF04DA1"/>
    <w:rsid w:val="4AF51F5D"/>
    <w:rsid w:val="4B042235"/>
    <w:rsid w:val="4B04565D"/>
    <w:rsid w:val="4B056F66"/>
    <w:rsid w:val="4B062A00"/>
    <w:rsid w:val="4B335B75"/>
    <w:rsid w:val="4B4A1EF8"/>
    <w:rsid w:val="4B533C36"/>
    <w:rsid w:val="4B542308"/>
    <w:rsid w:val="4B556021"/>
    <w:rsid w:val="4B6150DD"/>
    <w:rsid w:val="4B6E6BB7"/>
    <w:rsid w:val="4B7571C5"/>
    <w:rsid w:val="4B7669C6"/>
    <w:rsid w:val="4B785CA6"/>
    <w:rsid w:val="4B7B2FF2"/>
    <w:rsid w:val="4B9B7219"/>
    <w:rsid w:val="4BB52B05"/>
    <w:rsid w:val="4BB72ACD"/>
    <w:rsid w:val="4BCF1BDD"/>
    <w:rsid w:val="4BD04923"/>
    <w:rsid w:val="4BD62F11"/>
    <w:rsid w:val="4BDD48E1"/>
    <w:rsid w:val="4BF057C3"/>
    <w:rsid w:val="4BFD31CA"/>
    <w:rsid w:val="4C0800F3"/>
    <w:rsid w:val="4C0E28A7"/>
    <w:rsid w:val="4C2257C2"/>
    <w:rsid w:val="4C296975"/>
    <w:rsid w:val="4C2F574C"/>
    <w:rsid w:val="4C4266E1"/>
    <w:rsid w:val="4C445078"/>
    <w:rsid w:val="4C5553A4"/>
    <w:rsid w:val="4C854485"/>
    <w:rsid w:val="4C933EEC"/>
    <w:rsid w:val="4C934A85"/>
    <w:rsid w:val="4CA1312A"/>
    <w:rsid w:val="4CB02405"/>
    <w:rsid w:val="4CE87C44"/>
    <w:rsid w:val="4CF71333"/>
    <w:rsid w:val="4CF91BDB"/>
    <w:rsid w:val="4D024CDD"/>
    <w:rsid w:val="4D101CEC"/>
    <w:rsid w:val="4D176B78"/>
    <w:rsid w:val="4D194AA3"/>
    <w:rsid w:val="4D1E79C6"/>
    <w:rsid w:val="4D1F4548"/>
    <w:rsid w:val="4D2B2559"/>
    <w:rsid w:val="4D2C2765"/>
    <w:rsid w:val="4D2F509B"/>
    <w:rsid w:val="4D373C24"/>
    <w:rsid w:val="4D452D91"/>
    <w:rsid w:val="4D5655D3"/>
    <w:rsid w:val="4D574E49"/>
    <w:rsid w:val="4D827CCB"/>
    <w:rsid w:val="4DE679B2"/>
    <w:rsid w:val="4DEF2395"/>
    <w:rsid w:val="4DF56E75"/>
    <w:rsid w:val="4DFE09A3"/>
    <w:rsid w:val="4E0F4161"/>
    <w:rsid w:val="4E1F16B1"/>
    <w:rsid w:val="4E1F655D"/>
    <w:rsid w:val="4E407A8E"/>
    <w:rsid w:val="4E43036C"/>
    <w:rsid w:val="4E5C60AC"/>
    <w:rsid w:val="4E5C68E6"/>
    <w:rsid w:val="4E5D3BFF"/>
    <w:rsid w:val="4E634EC0"/>
    <w:rsid w:val="4E664F31"/>
    <w:rsid w:val="4E6863A2"/>
    <w:rsid w:val="4E891CC8"/>
    <w:rsid w:val="4EA27268"/>
    <w:rsid w:val="4EA27709"/>
    <w:rsid w:val="4EAD1321"/>
    <w:rsid w:val="4EB87CD0"/>
    <w:rsid w:val="4EBC122A"/>
    <w:rsid w:val="4EBC5D13"/>
    <w:rsid w:val="4EBD6E29"/>
    <w:rsid w:val="4EC66E0F"/>
    <w:rsid w:val="4ECC2739"/>
    <w:rsid w:val="4ED808E1"/>
    <w:rsid w:val="4EEA13F9"/>
    <w:rsid w:val="4EF8117D"/>
    <w:rsid w:val="4EFD2106"/>
    <w:rsid w:val="4F0E1756"/>
    <w:rsid w:val="4F16072C"/>
    <w:rsid w:val="4F183301"/>
    <w:rsid w:val="4F1F2782"/>
    <w:rsid w:val="4F2042B4"/>
    <w:rsid w:val="4F24765B"/>
    <w:rsid w:val="4F2A6581"/>
    <w:rsid w:val="4F3300A6"/>
    <w:rsid w:val="4F4F03F5"/>
    <w:rsid w:val="4F6001A8"/>
    <w:rsid w:val="4F6F33D1"/>
    <w:rsid w:val="4F740848"/>
    <w:rsid w:val="4F7D56E3"/>
    <w:rsid w:val="4F893AFF"/>
    <w:rsid w:val="4F997900"/>
    <w:rsid w:val="4FA2062D"/>
    <w:rsid w:val="4FAE2692"/>
    <w:rsid w:val="4FD01BE6"/>
    <w:rsid w:val="4FD36130"/>
    <w:rsid w:val="4FD62092"/>
    <w:rsid w:val="4FD84E41"/>
    <w:rsid w:val="4FDC366A"/>
    <w:rsid w:val="4FF35486"/>
    <w:rsid w:val="500205A0"/>
    <w:rsid w:val="50026AB4"/>
    <w:rsid w:val="50163854"/>
    <w:rsid w:val="50287E12"/>
    <w:rsid w:val="502B3CC9"/>
    <w:rsid w:val="50315E8F"/>
    <w:rsid w:val="506128DF"/>
    <w:rsid w:val="506D3A84"/>
    <w:rsid w:val="507556DF"/>
    <w:rsid w:val="50765747"/>
    <w:rsid w:val="5078572A"/>
    <w:rsid w:val="50872D17"/>
    <w:rsid w:val="50933830"/>
    <w:rsid w:val="50A02AC3"/>
    <w:rsid w:val="50B24A98"/>
    <w:rsid w:val="50B63299"/>
    <w:rsid w:val="50BF00CE"/>
    <w:rsid w:val="50C00E96"/>
    <w:rsid w:val="50C76A42"/>
    <w:rsid w:val="50E27175"/>
    <w:rsid w:val="50EE49DD"/>
    <w:rsid w:val="50F344B2"/>
    <w:rsid w:val="50F854AA"/>
    <w:rsid w:val="50FB67CA"/>
    <w:rsid w:val="512F0A09"/>
    <w:rsid w:val="51310B26"/>
    <w:rsid w:val="513D3FDC"/>
    <w:rsid w:val="514909E2"/>
    <w:rsid w:val="515B6971"/>
    <w:rsid w:val="515F4663"/>
    <w:rsid w:val="516743C7"/>
    <w:rsid w:val="5189268B"/>
    <w:rsid w:val="51946B28"/>
    <w:rsid w:val="519E7E91"/>
    <w:rsid w:val="51A65A79"/>
    <w:rsid w:val="51AA3C1F"/>
    <w:rsid w:val="51FB465D"/>
    <w:rsid w:val="521C216D"/>
    <w:rsid w:val="521E7584"/>
    <w:rsid w:val="52224C82"/>
    <w:rsid w:val="5225397D"/>
    <w:rsid w:val="5251606B"/>
    <w:rsid w:val="525B7C47"/>
    <w:rsid w:val="52891DBC"/>
    <w:rsid w:val="52AE07E3"/>
    <w:rsid w:val="52B36D7A"/>
    <w:rsid w:val="52B426D6"/>
    <w:rsid w:val="52CD7011"/>
    <w:rsid w:val="52DB5182"/>
    <w:rsid w:val="52E15CDD"/>
    <w:rsid w:val="52F84483"/>
    <w:rsid w:val="530915ED"/>
    <w:rsid w:val="53184A40"/>
    <w:rsid w:val="531C652E"/>
    <w:rsid w:val="5325117C"/>
    <w:rsid w:val="532965E9"/>
    <w:rsid w:val="53435B05"/>
    <w:rsid w:val="5347399D"/>
    <w:rsid w:val="5347627C"/>
    <w:rsid w:val="53572437"/>
    <w:rsid w:val="53660948"/>
    <w:rsid w:val="53697E41"/>
    <w:rsid w:val="536A091D"/>
    <w:rsid w:val="536C1403"/>
    <w:rsid w:val="536C41A8"/>
    <w:rsid w:val="53A353F4"/>
    <w:rsid w:val="53AD5A69"/>
    <w:rsid w:val="53CD1F73"/>
    <w:rsid w:val="53D51A5D"/>
    <w:rsid w:val="53D54B28"/>
    <w:rsid w:val="53E3195F"/>
    <w:rsid w:val="53E576AD"/>
    <w:rsid w:val="53EF1786"/>
    <w:rsid w:val="54062473"/>
    <w:rsid w:val="542406E3"/>
    <w:rsid w:val="54253E49"/>
    <w:rsid w:val="542F4B12"/>
    <w:rsid w:val="543561E2"/>
    <w:rsid w:val="544B3F1F"/>
    <w:rsid w:val="544C46B2"/>
    <w:rsid w:val="54532455"/>
    <w:rsid w:val="545E5D72"/>
    <w:rsid w:val="54622EBF"/>
    <w:rsid w:val="54631FF6"/>
    <w:rsid w:val="546F5E3E"/>
    <w:rsid w:val="54724CB0"/>
    <w:rsid w:val="54803AC6"/>
    <w:rsid w:val="548114DE"/>
    <w:rsid w:val="54946D3A"/>
    <w:rsid w:val="54A1501D"/>
    <w:rsid w:val="54A809B0"/>
    <w:rsid w:val="54BD3178"/>
    <w:rsid w:val="54D246A6"/>
    <w:rsid w:val="54D33844"/>
    <w:rsid w:val="54EB765B"/>
    <w:rsid w:val="54F7226F"/>
    <w:rsid w:val="54F86012"/>
    <w:rsid w:val="54F960E5"/>
    <w:rsid w:val="54FC5AB3"/>
    <w:rsid w:val="55067D62"/>
    <w:rsid w:val="551A021E"/>
    <w:rsid w:val="551B6ED3"/>
    <w:rsid w:val="55220E6A"/>
    <w:rsid w:val="552855D5"/>
    <w:rsid w:val="55391619"/>
    <w:rsid w:val="554012FB"/>
    <w:rsid w:val="55550D5B"/>
    <w:rsid w:val="5555409C"/>
    <w:rsid w:val="556D58FB"/>
    <w:rsid w:val="55731381"/>
    <w:rsid w:val="55743489"/>
    <w:rsid w:val="558B045E"/>
    <w:rsid w:val="5593409E"/>
    <w:rsid w:val="55957DC0"/>
    <w:rsid w:val="55A83E30"/>
    <w:rsid w:val="55B8778E"/>
    <w:rsid w:val="55C52CDF"/>
    <w:rsid w:val="55C7005A"/>
    <w:rsid w:val="55D27176"/>
    <w:rsid w:val="55DA32E1"/>
    <w:rsid w:val="55DD7BAA"/>
    <w:rsid w:val="55E05B5F"/>
    <w:rsid w:val="55E436DA"/>
    <w:rsid w:val="55F7207B"/>
    <w:rsid w:val="56335B94"/>
    <w:rsid w:val="56496620"/>
    <w:rsid w:val="56606BF5"/>
    <w:rsid w:val="566B484E"/>
    <w:rsid w:val="567A2A2E"/>
    <w:rsid w:val="56BA0D66"/>
    <w:rsid w:val="56C86651"/>
    <w:rsid w:val="56CB48F3"/>
    <w:rsid w:val="56D301B1"/>
    <w:rsid w:val="56D57896"/>
    <w:rsid w:val="56DE5566"/>
    <w:rsid w:val="56DF029F"/>
    <w:rsid w:val="56FD39E7"/>
    <w:rsid w:val="573C353D"/>
    <w:rsid w:val="57424482"/>
    <w:rsid w:val="57466AB6"/>
    <w:rsid w:val="574C56DE"/>
    <w:rsid w:val="574D5F64"/>
    <w:rsid w:val="57507477"/>
    <w:rsid w:val="576D0101"/>
    <w:rsid w:val="577F61F8"/>
    <w:rsid w:val="57830477"/>
    <w:rsid w:val="57850208"/>
    <w:rsid w:val="578D0B6C"/>
    <w:rsid w:val="57A578B6"/>
    <w:rsid w:val="57AB6273"/>
    <w:rsid w:val="57B81779"/>
    <w:rsid w:val="57D308C3"/>
    <w:rsid w:val="57E4557F"/>
    <w:rsid w:val="57E63406"/>
    <w:rsid w:val="57E7765C"/>
    <w:rsid w:val="581A1394"/>
    <w:rsid w:val="58220690"/>
    <w:rsid w:val="58224A7B"/>
    <w:rsid w:val="58297CB0"/>
    <w:rsid w:val="583426CC"/>
    <w:rsid w:val="5835434D"/>
    <w:rsid w:val="584441FA"/>
    <w:rsid w:val="584B51C8"/>
    <w:rsid w:val="58584199"/>
    <w:rsid w:val="587226D6"/>
    <w:rsid w:val="587D5101"/>
    <w:rsid w:val="58843E10"/>
    <w:rsid w:val="588D408E"/>
    <w:rsid w:val="589B55F3"/>
    <w:rsid w:val="58AE68B4"/>
    <w:rsid w:val="58C237AE"/>
    <w:rsid w:val="58C36053"/>
    <w:rsid w:val="58D861B9"/>
    <w:rsid w:val="58E1459E"/>
    <w:rsid w:val="58EF3241"/>
    <w:rsid w:val="58FB75F4"/>
    <w:rsid w:val="590B13C0"/>
    <w:rsid w:val="590E03B6"/>
    <w:rsid w:val="591E4498"/>
    <w:rsid w:val="591E5B79"/>
    <w:rsid w:val="592A0E53"/>
    <w:rsid w:val="5944718F"/>
    <w:rsid w:val="5953230D"/>
    <w:rsid w:val="59577A31"/>
    <w:rsid w:val="59836FCE"/>
    <w:rsid w:val="59886AC0"/>
    <w:rsid w:val="5992161A"/>
    <w:rsid w:val="599860A9"/>
    <w:rsid w:val="59A17A62"/>
    <w:rsid w:val="59A57FCF"/>
    <w:rsid w:val="59B201F4"/>
    <w:rsid w:val="59C86F12"/>
    <w:rsid w:val="59DE4337"/>
    <w:rsid w:val="59EC2DF7"/>
    <w:rsid w:val="5A017554"/>
    <w:rsid w:val="5A1178EB"/>
    <w:rsid w:val="5A185448"/>
    <w:rsid w:val="5A1F3D92"/>
    <w:rsid w:val="5A2358B1"/>
    <w:rsid w:val="5A360D18"/>
    <w:rsid w:val="5A692D4C"/>
    <w:rsid w:val="5A6C0432"/>
    <w:rsid w:val="5A791BCA"/>
    <w:rsid w:val="5A8E58C4"/>
    <w:rsid w:val="5A9567E7"/>
    <w:rsid w:val="5A9603E3"/>
    <w:rsid w:val="5AA75C0C"/>
    <w:rsid w:val="5AB56996"/>
    <w:rsid w:val="5AD14076"/>
    <w:rsid w:val="5AE046FA"/>
    <w:rsid w:val="5AEB766F"/>
    <w:rsid w:val="5AF83934"/>
    <w:rsid w:val="5B11589A"/>
    <w:rsid w:val="5B1657F9"/>
    <w:rsid w:val="5B2B36EE"/>
    <w:rsid w:val="5B3C6463"/>
    <w:rsid w:val="5B3F61D2"/>
    <w:rsid w:val="5B570F3C"/>
    <w:rsid w:val="5B626125"/>
    <w:rsid w:val="5B7C60A4"/>
    <w:rsid w:val="5B8A31D9"/>
    <w:rsid w:val="5B8A74F6"/>
    <w:rsid w:val="5B8E15D5"/>
    <w:rsid w:val="5B960C93"/>
    <w:rsid w:val="5BBF5846"/>
    <w:rsid w:val="5BCC5B37"/>
    <w:rsid w:val="5BD03B4E"/>
    <w:rsid w:val="5BE0395D"/>
    <w:rsid w:val="5BE92FC8"/>
    <w:rsid w:val="5C047F08"/>
    <w:rsid w:val="5C0A1B00"/>
    <w:rsid w:val="5C2D66F9"/>
    <w:rsid w:val="5C2F1874"/>
    <w:rsid w:val="5C361CD1"/>
    <w:rsid w:val="5C596A29"/>
    <w:rsid w:val="5C731B34"/>
    <w:rsid w:val="5C903150"/>
    <w:rsid w:val="5D035ACE"/>
    <w:rsid w:val="5D0B3786"/>
    <w:rsid w:val="5D1546AE"/>
    <w:rsid w:val="5D224F68"/>
    <w:rsid w:val="5D273F45"/>
    <w:rsid w:val="5D35151B"/>
    <w:rsid w:val="5D3E3CDE"/>
    <w:rsid w:val="5D534813"/>
    <w:rsid w:val="5D5865EC"/>
    <w:rsid w:val="5D662C07"/>
    <w:rsid w:val="5D6D3151"/>
    <w:rsid w:val="5D7138C7"/>
    <w:rsid w:val="5D763C45"/>
    <w:rsid w:val="5D7957FF"/>
    <w:rsid w:val="5D963041"/>
    <w:rsid w:val="5DA904BE"/>
    <w:rsid w:val="5DB04C93"/>
    <w:rsid w:val="5DB43C60"/>
    <w:rsid w:val="5DBA42AA"/>
    <w:rsid w:val="5DBD2C76"/>
    <w:rsid w:val="5DEC0442"/>
    <w:rsid w:val="5DED6383"/>
    <w:rsid w:val="5DF00574"/>
    <w:rsid w:val="5DFA2F7D"/>
    <w:rsid w:val="5E031672"/>
    <w:rsid w:val="5E1A126E"/>
    <w:rsid w:val="5E1F5720"/>
    <w:rsid w:val="5E226871"/>
    <w:rsid w:val="5E417FDF"/>
    <w:rsid w:val="5E4376A6"/>
    <w:rsid w:val="5E437D9F"/>
    <w:rsid w:val="5E4C4BFC"/>
    <w:rsid w:val="5E4E3019"/>
    <w:rsid w:val="5E5E11DA"/>
    <w:rsid w:val="5E6423BB"/>
    <w:rsid w:val="5E655B2F"/>
    <w:rsid w:val="5E667442"/>
    <w:rsid w:val="5E684346"/>
    <w:rsid w:val="5E6A3971"/>
    <w:rsid w:val="5E722D22"/>
    <w:rsid w:val="5E765FE0"/>
    <w:rsid w:val="5E78447C"/>
    <w:rsid w:val="5E843E8C"/>
    <w:rsid w:val="5E8832F6"/>
    <w:rsid w:val="5E9B300B"/>
    <w:rsid w:val="5E9E60D5"/>
    <w:rsid w:val="5EA50973"/>
    <w:rsid w:val="5EA555F0"/>
    <w:rsid w:val="5EC24575"/>
    <w:rsid w:val="5EC47D2E"/>
    <w:rsid w:val="5ECE192D"/>
    <w:rsid w:val="5EE86B60"/>
    <w:rsid w:val="5F261F49"/>
    <w:rsid w:val="5F5C3095"/>
    <w:rsid w:val="5F614187"/>
    <w:rsid w:val="5F742BB0"/>
    <w:rsid w:val="5F7E194E"/>
    <w:rsid w:val="5F8D6E7D"/>
    <w:rsid w:val="5FA57F31"/>
    <w:rsid w:val="5FB836C1"/>
    <w:rsid w:val="5FCD4E09"/>
    <w:rsid w:val="5FD71E44"/>
    <w:rsid w:val="5FE55091"/>
    <w:rsid w:val="5FEA47D7"/>
    <w:rsid w:val="5FEB18AC"/>
    <w:rsid w:val="5FFA10A9"/>
    <w:rsid w:val="600A3252"/>
    <w:rsid w:val="60175191"/>
    <w:rsid w:val="6018434A"/>
    <w:rsid w:val="601B2495"/>
    <w:rsid w:val="605101F0"/>
    <w:rsid w:val="6058418B"/>
    <w:rsid w:val="605B6AF4"/>
    <w:rsid w:val="606D50E1"/>
    <w:rsid w:val="60756BCB"/>
    <w:rsid w:val="608B443D"/>
    <w:rsid w:val="609559F1"/>
    <w:rsid w:val="609B62A5"/>
    <w:rsid w:val="60A305DC"/>
    <w:rsid w:val="60AA3012"/>
    <w:rsid w:val="60C56815"/>
    <w:rsid w:val="60D77A77"/>
    <w:rsid w:val="60DA0D80"/>
    <w:rsid w:val="60DC16F4"/>
    <w:rsid w:val="60ED61C7"/>
    <w:rsid w:val="60F462B5"/>
    <w:rsid w:val="60F519B6"/>
    <w:rsid w:val="60F60AA4"/>
    <w:rsid w:val="60F6301D"/>
    <w:rsid w:val="61084D24"/>
    <w:rsid w:val="610D71D1"/>
    <w:rsid w:val="610E4EAA"/>
    <w:rsid w:val="6113349F"/>
    <w:rsid w:val="61150DE6"/>
    <w:rsid w:val="6116441C"/>
    <w:rsid w:val="613D220F"/>
    <w:rsid w:val="61407681"/>
    <w:rsid w:val="614625DF"/>
    <w:rsid w:val="614F268B"/>
    <w:rsid w:val="6174770C"/>
    <w:rsid w:val="619D4DA8"/>
    <w:rsid w:val="619E4BA3"/>
    <w:rsid w:val="61A904A8"/>
    <w:rsid w:val="61B03AD8"/>
    <w:rsid w:val="61CC7D53"/>
    <w:rsid w:val="61D834F7"/>
    <w:rsid w:val="61E00E7B"/>
    <w:rsid w:val="61E14114"/>
    <w:rsid w:val="61F82EA9"/>
    <w:rsid w:val="61F8762C"/>
    <w:rsid w:val="61FF678A"/>
    <w:rsid w:val="620869D2"/>
    <w:rsid w:val="620B555E"/>
    <w:rsid w:val="62136B62"/>
    <w:rsid w:val="62147981"/>
    <w:rsid w:val="621903E0"/>
    <w:rsid w:val="62383790"/>
    <w:rsid w:val="62400EBE"/>
    <w:rsid w:val="62476C0D"/>
    <w:rsid w:val="624C5DF0"/>
    <w:rsid w:val="625F592F"/>
    <w:rsid w:val="62723F78"/>
    <w:rsid w:val="627F5E4C"/>
    <w:rsid w:val="628968E7"/>
    <w:rsid w:val="62911D69"/>
    <w:rsid w:val="62AA16AB"/>
    <w:rsid w:val="62C77878"/>
    <w:rsid w:val="62D50B6F"/>
    <w:rsid w:val="62E31EA6"/>
    <w:rsid w:val="62F94A40"/>
    <w:rsid w:val="63073718"/>
    <w:rsid w:val="630E7568"/>
    <w:rsid w:val="633C26EB"/>
    <w:rsid w:val="63467388"/>
    <w:rsid w:val="63506ABC"/>
    <w:rsid w:val="635360F5"/>
    <w:rsid w:val="63565772"/>
    <w:rsid w:val="63592C07"/>
    <w:rsid w:val="63595DD5"/>
    <w:rsid w:val="63613683"/>
    <w:rsid w:val="636B0093"/>
    <w:rsid w:val="6370239F"/>
    <w:rsid w:val="63753FE3"/>
    <w:rsid w:val="637E316A"/>
    <w:rsid w:val="63824259"/>
    <w:rsid w:val="638F7905"/>
    <w:rsid w:val="63916CF7"/>
    <w:rsid w:val="63F375D7"/>
    <w:rsid w:val="6401622B"/>
    <w:rsid w:val="6404753D"/>
    <w:rsid w:val="64075CB6"/>
    <w:rsid w:val="64232431"/>
    <w:rsid w:val="6437534C"/>
    <w:rsid w:val="64412D3D"/>
    <w:rsid w:val="646B0D1E"/>
    <w:rsid w:val="647165EF"/>
    <w:rsid w:val="648109B5"/>
    <w:rsid w:val="648D4443"/>
    <w:rsid w:val="648E0896"/>
    <w:rsid w:val="649C3D4E"/>
    <w:rsid w:val="64A2443C"/>
    <w:rsid w:val="64A52F7B"/>
    <w:rsid w:val="64BF79F3"/>
    <w:rsid w:val="64C9626C"/>
    <w:rsid w:val="64D144C5"/>
    <w:rsid w:val="64E41FF5"/>
    <w:rsid w:val="64EA02B7"/>
    <w:rsid w:val="64EF2F1F"/>
    <w:rsid w:val="650264D1"/>
    <w:rsid w:val="650A457E"/>
    <w:rsid w:val="651029D6"/>
    <w:rsid w:val="651A258B"/>
    <w:rsid w:val="651E0A13"/>
    <w:rsid w:val="652A241E"/>
    <w:rsid w:val="65343E8C"/>
    <w:rsid w:val="65394F02"/>
    <w:rsid w:val="654632B5"/>
    <w:rsid w:val="655462F3"/>
    <w:rsid w:val="655F53B2"/>
    <w:rsid w:val="656F166A"/>
    <w:rsid w:val="65761DC5"/>
    <w:rsid w:val="65896CEF"/>
    <w:rsid w:val="658C3C5D"/>
    <w:rsid w:val="659A388B"/>
    <w:rsid w:val="659A4F97"/>
    <w:rsid w:val="65BC6060"/>
    <w:rsid w:val="65C75855"/>
    <w:rsid w:val="65D25CCA"/>
    <w:rsid w:val="65E231A7"/>
    <w:rsid w:val="65F02781"/>
    <w:rsid w:val="65F232BB"/>
    <w:rsid w:val="65F32FA0"/>
    <w:rsid w:val="660476F7"/>
    <w:rsid w:val="66092051"/>
    <w:rsid w:val="66172AAE"/>
    <w:rsid w:val="66173700"/>
    <w:rsid w:val="661B2420"/>
    <w:rsid w:val="662631FC"/>
    <w:rsid w:val="6638304E"/>
    <w:rsid w:val="6647175C"/>
    <w:rsid w:val="66623551"/>
    <w:rsid w:val="66780E30"/>
    <w:rsid w:val="66964114"/>
    <w:rsid w:val="66C65429"/>
    <w:rsid w:val="66DF087A"/>
    <w:rsid w:val="66FB4366"/>
    <w:rsid w:val="67117B91"/>
    <w:rsid w:val="67190909"/>
    <w:rsid w:val="671F245E"/>
    <w:rsid w:val="6720690D"/>
    <w:rsid w:val="67272189"/>
    <w:rsid w:val="672B0567"/>
    <w:rsid w:val="673534F3"/>
    <w:rsid w:val="674E475F"/>
    <w:rsid w:val="675576C0"/>
    <w:rsid w:val="675779A8"/>
    <w:rsid w:val="676C1093"/>
    <w:rsid w:val="677C6D0F"/>
    <w:rsid w:val="679801C1"/>
    <w:rsid w:val="67A3746F"/>
    <w:rsid w:val="67B07C7E"/>
    <w:rsid w:val="67D44894"/>
    <w:rsid w:val="67E054D2"/>
    <w:rsid w:val="67E37CC4"/>
    <w:rsid w:val="67FC347A"/>
    <w:rsid w:val="6802763B"/>
    <w:rsid w:val="6809098F"/>
    <w:rsid w:val="680B5717"/>
    <w:rsid w:val="682114B5"/>
    <w:rsid w:val="682D114E"/>
    <w:rsid w:val="68475B80"/>
    <w:rsid w:val="685234D3"/>
    <w:rsid w:val="686511B5"/>
    <w:rsid w:val="68854276"/>
    <w:rsid w:val="689436B8"/>
    <w:rsid w:val="68B544A3"/>
    <w:rsid w:val="68B6270C"/>
    <w:rsid w:val="68E43178"/>
    <w:rsid w:val="69131D90"/>
    <w:rsid w:val="69184705"/>
    <w:rsid w:val="69286508"/>
    <w:rsid w:val="692F1250"/>
    <w:rsid w:val="693C007D"/>
    <w:rsid w:val="693C59A5"/>
    <w:rsid w:val="69414C1C"/>
    <w:rsid w:val="694C576B"/>
    <w:rsid w:val="6960582E"/>
    <w:rsid w:val="6977236E"/>
    <w:rsid w:val="69880D0F"/>
    <w:rsid w:val="698C40C9"/>
    <w:rsid w:val="6993602D"/>
    <w:rsid w:val="6996264C"/>
    <w:rsid w:val="699A6743"/>
    <w:rsid w:val="69AE69DE"/>
    <w:rsid w:val="69BC2857"/>
    <w:rsid w:val="69F638E1"/>
    <w:rsid w:val="69F950EA"/>
    <w:rsid w:val="6A072D45"/>
    <w:rsid w:val="6A0B333F"/>
    <w:rsid w:val="6A0B5E62"/>
    <w:rsid w:val="6A13118F"/>
    <w:rsid w:val="6A1544F3"/>
    <w:rsid w:val="6A271E97"/>
    <w:rsid w:val="6A420526"/>
    <w:rsid w:val="6A4809F1"/>
    <w:rsid w:val="6A680804"/>
    <w:rsid w:val="6A772E0B"/>
    <w:rsid w:val="6A821DD1"/>
    <w:rsid w:val="6A896CD2"/>
    <w:rsid w:val="6A9272FD"/>
    <w:rsid w:val="6AAA275F"/>
    <w:rsid w:val="6AB155D5"/>
    <w:rsid w:val="6AB16C4A"/>
    <w:rsid w:val="6AC01731"/>
    <w:rsid w:val="6ACA1C89"/>
    <w:rsid w:val="6AD0649B"/>
    <w:rsid w:val="6AD16A13"/>
    <w:rsid w:val="6AE7271C"/>
    <w:rsid w:val="6AEE2C1C"/>
    <w:rsid w:val="6AF1622C"/>
    <w:rsid w:val="6AF219C7"/>
    <w:rsid w:val="6B165AAB"/>
    <w:rsid w:val="6B331F09"/>
    <w:rsid w:val="6B362007"/>
    <w:rsid w:val="6B3D358F"/>
    <w:rsid w:val="6B4A1279"/>
    <w:rsid w:val="6B532FA1"/>
    <w:rsid w:val="6B7A5682"/>
    <w:rsid w:val="6B851F5E"/>
    <w:rsid w:val="6B8E1EBC"/>
    <w:rsid w:val="6BA6377C"/>
    <w:rsid w:val="6BD65516"/>
    <w:rsid w:val="6BEB0E29"/>
    <w:rsid w:val="6BEC6B8F"/>
    <w:rsid w:val="6C25524D"/>
    <w:rsid w:val="6C2875B6"/>
    <w:rsid w:val="6C657DC1"/>
    <w:rsid w:val="6C6E3B3F"/>
    <w:rsid w:val="6C8C225A"/>
    <w:rsid w:val="6CA86429"/>
    <w:rsid w:val="6CB10B4F"/>
    <w:rsid w:val="6CB95B43"/>
    <w:rsid w:val="6CBE79BB"/>
    <w:rsid w:val="6CCB5FD5"/>
    <w:rsid w:val="6CE357FA"/>
    <w:rsid w:val="6CE86C34"/>
    <w:rsid w:val="6CED431C"/>
    <w:rsid w:val="6CF22CC2"/>
    <w:rsid w:val="6CF57EA6"/>
    <w:rsid w:val="6D134B17"/>
    <w:rsid w:val="6D2A5995"/>
    <w:rsid w:val="6D34228D"/>
    <w:rsid w:val="6D550F39"/>
    <w:rsid w:val="6D6D1495"/>
    <w:rsid w:val="6D77419A"/>
    <w:rsid w:val="6D7B0A8F"/>
    <w:rsid w:val="6D8E0F4D"/>
    <w:rsid w:val="6D921871"/>
    <w:rsid w:val="6DAD3E2D"/>
    <w:rsid w:val="6DB73782"/>
    <w:rsid w:val="6DBA2D4A"/>
    <w:rsid w:val="6DBC7154"/>
    <w:rsid w:val="6DCD5800"/>
    <w:rsid w:val="6DD824D4"/>
    <w:rsid w:val="6DD96F96"/>
    <w:rsid w:val="6DDD7B70"/>
    <w:rsid w:val="6DEA2A42"/>
    <w:rsid w:val="6DED12B2"/>
    <w:rsid w:val="6DF32504"/>
    <w:rsid w:val="6E02151D"/>
    <w:rsid w:val="6E0813BD"/>
    <w:rsid w:val="6E251432"/>
    <w:rsid w:val="6E2A67D9"/>
    <w:rsid w:val="6E4310B6"/>
    <w:rsid w:val="6E4957FC"/>
    <w:rsid w:val="6E4B04E6"/>
    <w:rsid w:val="6E576911"/>
    <w:rsid w:val="6E585D2F"/>
    <w:rsid w:val="6E5B3B5B"/>
    <w:rsid w:val="6E601DD0"/>
    <w:rsid w:val="6E626050"/>
    <w:rsid w:val="6E69588A"/>
    <w:rsid w:val="6E7217AB"/>
    <w:rsid w:val="6E845EAF"/>
    <w:rsid w:val="6EA220AC"/>
    <w:rsid w:val="6EA25593"/>
    <w:rsid w:val="6EB16A2A"/>
    <w:rsid w:val="6EC005A2"/>
    <w:rsid w:val="6ED447E4"/>
    <w:rsid w:val="6ED645F2"/>
    <w:rsid w:val="6ED71C06"/>
    <w:rsid w:val="6EDE0A86"/>
    <w:rsid w:val="6EE2742C"/>
    <w:rsid w:val="6EE82177"/>
    <w:rsid w:val="6EEA5089"/>
    <w:rsid w:val="6EFA0FE8"/>
    <w:rsid w:val="6F1C68CB"/>
    <w:rsid w:val="6F24689E"/>
    <w:rsid w:val="6F272E26"/>
    <w:rsid w:val="6F3B2EEF"/>
    <w:rsid w:val="6F3C2CB6"/>
    <w:rsid w:val="6F446A7C"/>
    <w:rsid w:val="6F547BD3"/>
    <w:rsid w:val="6F566B9D"/>
    <w:rsid w:val="6F5C3224"/>
    <w:rsid w:val="6F776056"/>
    <w:rsid w:val="6F80189B"/>
    <w:rsid w:val="6F8F7675"/>
    <w:rsid w:val="6F9A6344"/>
    <w:rsid w:val="6FA01CB7"/>
    <w:rsid w:val="6FBE7EF2"/>
    <w:rsid w:val="6FC74D92"/>
    <w:rsid w:val="6FD207F9"/>
    <w:rsid w:val="6FDE2BF7"/>
    <w:rsid w:val="6FDF08EE"/>
    <w:rsid w:val="6FEE3B31"/>
    <w:rsid w:val="6FFF6FBA"/>
    <w:rsid w:val="70052FB8"/>
    <w:rsid w:val="70083B5C"/>
    <w:rsid w:val="7027636D"/>
    <w:rsid w:val="70390CFC"/>
    <w:rsid w:val="703D703A"/>
    <w:rsid w:val="70462970"/>
    <w:rsid w:val="705671A1"/>
    <w:rsid w:val="70853ADA"/>
    <w:rsid w:val="70A42674"/>
    <w:rsid w:val="70B2034E"/>
    <w:rsid w:val="70C93DB0"/>
    <w:rsid w:val="70D05F2F"/>
    <w:rsid w:val="70D844D6"/>
    <w:rsid w:val="70DB0AFC"/>
    <w:rsid w:val="70E10F14"/>
    <w:rsid w:val="70E94754"/>
    <w:rsid w:val="70ED08D9"/>
    <w:rsid w:val="70F15E07"/>
    <w:rsid w:val="70FF15E4"/>
    <w:rsid w:val="71193FD1"/>
    <w:rsid w:val="71201446"/>
    <w:rsid w:val="7129225F"/>
    <w:rsid w:val="71353DAE"/>
    <w:rsid w:val="713D0E98"/>
    <w:rsid w:val="71455640"/>
    <w:rsid w:val="714704E5"/>
    <w:rsid w:val="717D5822"/>
    <w:rsid w:val="718118CF"/>
    <w:rsid w:val="71921038"/>
    <w:rsid w:val="71993221"/>
    <w:rsid w:val="71A43D48"/>
    <w:rsid w:val="71AB1228"/>
    <w:rsid w:val="71C71131"/>
    <w:rsid w:val="71CD54CA"/>
    <w:rsid w:val="71CF04B9"/>
    <w:rsid w:val="71DA04B9"/>
    <w:rsid w:val="71DC5A88"/>
    <w:rsid w:val="71E6750E"/>
    <w:rsid w:val="72017A01"/>
    <w:rsid w:val="72024AFE"/>
    <w:rsid w:val="720D37BF"/>
    <w:rsid w:val="72361CEF"/>
    <w:rsid w:val="723A4CFA"/>
    <w:rsid w:val="72452A17"/>
    <w:rsid w:val="72651E62"/>
    <w:rsid w:val="72724690"/>
    <w:rsid w:val="7282701A"/>
    <w:rsid w:val="728B5578"/>
    <w:rsid w:val="728E5528"/>
    <w:rsid w:val="729B42DA"/>
    <w:rsid w:val="729F6CEB"/>
    <w:rsid w:val="72A4063A"/>
    <w:rsid w:val="72A6227E"/>
    <w:rsid w:val="72A6261F"/>
    <w:rsid w:val="72B87664"/>
    <w:rsid w:val="72BE06E2"/>
    <w:rsid w:val="72C9404A"/>
    <w:rsid w:val="72D12D36"/>
    <w:rsid w:val="72D25A04"/>
    <w:rsid w:val="72D665EE"/>
    <w:rsid w:val="72E00A8B"/>
    <w:rsid w:val="72EB71B8"/>
    <w:rsid w:val="72EF63F1"/>
    <w:rsid w:val="72F93B36"/>
    <w:rsid w:val="72FA7B1C"/>
    <w:rsid w:val="73074BD5"/>
    <w:rsid w:val="73085F9F"/>
    <w:rsid w:val="733A04E0"/>
    <w:rsid w:val="735F2CE7"/>
    <w:rsid w:val="737B2973"/>
    <w:rsid w:val="737D53AF"/>
    <w:rsid w:val="739976C3"/>
    <w:rsid w:val="73A02DEE"/>
    <w:rsid w:val="73A64565"/>
    <w:rsid w:val="73AD03D3"/>
    <w:rsid w:val="73C81EA6"/>
    <w:rsid w:val="73D12812"/>
    <w:rsid w:val="73D6449D"/>
    <w:rsid w:val="73D87128"/>
    <w:rsid w:val="73DB0F85"/>
    <w:rsid w:val="73E16BB4"/>
    <w:rsid w:val="73E35236"/>
    <w:rsid w:val="73EF6245"/>
    <w:rsid w:val="740247A0"/>
    <w:rsid w:val="74040B21"/>
    <w:rsid w:val="740808D0"/>
    <w:rsid w:val="74182CCC"/>
    <w:rsid w:val="74254766"/>
    <w:rsid w:val="742A51B3"/>
    <w:rsid w:val="74321FC0"/>
    <w:rsid w:val="744302C5"/>
    <w:rsid w:val="744A5B84"/>
    <w:rsid w:val="744E1398"/>
    <w:rsid w:val="744E399B"/>
    <w:rsid w:val="74545AB5"/>
    <w:rsid w:val="7460041B"/>
    <w:rsid w:val="74646E5E"/>
    <w:rsid w:val="747E244C"/>
    <w:rsid w:val="74B4241C"/>
    <w:rsid w:val="74BA3FA2"/>
    <w:rsid w:val="74F21B0C"/>
    <w:rsid w:val="74F93403"/>
    <w:rsid w:val="74FC7C69"/>
    <w:rsid w:val="751825EC"/>
    <w:rsid w:val="751E6CB6"/>
    <w:rsid w:val="756B4CC2"/>
    <w:rsid w:val="757016D8"/>
    <w:rsid w:val="757760DB"/>
    <w:rsid w:val="7582702D"/>
    <w:rsid w:val="75881B7A"/>
    <w:rsid w:val="758D27E7"/>
    <w:rsid w:val="75972BEC"/>
    <w:rsid w:val="759D63D6"/>
    <w:rsid w:val="75A11EA9"/>
    <w:rsid w:val="75A675E6"/>
    <w:rsid w:val="75B50423"/>
    <w:rsid w:val="75BE7D81"/>
    <w:rsid w:val="75C11690"/>
    <w:rsid w:val="75C824C5"/>
    <w:rsid w:val="75D13F9B"/>
    <w:rsid w:val="75D57D28"/>
    <w:rsid w:val="75F974F4"/>
    <w:rsid w:val="760420F7"/>
    <w:rsid w:val="76072314"/>
    <w:rsid w:val="760B37D4"/>
    <w:rsid w:val="761B5627"/>
    <w:rsid w:val="76360E5D"/>
    <w:rsid w:val="763C09E5"/>
    <w:rsid w:val="76465AA8"/>
    <w:rsid w:val="76571AE8"/>
    <w:rsid w:val="76583648"/>
    <w:rsid w:val="766B6D7C"/>
    <w:rsid w:val="76716077"/>
    <w:rsid w:val="76981FD0"/>
    <w:rsid w:val="76AB172E"/>
    <w:rsid w:val="76C61963"/>
    <w:rsid w:val="76D20972"/>
    <w:rsid w:val="76E95B6C"/>
    <w:rsid w:val="76EC0E94"/>
    <w:rsid w:val="76FC54B9"/>
    <w:rsid w:val="770652A1"/>
    <w:rsid w:val="77105836"/>
    <w:rsid w:val="7718711F"/>
    <w:rsid w:val="773476B6"/>
    <w:rsid w:val="773A377D"/>
    <w:rsid w:val="773D2163"/>
    <w:rsid w:val="77542971"/>
    <w:rsid w:val="777901B3"/>
    <w:rsid w:val="77A07D01"/>
    <w:rsid w:val="77AE1E5C"/>
    <w:rsid w:val="77C80CB7"/>
    <w:rsid w:val="77CC40C4"/>
    <w:rsid w:val="77F14894"/>
    <w:rsid w:val="780662E8"/>
    <w:rsid w:val="78156A24"/>
    <w:rsid w:val="781E0E3B"/>
    <w:rsid w:val="783514E3"/>
    <w:rsid w:val="786478DC"/>
    <w:rsid w:val="7866248E"/>
    <w:rsid w:val="78B05535"/>
    <w:rsid w:val="78BB18ED"/>
    <w:rsid w:val="78EF0DF8"/>
    <w:rsid w:val="78F05324"/>
    <w:rsid w:val="792E19E6"/>
    <w:rsid w:val="79316E77"/>
    <w:rsid w:val="79492450"/>
    <w:rsid w:val="79502B58"/>
    <w:rsid w:val="7951657B"/>
    <w:rsid w:val="7952102A"/>
    <w:rsid w:val="796D6039"/>
    <w:rsid w:val="797324CF"/>
    <w:rsid w:val="79806857"/>
    <w:rsid w:val="7994511F"/>
    <w:rsid w:val="799C6A71"/>
    <w:rsid w:val="79A1647E"/>
    <w:rsid w:val="79A91C02"/>
    <w:rsid w:val="79A94E9A"/>
    <w:rsid w:val="79AD18DB"/>
    <w:rsid w:val="79B510DA"/>
    <w:rsid w:val="79BB479B"/>
    <w:rsid w:val="79BC009C"/>
    <w:rsid w:val="7A0E4A3C"/>
    <w:rsid w:val="7A0F666D"/>
    <w:rsid w:val="7A2468DA"/>
    <w:rsid w:val="7A3B4227"/>
    <w:rsid w:val="7A4F7240"/>
    <w:rsid w:val="7A692208"/>
    <w:rsid w:val="7A6B1E30"/>
    <w:rsid w:val="7A790E1A"/>
    <w:rsid w:val="7A801010"/>
    <w:rsid w:val="7A901B50"/>
    <w:rsid w:val="7A972B96"/>
    <w:rsid w:val="7AAC57BA"/>
    <w:rsid w:val="7AD123E6"/>
    <w:rsid w:val="7AD15E75"/>
    <w:rsid w:val="7AE932C7"/>
    <w:rsid w:val="7AF27ECE"/>
    <w:rsid w:val="7B157987"/>
    <w:rsid w:val="7B2A133C"/>
    <w:rsid w:val="7B3B18D7"/>
    <w:rsid w:val="7B440CE2"/>
    <w:rsid w:val="7B501A5F"/>
    <w:rsid w:val="7B560F48"/>
    <w:rsid w:val="7B732DFE"/>
    <w:rsid w:val="7B7874B4"/>
    <w:rsid w:val="7B866284"/>
    <w:rsid w:val="7B905E6D"/>
    <w:rsid w:val="7BAB686C"/>
    <w:rsid w:val="7BC01A69"/>
    <w:rsid w:val="7BD14481"/>
    <w:rsid w:val="7BD706C4"/>
    <w:rsid w:val="7BDF55CB"/>
    <w:rsid w:val="7BEF7608"/>
    <w:rsid w:val="7BF42FE9"/>
    <w:rsid w:val="7C035CC5"/>
    <w:rsid w:val="7C0D39A6"/>
    <w:rsid w:val="7C103B76"/>
    <w:rsid w:val="7C107F97"/>
    <w:rsid w:val="7C1250E0"/>
    <w:rsid w:val="7C2B7001"/>
    <w:rsid w:val="7C3625E8"/>
    <w:rsid w:val="7C4401D6"/>
    <w:rsid w:val="7C442881"/>
    <w:rsid w:val="7C5E0A20"/>
    <w:rsid w:val="7C6059CD"/>
    <w:rsid w:val="7C737576"/>
    <w:rsid w:val="7C7F5218"/>
    <w:rsid w:val="7C81264C"/>
    <w:rsid w:val="7C8660A7"/>
    <w:rsid w:val="7C883663"/>
    <w:rsid w:val="7C8F153F"/>
    <w:rsid w:val="7C917279"/>
    <w:rsid w:val="7C93599C"/>
    <w:rsid w:val="7CA04A67"/>
    <w:rsid w:val="7CB15E83"/>
    <w:rsid w:val="7CBB45E6"/>
    <w:rsid w:val="7CC90B77"/>
    <w:rsid w:val="7CCD3F00"/>
    <w:rsid w:val="7CDC064D"/>
    <w:rsid w:val="7CDE64CB"/>
    <w:rsid w:val="7CEF7B6A"/>
    <w:rsid w:val="7D006ED1"/>
    <w:rsid w:val="7D020A29"/>
    <w:rsid w:val="7D052787"/>
    <w:rsid w:val="7D1B1AAE"/>
    <w:rsid w:val="7D200097"/>
    <w:rsid w:val="7D25355B"/>
    <w:rsid w:val="7D46376C"/>
    <w:rsid w:val="7D5439D1"/>
    <w:rsid w:val="7D551555"/>
    <w:rsid w:val="7D6779E8"/>
    <w:rsid w:val="7D892A09"/>
    <w:rsid w:val="7D8F685A"/>
    <w:rsid w:val="7DD438D9"/>
    <w:rsid w:val="7DE356D6"/>
    <w:rsid w:val="7DE819F6"/>
    <w:rsid w:val="7DE960F7"/>
    <w:rsid w:val="7DEF798D"/>
    <w:rsid w:val="7E0A3323"/>
    <w:rsid w:val="7E0A6CA7"/>
    <w:rsid w:val="7E2306FD"/>
    <w:rsid w:val="7E2E110A"/>
    <w:rsid w:val="7E6843CD"/>
    <w:rsid w:val="7E7F12AA"/>
    <w:rsid w:val="7E841C5D"/>
    <w:rsid w:val="7E882E91"/>
    <w:rsid w:val="7E8D2E61"/>
    <w:rsid w:val="7E9C192C"/>
    <w:rsid w:val="7EAE1E21"/>
    <w:rsid w:val="7EC27937"/>
    <w:rsid w:val="7EDD4C8B"/>
    <w:rsid w:val="7EDF75F1"/>
    <w:rsid w:val="7EF96728"/>
    <w:rsid w:val="7F012608"/>
    <w:rsid w:val="7F0444BB"/>
    <w:rsid w:val="7F072205"/>
    <w:rsid w:val="7F0B2F3A"/>
    <w:rsid w:val="7F113F51"/>
    <w:rsid w:val="7F1A20C7"/>
    <w:rsid w:val="7F5B498E"/>
    <w:rsid w:val="7F686D62"/>
    <w:rsid w:val="7F6E28E1"/>
    <w:rsid w:val="7F6E386C"/>
    <w:rsid w:val="7F7A702E"/>
    <w:rsid w:val="7F7D469D"/>
    <w:rsid w:val="7F800532"/>
    <w:rsid w:val="7F8F4B14"/>
    <w:rsid w:val="7F9478D6"/>
    <w:rsid w:val="7FAD5846"/>
    <w:rsid w:val="7FB067EC"/>
    <w:rsid w:val="7FCC7382"/>
    <w:rsid w:val="7FCF2122"/>
    <w:rsid w:val="7FDA6AF1"/>
    <w:rsid w:val="7FDC278A"/>
    <w:rsid w:val="7FE44D73"/>
    <w:rsid w:val="7FEF4119"/>
    <w:rsid w:val="7FF81693"/>
    <w:rsid w:val="7FFF5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9850E069-52F3-4F77-9AB5-19A7860D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qFormat/>
    <w:rPr>
      <w:color w:val="954F72"/>
      <w:u w:val="single"/>
    </w:rPr>
  </w:style>
  <w:style w:type="character" w:styleId="Hyperlink">
    <w:name w:val="Hyperlink"/>
    <w:basedOn w:val="DefaultParagraphFont"/>
    <w:uiPriority w:val="99"/>
    <w:semiHidden/>
    <w:unhideWhenUsed/>
    <w:rPr>
      <w:color w:val="0000FF"/>
      <w:u w:val="single"/>
    </w:rPr>
  </w:style>
  <w:style w:type="character" w:styleId="CommentReference">
    <w:name w:val="annotation reference"/>
    <w:uiPriority w:val="99"/>
    <w:semiHidden/>
    <w:unhideWhenUsed/>
    <w:qFormat/>
    <w:rPr>
      <w:sz w:val="21"/>
      <w:szCs w:val="21"/>
    </w:rPr>
  </w:style>
  <w:style w:type="character" w:customStyle="1" w:styleId="FooterChar">
    <w:name w:val="Footer Char"/>
    <w:link w:val="Footer"/>
    <w:uiPriority w:val="99"/>
    <w:qFormat/>
    <w:rPr>
      <w:kern w:val="2"/>
      <w:sz w:val="18"/>
      <w:szCs w:val="18"/>
    </w:rPr>
  </w:style>
  <w:style w:type="character" w:customStyle="1" w:styleId="HeaderChar">
    <w:name w:val="Header Char"/>
    <w:link w:val="Header"/>
    <w:uiPriority w:val="99"/>
    <w:qFormat/>
    <w:rPr>
      <w:kern w:val="2"/>
      <w:sz w:val="18"/>
      <w:szCs w:val="18"/>
    </w:rPr>
  </w:style>
  <w:style w:type="character" w:customStyle="1" w:styleId="15">
    <w:name w:val="15"/>
    <w:qFormat/>
    <w:rPr>
      <w:rFonts w:ascii="Times New Roman" w:hAnsi="Times New Roman" w:cs="Times New Roman" w:hint="default"/>
      <w:color w:val="0000FF"/>
      <w:u w:val="single"/>
    </w:rPr>
  </w:style>
  <w:style w:type="paragraph" w:customStyle="1" w:styleId="1">
    <w:name w:val="修订1"/>
    <w:hidden/>
    <w:uiPriority w:val="99"/>
    <w:unhideWhenUsed/>
    <w:qFormat/>
    <w:rPr>
      <w:kern w:val="2"/>
      <w:sz w:val="21"/>
      <w:szCs w:val="22"/>
      <w:lang w:eastAsia="zh-CN"/>
    </w:rPr>
  </w:style>
  <w:style w:type="character" w:customStyle="1" w:styleId="CommentTextChar">
    <w:name w:val="Comment Text Char"/>
    <w:link w:val="CommentText"/>
    <w:uiPriority w:val="99"/>
    <w:qFormat/>
    <w:rPr>
      <w:kern w:val="2"/>
      <w:sz w:val="21"/>
      <w:szCs w:val="22"/>
    </w:rPr>
  </w:style>
  <w:style w:type="character" w:customStyle="1" w:styleId="CommentSubjectChar">
    <w:name w:val="Comment Subject Char"/>
    <w:link w:val="CommentSubject"/>
    <w:uiPriority w:val="99"/>
    <w:semiHidden/>
    <w:qFormat/>
    <w:rPr>
      <w:b/>
      <w:bCs/>
      <w:kern w:val="2"/>
      <w:sz w:val="21"/>
      <w:szCs w:val="22"/>
    </w:rPr>
  </w:style>
  <w:style w:type="character" w:customStyle="1" w:styleId="BalloonTextChar">
    <w:name w:val="Balloon Text Char"/>
    <w:link w:val="BalloonText"/>
    <w:uiPriority w:val="99"/>
    <w:semiHidden/>
    <w:qFormat/>
    <w:rPr>
      <w:kern w:val="2"/>
      <w:sz w:val="18"/>
      <w:szCs w:val="18"/>
    </w:rPr>
  </w:style>
  <w:style w:type="character" w:styleId="PlaceholderText">
    <w:name w:val="Placeholder Text"/>
    <w:basedOn w:val="DefaultParagraphFont"/>
    <w:uiPriority w:val="99"/>
    <w:unhideWhenUsed/>
    <w:qFormat/>
    <w:rPr>
      <w:color w:val="808080"/>
    </w:rPr>
  </w:style>
  <w:style w:type="paragraph" w:styleId="ListParagraph">
    <w:name w:val="List Paragraph"/>
    <w:basedOn w:val="Normal"/>
    <w:uiPriority w:val="99"/>
    <w:qFormat/>
    <w:pPr>
      <w:ind w:firstLineChars="200" w:firstLine="420"/>
    </w:pPr>
  </w:style>
  <w:style w:type="paragraph" w:customStyle="1" w:styleId="2">
    <w:name w:val="修订2"/>
    <w:hidden/>
    <w:uiPriority w:val="99"/>
    <w:semiHidden/>
    <w:qFormat/>
    <w:rPr>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1.jpeg"/><Relationship Id="rId39" Type="http://schemas.openxmlformats.org/officeDocument/2006/relationships/image" Target="media/image23.jpeg"/><Relationship Id="rId21" Type="http://schemas.openxmlformats.org/officeDocument/2006/relationships/oleObject" Target="embeddings/oleObject7.bin"/><Relationship Id="rId34" Type="http://schemas.openxmlformats.org/officeDocument/2006/relationships/image" Target="media/image18.jpeg"/><Relationship Id="rId7" Type="http://schemas.openxmlformats.org/officeDocument/2006/relationships/hyperlink" Target="mailto:yzs@usx.edu.cn" TargetMode="Externa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9.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3.jpeg"/><Relationship Id="rId36" Type="http://schemas.openxmlformats.org/officeDocument/2006/relationships/image" Target="media/image20.jpeg"/><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2.jpeg"/><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image" Target="media/image1.wmf"/><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0.jpeg"/><Relationship Id="rId33" Type="http://schemas.openxmlformats.org/officeDocument/2006/relationships/image" Target="media/image17.jpeg"/><Relationship Id="rId38" Type="http://schemas.openxmlformats.org/officeDocument/2006/relationships/image" Target="media/image2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6EDDE-B4FB-47B0-9348-1B84B42D8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4143</Words>
  <Characters>22814</Characters>
  <Application>Microsoft Office Word</Application>
  <DocSecurity>0</DocSecurity>
  <Lines>190</Lines>
  <Paragraphs>53</Paragraphs>
  <ScaleCrop>false</ScaleCrop>
  <Company>HP</Company>
  <LinksUpToDate>false</LinksUpToDate>
  <CharactersWithSpaces>26904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Rajalakshmi Thangaraj</cp:lastModifiedBy>
  <cp:revision>471</cp:revision>
  <cp:lastPrinted>2023-04-14T08:33:00Z</cp:lastPrinted>
  <dcterms:created xsi:type="dcterms:W3CDTF">2022-12-07T03:28:00Z</dcterms:created>
  <dcterms:modified xsi:type="dcterms:W3CDTF">2023-08-22T06:29:00Z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GrammarlyDocumentId">
    <vt:lpwstr>c2f9b5a5b3fe857ef534eb9b70964b565dc962e07da1c66ca9b57d6a9f6f0638</vt:lpwstr>
  </property>
  <property fmtid="{D5CDD505-2E9C-101B-9397-08002B2CF9AE}" pid="4" name="ICV">
    <vt:lpwstr>0969A9935F2C47359A75396101153C07</vt:lpwstr>
  </property>
  <property fmtid="{D5CDD505-2E9C-101B-9397-08002B2CF9AE}" pid="5" name="MTWinEqns">
    <vt:bool>true</vt:bool>
  </property>
</Properties>
</file>