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57F8B" w14:textId="56D8B408" w:rsidR="00392A7D" w:rsidRPr="009D1784" w:rsidRDefault="00392A7D" w:rsidP="00FE48AD">
      <w:pPr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Supporting Information</w:t>
      </w:r>
    </w:p>
    <w:p w14:paraId="63170256" w14:textId="77777777" w:rsidR="00931E64" w:rsidRPr="009D1784" w:rsidRDefault="00931E64" w:rsidP="00931E64">
      <w:pPr>
        <w:widowControl/>
        <w:spacing w:after="24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bookmarkStart w:id="0" w:name="_Hlk125986734"/>
      <w:r w:rsidRPr="009D178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B7H3 Targeting Gold Nanocage pH-Sensitive Conjugates for Precise and Synergistic Chemo-Photothermal Therapy against NSCLC</w:t>
      </w:r>
      <w:bookmarkEnd w:id="0"/>
    </w:p>
    <w:p w14:paraId="692C544D" w14:textId="77777777" w:rsidR="00421058" w:rsidRPr="009D1784" w:rsidRDefault="00421058" w:rsidP="00421058">
      <w:pPr>
        <w:widowControl/>
        <w:spacing w:after="24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Bing Chen 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1,2†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>, Kaifan Zheng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1,2†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>, Shubin Fang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1,2†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Kangping Huang 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Chengchao Chu 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4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>, Junyang Zhuang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1,2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Jin Lin 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2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Shaoguang Li 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1,2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, Hong Yao 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1,2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>, Ailin Liu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1,2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>, Gang Liu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4*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>, Jizhen Lin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1,3,5*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>, Xinhua Lin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1,2*</w:t>
      </w:r>
    </w:p>
    <w:p w14:paraId="337466D2" w14:textId="77777777" w:rsidR="00421058" w:rsidRPr="009D1784" w:rsidRDefault="00421058" w:rsidP="00421058">
      <w:pPr>
        <w:widowControl/>
        <w:shd w:val="clear" w:color="auto" w:fill="FFFFFF"/>
        <w:spacing w:after="24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1 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>Key Laboratory of Nanomedical Technology (Education Department of Fujian Province), School of Pharmacy, Fujian Medical University, Fuzhou 350122, China.</w:t>
      </w:r>
    </w:p>
    <w:p w14:paraId="139962AE" w14:textId="77777777" w:rsidR="00421058" w:rsidRPr="009D1784" w:rsidRDefault="00421058" w:rsidP="00421058">
      <w:pPr>
        <w:widowControl/>
        <w:shd w:val="clear" w:color="auto" w:fill="FFFFFF"/>
        <w:spacing w:after="24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2 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>Department of Pharmaceutical Analysis, School of Pharmacy, Fujian Medical University, Fuzhou 350122, China.</w:t>
      </w:r>
    </w:p>
    <w:p w14:paraId="7E6B5F42" w14:textId="77777777" w:rsidR="00421058" w:rsidRPr="009D1784" w:rsidRDefault="00421058" w:rsidP="00421058">
      <w:pPr>
        <w:widowControl/>
        <w:shd w:val="clear" w:color="auto" w:fill="FFFFFF"/>
        <w:spacing w:after="24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3 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>The Cancer Center, Union Hospital, Fujian Medical University, Fuzhou 350122, China.</w:t>
      </w:r>
    </w:p>
    <w:p w14:paraId="78327410" w14:textId="77777777" w:rsidR="00421058" w:rsidRPr="009D1784" w:rsidRDefault="00421058" w:rsidP="00421058">
      <w:pPr>
        <w:spacing w:after="24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4 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>State Key Laboratory of Molecular Vaccinology and Molecular Diagnostics &amp; Center for Molecular Imaging and Translational Medicine, School of Public Health, Xiamen University, Xiamen 361102, China.</w:t>
      </w:r>
    </w:p>
    <w:p w14:paraId="429B8B37" w14:textId="77777777" w:rsidR="00421058" w:rsidRPr="009D1784" w:rsidRDefault="00421058" w:rsidP="00421058">
      <w:pPr>
        <w:spacing w:after="240"/>
        <w:rPr>
          <w:rFonts w:ascii="Times New Roman" w:hAnsi="Times New Roman" w:cs="Times New Roman"/>
          <w:bCs/>
          <w:color w:val="000000" w:themeColor="text1"/>
          <w:kern w:val="0"/>
          <w:sz w:val="36"/>
          <w:szCs w:val="36"/>
        </w:rPr>
      </w:pPr>
      <w:r w:rsidRPr="009D1784">
        <w:rPr>
          <w:rFonts w:ascii="Times New Roman" w:hAnsi="Times New Roman" w:cs="Times New Roman"/>
          <w:bCs/>
          <w:color w:val="000000" w:themeColor="text1"/>
          <w:kern w:val="0"/>
          <w:sz w:val="36"/>
          <w:szCs w:val="36"/>
          <w:vertAlign w:val="superscript"/>
        </w:rPr>
        <w:t>5</w:t>
      </w:r>
      <w:r w:rsidRPr="009D1784">
        <w:rPr>
          <w:rFonts w:ascii="Times New Roman" w:hAnsi="Times New Roman" w:cs="Times New Roman"/>
          <w:bCs/>
          <w:color w:val="000000" w:themeColor="text1"/>
          <w:kern w:val="0"/>
          <w:sz w:val="36"/>
          <w:szCs w:val="36"/>
        </w:rPr>
        <w:t xml:space="preserve"> The Department of Otolaryngology, Head and Neck Surgery, University of Minnesota Medical School, Minneapolis 55404, United States.</w:t>
      </w:r>
    </w:p>
    <w:p w14:paraId="64388B21" w14:textId="031B31C8" w:rsidR="00421058" w:rsidRPr="009D1784" w:rsidRDefault="00421058" w:rsidP="00421058">
      <w:pPr>
        <w:spacing w:after="240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bCs/>
          <w:color w:val="000000" w:themeColor="text1"/>
          <w:kern w:val="0"/>
          <w:sz w:val="36"/>
          <w:szCs w:val="36"/>
          <w:vertAlign w:val="superscript"/>
        </w:rPr>
        <w:t>*</w:t>
      </w:r>
      <w:r w:rsidRPr="009D1784">
        <w:rPr>
          <w:rFonts w:ascii="Times New Roman" w:hAnsi="Times New Roman" w:cs="Times New Roman"/>
          <w:bCs/>
          <w:color w:val="000000" w:themeColor="text1"/>
          <w:kern w:val="0"/>
          <w:sz w:val="36"/>
          <w:szCs w:val="36"/>
        </w:rPr>
        <w:t xml:space="preserve">Correspondence: </w:t>
      </w:r>
      <w:r w:rsidRPr="009D1784">
        <w:rPr>
          <w:rFonts w:ascii="Times New Roman" w:hAnsi="Times New Roman" w:cs="Times New Roman"/>
          <w:color w:val="000000" w:themeColor="text1"/>
          <w:kern w:val="0"/>
          <w:sz w:val="36"/>
          <w:szCs w:val="36"/>
          <w:lang w:val="pt-BR"/>
        </w:rPr>
        <w:t>13906939638@163.com</w:t>
      </w:r>
      <w:r w:rsidRPr="009D1784">
        <w:rPr>
          <w:rStyle w:val="Hyperlink"/>
          <w:rFonts w:ascii="Times New Roman" w:hAnsi="Times New Roman" w:cs="Times New Roman"/>
          <w:color w:val="000000" w:themeColor="text1"/>
          <w:kern w:val="0"/>
          <w:sz w:val="36"/>
          <w:szCs w:val="36"/>
          <w:u w:val="none"/>
          <w:lang w:val="pt-BR"/>
        </w:rPr>
        <w:t>; linjizhen@fimu.edu.cn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; </w:t>
      </w:r>
      <w:r w:rsidRPr="009D1784">
        <w:rPr>
          <w:rStyle w:val="Hyperlink"/>
          <w:rFonts w:ascii="Times New Roman" w:hAnsi="Times New Roman" w:cs="Times New Roman"/>
          <w:color w:val="000000" w:themeColor="text1"/>
          <w:kern w:val="0"/>
          <w:sz w:val="36"/>
          <w:szCs w:val="36"/>
          <w:u w:val="none"/>
          <w:lang w:val="pt-BR"/>
        </w:rPr>
        <w:t>Gangliu.cmitm@xmu.edu.cn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>.</w:t>
      </w:r>
    </w:p>
    <w:p w14:paraId="683E5C22" w14:textId="77777777" w:rsidR="00421058" w:rsidRPr="009D1784" w:rsidRDefault="00421058" w:rsidP="00421058">
      <w:pPr>
        <w:tabs>
          <w:tab w:val="right" w:pos="8306"/>
        </w:tabs>
        <w:spacing w:beforeLines="50" w:before="156" w:after="240" w:line="36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>†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These authors contributed equally to this work.</w:t>
      </w:r>
    </w:p>
    <w:p w14:paraId="2BFCF5F2" w14:textId="77777777" w:rsidR="00FE48AD" w:rsidRPr="009D1784" w:rsidRDefault="00FE48AD" w:rsidP="00FE48A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0A18ACF7" w14:textId="77777777" w:rsidR="00421058" w:rsidRPr="009D1784" w:rsidRDefault="00421058" w:rsidP="0042105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Keywords:</w:t>
      </w:r>
      <w:r w:rsidRPr="009D178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B7H3/CD276, Gold nanocage, Doxorubicin conjugates, Chemo-photothermal therapy, NSCLC</w:t>
      </w:r>
    </w:p>
    <w:p w14:paraId="08648E53" w14:textId="77777777" w:rsidR="00392A7D" w:rsidRPr="009D1784" w:rsidRDefault="00392A7D">
      <w:pPr>
        <w:rPr>
          <w:rFonts w:ascii="Times New Roman" w:hAnsi="Times New Roman" w:cs="Times New Roman"/>
          <w:noProof/>
          <w:color w:val="000000" w:themeColor="text1"/>
          <w:sz w:val="36"/>
          <w:szCs w:val="36"/>
        </w:rPr>
      </w:pPr>
    </w:p>
    <w:p w14:paraId="65AB4467" w14:textId="05091854" w:rsidR="0070532B" w:rsidRPr="009D1784" w:rsidRDefault="00113DF3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w:drawing>
          <wp:inline distT="0" distB="0" distL="0" distR="0" wp14:anchorId="48F6FF72" wp14:editId="0A8E7256">
            <wp:extent cx="5274310" cy="52793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5F562" w14:textId="49CDA3FF" w:rsidR="00392A7D" w:rsidRPr="009D1784" w:rsidRDefault="00392A7D" w:rsidP="00392A7D">
      <w:pPr>
        <w:pStyle w:val="NormalWeb"/>
        <w:widowControl/>
        <w:spacing w:beforeAutospacing="0" w:afterAutospacing="0" w:line="360" w:lineRule="auto"/>
        <w:jc w:val="both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9D1784">
        <w:rPr>
          <w:rFonts w:ascii="Times New Roman" w:hAnsi="Times New Roman"/>
          <w:b/>
          <w:bCs/>
          <w:color w:val="000000" w:themeColor="text1"/>
          <w:sz w:val="36"/>
          <w:szCs w:val="36"/>
        </w:rPr>
        <w:t>Figure S1.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 Synthesis and characterization of silver nanocubes and gold nanocages. A)</w:t>
      </w:r>
      <w:r w:rsidRPr="009D1784">
        <w:rPr>
          <w:rFonts w:ascii="Times New Roman" w:hAnsi="Times New Roman"/>
          <w:b/>
          <w:bCs/>
          <w:color w:val="000000" w:themeColor="text1"/>
          <w:sz w:val="36"/>
          <w:szCs w:val="36"/>
        </w:rPr>
        <w:t xml:space="preserve"> 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>The photo, B) Hydrodynamic diameters, and C) Zeta potentials of silver nanocubes. D) The UV-Vis spectra of silver nanocubes, E) gold nanocages, and F) B7H3/Dox@GNCs. G) The photo, H) Hydrodynamic diameters, and I) Zeta potentials of gold nanocages.</w:t>
      </w:r>
    </w:p>
    <w:p w14:paraId="507F8354" w14:textId="4665046B" w:rsidR="00FE48AD" w:rsidRPr="009D1784" w:rsidRDefault="00FE48A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w:drawing>
          <wp:inline distT="0" distB="0" distL="0" distR="0" wp14:anchorId="52274D3A" wp14:editId="60800476">
            <wp:extent cx="5274310" cy="697801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6961B" w14:textId="45863C8C" w:rsidR="00B32B42" w:rsidRPr="009D1784" w:rsidRDefault="00B32B42" w:rsidP="00B32B42">
      <w:pPr>
        <w:pStyle w:val="NormalWeb"/>
        <w:widowControl/>
        <w:spacing w:beforeAutospacing="0" w:afterAutospacing="0" w:line="360" w:lineRule="auto"/>
        <w:jc w:val="both"/>
        <w:rPr>
          <w:rFonts w:ascii="Times New Roman" w:hAnsi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/>
          <w:b/>
          <w:bCs/>
          <w:color w:val="000000" w:themeColor="text1"/>
          <w:sz w:val="36"/>
          <w:szCs w:val="36"/>
        </w:rPr>
        <w:t>Figure S2.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 The synthetic procedures of LA-Dox-mPEG. </w:t>
      </w:r>
    </w:p>
    <w:p w14:paraId="2C676912" w14:textId="77777777" w:rsidR="00B32B42" w:rsidRPr="009D1784" w:rsidRDefault="00B32B42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4264CC3A" w14:textId="05233C10" w:rsidR="00FE48AD" w:rsidRPr="009D1784" w:rsidRDefault="00FE48A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w:drawing>
          <wp:inline distT="0" distB="0" distL="0" distR="0" wp14:anchorId="406E9A8A" wp14:editId="2542B522">
            <wp:extent cx="5274310" cy="740854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CB2E6" w14:textId="689C02B2" w:rsidR="0083622C" w:rsidRPr="009D1784" w:rsidRDefault="0083622C" w:rsidP="0083622C">
      <w:pPr>
        <w:pStyle w:val="NormalWeb"/>
        <w:widowControl/>
        <w:spacing w:beforeAutospacing="0" w:afterAutospacing="0" w:line="360" w:lineRule="auto"/>
        <w:jc w:val="both"/>
        <w:rPr>
          <w:rFonts w:ascii="Times New Roman" w:hAnsi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/>
          <w:b/>
          <w:bCs/>
          <w:color w:val="000000" w:themeColor="text1"/>
          <w:sz w:val="36"/>
          <w:szCs w:val="36"/>
        </w:rPr>
        <w:t>Figure S</w:t>
      </w:r>
      <w:r w:rsidR="001B1A64" w:rsidRPr="009D1784">
        <w:rPr>
          <w:rFonts w:ascii="Times New Roman" w:hAnsi="Times New Roman"/>
          <w:b/>
          <w:bCs/>
          <w:color w:val="000000" w:themeColor="text1"/>
          <w:sz w:val="36"/>
          <w:szCs w:val="36"/>
        </w:rPr>
        <w:t>3</w:t>
      </w:r>
      <w:r w:rsidRPr="009D1784">
        <w:rPr>
          <w:rFonts w:ascii="Times New Roman" w:hAnsi="Times New Roman"/>
          <w:b/>
          <w:bCs/>
          <w:color w:val="000000" w:themeColor="text1"/>
          <w:sz w:val="36"/>
          <w:szCs w:val="36"/>
        </w:rPr>
        <w:t>.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</w:rPr>
        <w:t>C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haracterization of 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</w:rPr>
        <w:t>LAOEt and LA-NHNH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  <w:vertAlign w:val="subscript"/>
        </w:rPr>
        <w:t>2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. A) HPLC chromatograms, B) FT-IR, C) MS spectra, G) 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1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</w:rPr>
        <w:t>H-NMR (DMSO-d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  <w:vertAlign w:val="subscript"/>
        </w:rPr>
        <w:t>6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) and H) 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13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</w:rPr>
        <w:t>C-NMR (DMSO-d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  <w:vertAlign w:val="subscript"/>
        </w:rPr>
        <w:t>6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) of LAOEt. D) HPLC chromatograms, E) FT-IR, F) MS spectra, H) 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1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</w:rPr>
        <w:t>H-NMR (DMSO-d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  <w:vertAlign w:val="subscript"/>
        </w:rPr>
        <w:t>6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) and J) 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13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</w:rPr>
        <w:t>C-NMR (DMSO-d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  <w:vertAlign w:val="subscript"/>
        </w:rPr>
        <w:t>6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</w:rPr>
        <w:t>) of LA-NHNH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  <w:vertAlign w:val="subscript"/>
        </w:rPr>
        <w:t>2</w:t>
      </w:r>
      <w:r w:rsidR="002C13DE" w:rsidRPr="009D1784">
        <w:rPr>
          <w:rFonts w:ascii="Times New Roman" w:hAnsi="Times New Roman"/>
          <w:color w:val="000000" w:themeColor="text1"/>
          <w:sz w:val="36"/>
          <w:szCs w:val="36"/>
        </w:rPr>
        <w:t>.</w:t>
      </w:r>
    </w:p>
    <w:p w14:paraId="33C3D69A" w14:textId="77777777" w:rsidR="0083622C" w:rsidRPr="009D1784" w:rsidRDefault="0083622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2452C9D3" w14:textId="6F99FA37" w:rsidR="00FE48AD" w:rsidRPr="009D1784" w:rsidRDefault="00FE48A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w:drawing>
          <wp:inline distT="0" distB="0" distL="0" distR="0" wp14:anchorId="57956C61" wp14:editId="67A0DDDD">
            <wp:extent cx="5274310" cy="734314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4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9D94F" w14:textId="20568DB4" w:rsidR="00F56BDC" w:rsidRPr="009D1784" w:rsidRDefault="00F56BDC" w:rsidP="00F56BDC">
      <w:pPr>
        <w:pStyle w:val="NormalWeb"/>
        <w:widowControl/>
        <w:spacing w:beforeAutospacing="0" w:afterAutospacing="0" w:line="360" w:lineRule="auto"/>
        <w:jc w:val="both"/>
        <w:rPr>
          <w:rFonts w:ascii="Times New Roman" w:hAnsi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/>
          <w:b/>
          <w:bCs/>
          <w:color w:val="000000" w:themeColor="text1"/>
          <w:sz w:val="36"/>
          <w:szCs w:val="36"/>
        </w:rPr>
        <w:t>Figure S4.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 Characterization of LA-Dox and mPEG-NPC. A) HPLC chromatograms, B) FT-IR, C) MS spectra, G) </w:t>
      </w:r>
      <w:r w:rsidRPr="009D1784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1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>H-NMR (DMSO-d</w:t>
      </w:r>
      <w:r w:rsidRPr="009D1784">
        <w:rPr>
          <w:rFonts w:ascii="Times New Roman" w:hAnsi="Times New Roman"/>
          <w:color w:val="000000" w:themeColor="text1"/>
          <w:sz w:val="36"/>
          <w:szCs w:val="36"/>
          <w:vertAlign w:val="subscript"/>
        </w:rPr>
        <w:t>6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) and H) </w:t>
      </w:r>
      <w:r w:rsidRPr="009D1784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13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>C-NMR (DMSO-d</w:t>
      </w:r>
      <w:r w:rsidRPr="009D1784">
        <w:rPr>
          <w:rFonts w:ascii="Times New Roman" w:hAnsi="Times New Roman"/>
          <w:color w:val="000000" w:themeColor="text1"/>
          <w:sz w:val="36"/>
          <w:szCs w:val="36"/>
          <w:vertAlign w:val="subscript"/>
        </w:rPr>
        <w:t>6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) of LA-Dox. D) HPLC chromatograms, E) FT-IR, F) MS spectra, H) </w:t>
      </w:r>
      <w:r w:rsidRPr="009D1784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1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>H-NMR (DMSO-d</w:t>
      </w:r>
      <w:r w:rsidRPr="009D1784">
        <w:rPr>
          <w:rFonts w:ascii="Times New Roman" w:hAnsi="Times New Roman"/>
          <w:color w:val="000000" w:themeColor="text1"/>
          <w:sz w:val="36"/>
          <w:szCs w:val="36"/>
          <w:vertAlign w:val="subscript"/>
        </w:rPr>
        <w:t>6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) and J) </w:t>
      </w:r>
      <w:r w:rsidRPr="009D1784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13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>C-NMR (DMSO-d</w:t>
      </w:r>
      <w:r w:rsidRPr="009D1784">
        <w:rPr>
          <w:rFonts w:ascii="Times New Roman" w:hAnsi="Times New Roman"/>
          <w:color w:val="000000" w:themeColor="text1"/>
          <w:sz w:val="36"/>
          <w:szCs w:val="36"/>
          <w:vertAlign w:val="subscript"/>
        </w:rPr>
        <w:t>6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>) of mPEG-NPC.</w:t>
      </w:r>
    </w:p>
    <w:p w14:paraId="0120F669" w14:textId="77777777" w:rsidR="00F56BDC" w:rsidRPr="009D1784" w:rsidRDefault="00F56BDC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556F27BB" w14:textId="587D180E" w:rsidR="00FE48AD" w:rsidRPr="009D1784" w:rsidRDefault="00FE48A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1" w:name="_GoBack"/>
      <w:r w:rsidRPr="009D1784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w:drawing>
          <wp:inline distT="0" distB="0" distL="0" distR="0" wp14:anchorId="4B924B1A" wp14:editId="0415B481">
            <wp:extent cx="5274310" cy="44272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210B44A" w14:textId="1C10AD2D" w:rsidR="00F56BDC" w:rsidRPr="009D1784" w:rsidRDefault="00F56BDC" w:rsidP="00F56BDC">
      <w:pPr>
        <w:pStyle w:val="NormalWeb"/>
        <w:widowControl/>
        <w:spacing w:beforeAutospacing="0" w:afterAutospacing="0" w:line="360" w:lineRule="auto"/>
        <w:jc w:val="both"/>
        <w:rPr>
          <w:rFonts w:ascii="Times New Roman" w:hAnsi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/>
          <w:b/>
          <w:bCs/>
          <w:color w:val="000000" w:themeColor="text1"/>
          <w:sz w:val="36"/>
          <w:szCs w:val="36"/>
        </w:rPr>
        <w:t>Figure S5.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 Characterization of LA-Dox-mPEG. A) HPLC chromatograms, B) FT-IR, C) MS spectra, D) </w:t>
      </w:r>
      <w:r w:rsidRPr="009D1784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1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>H-NMR (DMSO-d</w:t>
      </w:r>
      <w:r w:rsidRPr="009D1784">
        <w:rPr>
          <w:rFonts w:ascii="Times New Roman" w:hAnsi="Times New Roman"/>
          <w:color w:val="000000" w:themeColor="text1"/>
          <w:sz w:val="36"/>
          <w:szCs w:val="36"/>
          <w:vertAlign w:val="subscript"/>
        </w:rPr>
        <w:t>6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>) of LA-Dox-mPEG.</w:t>
      </w:r>
    </w:p>
    <w:p w14:paraId="3E48525D" w14:textId="31366087" w:rsidR="00FE48AD" w:rsidRPr="009D1784" w:rsidRDefault="00876E1E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 w:cs="Times New Roman"/>
          <w:noProof/>
          <w:color w:val="000000" w:themeColor="text1"/>
          <w:sz w:val="36"/>
          <w:szCs w:val="36"/>
          <w:lang w:val="en-IN" w:eastAsia="en-IN"/>
        </w:rPr>
        <w:drawing>
          <wp:inline distT="0" distB="0" distL="0" distR="0" wp14:anchorId="0E21DC9C" wp14:editId="2D4395A7">
            <wp:extent cx="5274310" cy="53784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6-revised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37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27461" w14:textId="38F9F338" w:rsidR="00663310" w:rsidRPr="009D1784" w:rsidRDefault="00663310" w:rsidP="00663310">
      <w:pPr>
        <w:pStyle w:val="NormalWeb"/>
        <w:widowControl/>
        <w:spacing w:beforeAutospacing="0" w:afterAutospacing="0" w:line="360" w:lineRule="auto"/>
        <w:jc w:val="both"/>
        <w:rPr>
          <w:rFonts w:ascii="Times New Roman" w:hAnsi="Times New Roman"/>
          <w:color w:val="000000" w:themeColor="text1"/>
          <w:sz w:val="36"/>
          <w:szCs w:val="36"/>
        </w:rPr>
      </w:pPr>
      <w:r w:rsidRPr="009D1784">
        <w:rPr>
          <w:rFonts w:ascii="Times New Roman" w:hAnsi="Times New Roman"/>
          <w:b/>
          <w:bCs/>
          <w:color w:val="000000" w:themeColor="text1"/>
          <w:sz w:val="36"/>
          <w:szCs w:val="36"/>
        </w:rPr>
        <w:t>Figure S6.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r w:rsidRPr="009D1784">
        <w:rPr>
          <w:rFonts w:ascii="Times New Roman" w:hAnsi="Times New Roman"/>
          <w:i/>
          <w:iCs/>
          <w:color w:val="000000" w:themeColor="text1"/>
          <w:sz w:val="36"/>
          <w:szCs w:val="36"/>
        </w:rPr>
        <w:t>In vivo</w:t>
      </w:r>
      <w:r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 biodistribution of Dox, Dox@GNCs, and B7H3/Dox@GNCs. B) Biodistribution profiles of Dox in A) heart, B) Lung, C) Liver, D) Spleen, and E) Kindey of NSCLCs tumor-bearing mice following intravenous injection of Dox·HCl, Dox@GNCs, and B7H3/Dox@GNCs at Dox dose of 3 mg/kg for different time.</w:t>
      </w:r>
      <w:r w:rsidR="00876E1E"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 Data are Mean ± SD (n=3), </w:t>
      </w:r>
      <w:r w:rsidR="00876E1E" w:rsidRPr="009D1784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*</w:t>
      </w:r>
      <w:r w:rsidR="00876E1E" w:rsidRPr="009D1784">
        <w:rPr>
          <w:rFonts w:ascii="Times New Roman" w:hAnsi="Times New Roman"/>
          <w:i/>
          <w:color w:val="000000" w:themeColor="text1"/>
          <w:sz w:val="36"/>
          <w:szCs w:val="36"/>
        </w:rPr>
        <w:t>P</w:t>
      </w:r>
      <w:r w:rsidR="00876E1E"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r w:rsidR="00876E1E" w:rsidRPr="009D1784">
        <w:rPr>
          <w:rFonts w:ascii="Times New Roman" w:hAnsi="Times New Roman"/>
          <w:color w:val="000000" w:themeColor="text1"/>
          <w:sz w:val="36"/>
          <w:szCs w:val="36"/>
        </w:rPr>
        <w:t>﹤</w:t>
      </w:r>
      <w:r w:rsidR="00876E1E"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0.05 and </w:t>
      </w:r>
      <w:r w:rsidR="00876E1E" w:rsidRPr="009D1784">
        <w:rPr>
          <w:rFonts w:ascii="Times New Roman" w:hAnsi="Times New Roman"/>
          <w:color w:val="000000" w:themeColor="text1"/>
          <w:sz w:val="36"/>
          <w:szCs w:val="36"/>
          <w:vertAlign w:val="superscript"/>
        </w:rPr>
        <w:t>**</w:t>
      </w:r>
      <w:r w:rsidR="00876E1E" w:rsidRPr="009D1784">
        <w:rPr>
          <w:rFonts w:ascii="Times New Roman" w:hAnsi="Times New Roman"/>
          <w:i/>
          <w:color w:val="000000" w:themeColor="text1"/>
          <w:sz w:val="36"/>
          <w:szCs w:val="36"/>
        </w:rPr>
        <w:t>P</w:t>
      </w:r>
      <w:r w:rsidR="00876E1E" w:rsidRPr="009D1784">
        <w:rPr>
          <w:rFonts w:ascii="Times New Roman" w:hAnsi="Times New Roman"/>
          <w:color w:val="000000" w:themeColor="text1"/>
          <w:sz w:val="36"/>
          <w:szCs w:val="36"/>
        </w:rPr>
        <w:t xml:space="preserve"> </w:t>
      </w:r>
      <w:r w:rsidR="00876E1E" w:rsidRPr="009D1784">
        <w:rPr>
          <w:rFonts w:ascii="Times New Roman" w:hAnsi="Times New Roman"/>
          <w:color w:val="000000" w:themeColor="text1"/>
          <w:sz w:val="36"/>
          <w:szCs w:val="36"/>
        </w:rPr>
        <w:t>﹤</w:t>
      </w:r>
      <w:r w:rsidR="00876E1E" w:rsidRPr="009D1784">
        <w:rPr>
          <w:rFonts w:ascii="Times New Roman" w:hAnsi="Times New Roman"/>
          <w:color w:val="000000" w:themeColor="text1"/>
          <w:sz w:val="36"/>
          <w:szCs w:val="36"/>
        </w:rPr>
        <w:t>0.01, (one-sample t-test) versus Dox group.</w:t>
      </w:r>
    </w:p>
    <w:p w14:paraId="3AA8351B" w14:textId="431D34E1" w:rsidR="00663310" w:rsidRPr="009D1784" w:rsidRDefault="00663310" w:rsidP="00663310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sectPr w:rsidR="00663310" w:rsidRPr="009D1784" w:rsidSect="009D1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201FB" w14:textId="77777777" w:rsidR="00513EC2" w:rsidRDefault="00513EC2" w:rsidP="00113DF3">
      <w:r>
        <w:separator/>
      </w:r>
    </w:p>
  </w:endnote>
  <w:endnote w:type="continuationSeparator" w:id="0">
    <w:p w14:paraId="22F3745A" w14:textId="77777777" w:rsidR="00513EC2" w:rsidRDefault="00513EC2" w:rsidP="00113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BAA27" w14:textId="77777777" w:rsidR="00513EC2" w:rsidRDefault="00513EC2" w:rsidP="00113DF3">
      <w:r>
        <w:separator/>
      </w:r>
    </w:p>
  </w:footnote>
  <w:footnote w:type="continuationSeparator" w:id="0">
    <w:p w14:paraId="359063AD" w14:textId="77777777" w:rsidR="00513EC2" w:rsidRDefault="00513EC2" w:rsidP="00113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1A87305"/>
    <w:multiLevelType w:val="singleLevel"/>
    <w:tmpl w:val="F1A87305"/>
    <w:lvl w:ilvl="0">
      <w:start w:val="3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AD"/>
    <w:rsid w:val="00113DF3"/>
    <w:rsid w:val="001417EA"/>
    <w:rsid w:val="001B1A64"/>
    <w:rsid w:val="002C13DE"/>
    <w:rsid w:val="00335658"/>
    <w:rsid w:val="00392A7D"/>
    <w:rsid w:val="00421058"/>
    <w:rsid w:val="00482EFC"/>
    <w:rsid w:val="00513EC2"/>
    <w:rsid w:val="00663310"/>
    <w:rsid w:val="0070532B"/>
    <w:rsid w:val="00752FD8"/>
    <w:rsid w:val="007E6940"/>
    <w:rsid w:val="0083622C"/>
    <w:rsid w:val="00876E1E"/>
    <w:rsid w:val="00931E64"/>
    <w:rsid w:val="009628F6"/>
    <w:rsid w:val="009D1784"/>
    <w:rsid w:val="00AF6859"/>
    <w:rsid w:val="00B32B42"/>
    <w:rsid w:val="00B7739D"/>
    <w:rsid w:val="00CE1942"/>
    <w:rsid w:val="00E96439"/>
    <w:rsid w:val="00F56BDC"/>
    <w:rsid w:val="00FE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35583D"/>
  <w15:docId w15:val="{1EA39110-DB25-4C7E-B867-5719B601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8A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List">
    <w:name w:val="Author List"/>
    <w:basedOn w:val="Subtitle"/>
    <w:next w:val="Normal"/>
    <w:qFormat/>
    <w:rsid w:val="00FE48AD"/>
    <w:pPr>
      <w:widowControl/>
      <w:spacing w:after="240" w:line="240" w:lineRule="auto"/>
      <w:jc w:val="left"/>
      <w:outlineLvl w:val="9"/>
    </w:pPr>
    <w:rPr>
      <w:rFonts w:ascii="Times New Roman" w:eastAsia="SimSun" w:hAnsi="Times New Roman" w:cs="Times New Roman"/>
      <w:bCs w:val="0"/>
      <w:kern w:val="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48AD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E48AD"/>
    <w:rPr>
      <w:b/>
      <w:bCs/>
      <w:kern w:val="28"/>
      <w:sz w:val="32"/>
      <w:szCs w:val="32"/>
    </w:rPr>
  </w:style>
  <w:style w:type="paragraph" w:styleId="NormalWeb">
    <w:name w:val="Normal (Web)"/>
    <w:basedOn w:val="Normal"/>
    <w:link w:val="NormalWebChar"/>
    <w:uiPriority w:val="99"/>
    <w:unhideWhenUsed/>
    <w:qFormat/>
    <w:rsid w:val="00392A7D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392A7D"/>
    <w:rPr>
      <w:rFonts w:cs="Times New Roman"/>
      <w:kern w:val="0"/>
      <w:sz w:val="24"/>
    </w:rPr>
  </w:style>
  <w:style w:type="paragraph" w:styleId="Header">
    <w:name w:val="header"/>
    <w:basedOn w:val="Normal"/>
    <w:link w:val="HeaderChar"/>
    <w:uiPriority w:val="99"/>
    <w:unhideWhenUsed/>
    <w:rsid w:val="00113D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13DF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13D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13DF3"/>
    <w:rPr>
      <w:sz w:val="18"/>
      <w:szCs w:val="18"/>
    </w:rPr>
  </w:style>
  <w:style w:type="character" w:styleId="Hyperlink">
    <w:name w:val="Hyperlink"/>
    <w:basedOn w:val="DefaultParagraphFont"/>
    <w:unhideWhenUsed/>
    <w:rsid w:val="00931E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E1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E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3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2319</Characters>
  <Application>Microsoft Office Word</Application>
  <DocSecurity>0</DocSecurity>
  <Lines>19</Lines>
  <Paragraphs>5</Paragraphs>
  <ScaleCrop>false</ScaleCrop>
  <Company>Microsoft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夜空 守望者</dc:creator>
  <cp:lastModifiedBy>Nithya sudalai</cp:lastModifiedBy>
  <cp:revision>3</cp:revision>
  <dcterms:created xsi:type="dcterms:W3CDTF">2023-07-26T08:17:00Z</dcterms:created>
  <dcterms:modified xsi:type="dcterms:W3CDTF">2023-08-28T04:10:00Z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1c0afa32-794f-43de-94eb-2bd6991d02d4</vt:lpwstr>
  </property>
</Properties>
</file>