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DEDDE" w14:textId="77777777" w:rsidR="00754F4B" w:rsidRDefault="00000000">
      <w:pPr>
        <w:spacing w:line="360" w:lineRule="auto"/>
        <w:rPr>
          <w:rFonts w:ascii="Times New Roman" w:eastAsiaTheme="minorHAnsi" w:hAnsi="Times New Roman" w:cs="Times New Roman"/>
          <w:b/>
          <w:bCs/>
          <w:sz w:val="30"/>
          <w:szCs w:val="30"/>
        </w:rPr>
      </w:pPr>
      <w:bookmarkStart w:id="0" w:name="_Hlk144753132"/>
      <w:r>
        <w:rPr>
          <w:rFonts w:ascii="Times New Roman" w:eastAsiaTheme="minorHAnsi" w:hAnsi="Times New Roman" w:cs="Times New Roman"/>
          <w:b/>
          <w:bCs/>
          <w:sz w:val="30"/>
          <w:szCs w:val="30"/>
        </w:rPr>
        <w:t xml:space="preserve">Natural </w:t>
      </w:r>
      <w:proofErr w:type="spellStart"/>
      <w:r>
        <w:rPr>
          <w:rFonts w:ascii="Times New Roman" w:eastAsiaTheme="minorHAnsi" w:hAnsi="Times New Roman" w:cs="Times New Roman"/>
          <w:b/>
          <w:bCs/>
          <w:sz w:val="30"/>
          <w:szCs w:val="30"/>
        </w:rPr>
        <w:t>ursolic</w:t>
      </w:r>
      <w:proofErr w:type="spellEnd"/>
      <w:r>
        <w:rPr>
          <w:rFonts w:ascii="Times New Roman" w:eastAsiaTheme="minorHAnsi" w:hAnsi="Times New Roman" w:cs="Times New Roman"/>
          <w:b/>
          <w:bCs/>
          <w:sz w:val="30"/>
          <w:szCs w:val="30"/>
        </w:rPr>
        <w:t xml:space="preserve"> acid based self-therapeutic polymer as nanocarrier to deliver natural resveratrol for natural therapy of acute kidney injury</w:t>
      </w:r>
    </w:p>
    <w:bookmarkEnd w:id="0"/>
    <w:p w14:paraId="2F3B5250" w14:textId="77777777" w:rsidR="00754F4B" w:rsidRDefault="00000000">
      <w:pPr>
        <w:spacing w:line="360" w:lineRule="auto"/>
        <w:rPr>
          <w:rFonts w:ascii="Times New Roman" w:eastAsiaTheme="minorHAnsi" w:hAnsi="Times New Roman" w:cs="Times New Roman"/>
          <w:sz w:val="22"/>
          <w:vertAlign w:val="superscript"/>
        </w:rPr>
      </w:pPr>
      <w:proofErr w:type="spellStart"/>
      <w:r>
        <w:rPr>
          <w:rFonts w:ascii="Times New Roman" w:eastAsiaTheme="minorHAnsi" w:hAnsi="Times New Roman" w:cs="Times New Roman"/>
          <w:sz w:val="22"/>
        </w:rPr>
        <w:t>Yuanpeng</w:t>
      </w:r>
      <w:proofErr w:type="spellEnd"/>
      <w:r>
        <w:rPr>
          <w:rFonts w:ascii="Times New Roman" w:eastAsiaTheme="minorHAnsi" w:hAnsi="Times New Roman" w:cs="Times New Roman"/>
          <w:sz w:val="22"/>
        </w:rPr>
        <w:t xml:space="preserve"> Nie</w:t>
      </w:r>
      <w:r>
        <w:rPr>
          <w:rFonts w:ascii="Times New Roman" w:eastAsiaTheme="minorHAnsi" w:hAnsi="Times New Roman" w:cs="Times New Roman"/>
          <w:sz w:val="22"/>
          <w:vertAlign w:val="superscript"/>
        </w:rPr>
        <w:t># a</w:t>
      </w:r>
      <w:r>
        <w:rPr>
          <w:rFonts w:ascii="Times New Roman" w:eastAsiaTheme="minorHAnsi" w:hAnsi="Times New Roman" w:cs="Times New Roman"/>
          <w:sz w:val="22"/>
        </w:rPr>
        <w:t>, Liying Wang</w:t>
      </w:r>
      <w:r>
        <w:rPr>
          <w:rFonts w:ascii="Times New Roman" w:eastAsiaTheme="minorHAnsi" w:hAnsi="Times New Roman" w:cs="Times New Roman"/>
          <w:sz w:val="22"/>
          <w:vertAlign w:val="superscript"/>
        </w:rPr>
        <w:t># b</w:t>
      </w:r>
      <w:r>
        <w:rPr>
          <w:rFonts w:ascii="Times New Roman" w:eastAsiaTheme="minorHAnsi" w:hAnsi="Times New Roman" w:cs="Times New Roman"/>
          <w:sz w:val="22"/>
        </w:rPr>
        <w:t xml:space="preserve">, </w:t>
      </w:r>
      <w:proofErr w:type="spellStart"/>
      <w:r>
        <w:rPr>
          <w:rFonts w:ascii="Times New Roman" w:eastAsiaTheme="minorHAnsi" w:hAnsi="Times New Roman" w:cs="Times New Roman"/>
          <w:sz w:val="22"/>
        </w:rPr>
        <w:t>Shengbo</w:t>
      </w:r>
      <w:proofErr w:type="spellEnd"/>
      <w:r>
        <w:rPr>
          <w:rFonts w:ascii="Times New Roman" w:eastAsiaTheme="minorHAnsi" w:hAnsi="Times New Roman" w:cs="Times New Roman"/>
          <w:sz w:val="22"/>
        </w:rPr>
        <w:t xml:space="preserve"> </w:t>
      </w:r>
      <w:proofErr w:type="spellStart"/>
      <w:r>
        <w:rPr>
          <w:rFonts w:ascii="Times New Roman" w:eastAsiaTheme="minorHAnsi" w:hAnsi="Times New Roman" w:cs="Times New Roman"/>
          <w:sz w:val="22"/>
        </w:rPr>
        <w:t>Liu</w:t>
      </w:r>
      <w:r>
        <w:rPr>
          <w:rFonts w:ascii="Times New Roman" w:eastAsiaTheme="minorHAnsi" w:hAnsi="Times New Roman" w:cs="Times New Roman"/>
          <w:sz w:val="22"/>
          <w:vertAlign w:val="superscript"/>
        </w:rPr>
        <w:t>c</w:t>
      </w:r>
      <w:proofErr w:type="spellEnd"/>
      <w:r>
        <w:rPr>
          <w:rFonts w:ascii="Times New Roman" w:eastAsiaTheme="minorHAnsi" w:hAnsi="Times New Roman" w:cs="Times New Roman"/>
          <w:sz w:val="22"/>
        </w:rPr>
        <w:t>,</w:t>
      </w:r>
      <w:r>
        <w:rPr>
          <w:rFonts w:ascii="Times New Roman" w:eastAsiaTheme="minorHAnsi" w:hAnsi="Times New Roman" w:cs="Times New Roman"/>
          <w:b/>
          <w:bCs/>
          <w:sz w:val="20"/>
          <w:szCs w:val="21"/>
        </w:rPr>
        <w:t xml:space="preserve"> </w:t>
      </w:r>
      <w:proofErr w:type="spellStart"/>
      <w:r>
        <w:rPr>
          <w:rFonts w:ascii="Times New Roman" w:eastAsiaTheme="minorHAnsi" w:hAnsi="Times New Roman" w:cs="Times New Roman"/>
          <w:sz w:val="22"/>
        </w:rPr>
        <w:t>Chunlei</w:t>
      </w:r>
      <w:proofErr w:type="spellEnd"/>
      <w:r>
        <w:rPr>
          <w:rFonts w:ascii="Times New Roman" w:eastAsiaTheme="minorHAnsi" w:hAnsi="Times New Roman" w:cs="Times New Roman"/>
          <w:sz w:val="22"/>
        </w:rPr>
        <w:t xml:space="preserve"> Dai</w:t>
      </w:r>
      <w:r>
        <w:rPr>
          <w:rFonts w:ascii="Times New Roman" w:eastAsiaTheme="minorHAnsi" w:hAnsi="Times New Roman" w:cs="Times New Roman"/>
          <w:sz w:val="22"/>
          <w:vertAlign w:val="superscript"/>
        </w:rPr>
        <w:t>d</w:t>
      </w:r>
      <w:r>
        <w:rPr>
          <w:rFonts w:ascii="Times New Roman" w:eastAsiaTheme="minorHAnsi" w:hAnsi="Times New Roman" w:cs="Times New Roman"/>
          <w:sz w:val="22"/>
        </w:rPr>
        <w:t>,</w:t>
      </w:r>
      <w:r>
        <w:rPr>
          <w:rFonts w:ascii="Times New Roman" w:eastAsiaTheme="minorHAnsi" w:hAnsi="Times New Roman" w:cs="Times New Roman"/>
          <w:sz w:val="20"/>
          <w:szCs w:val="21"/>
        </w:rPr>
        <w:t xml:space="preserve"> </w:t>
      </w:r>
      <w:proofErr w:type="spellStart"/>
      <w:r>
        <w:rPr>
          <w:rFonts w:ascii="Times New Roman" w:eastAsiaTheme="minorHAnsi" w:hAnsi="Times New Roman" w:cs="Times New Roman"/>
          <w:sz w:val="22"/>
        </w:rPr>
        <w:t>Tianjiao</w:t>
      </w:r>
      <w:proofErr w:type="spellEnd"/>
      <w:r>
        <w:rPr>
          <w:rFonts w:ascii="Times New Roman" w:eastAsiaTheme="minorHAnsi" w:hAnsi="Times New Roman" w:cs="Times New Roman"/>
          <w:sz w:val="22"/>
        </w:rPr>
        <w:t xml:space="preserve"> </w:t>
      </w:r>
      <w:proofErr w:type="spellStart"/>
      <w:r>
        <w:rPr>
          <w:rFonts w:ascii="Times New Roman" w:eastAsiaTheme="minorHAnsi" w:hAnsi="Times New Roman" w:cs="Times New Roman"/>
          <w:sz w:val="22"/>
        </w:rPr>
        <w:t>Cui</w:t>
      </w:r>
      <w:r>
        <w:rPr>
          <w:rFonts w:ascii="Times New Roman" w:eastAsiaTheme="minorHAnsi" w:hAnsi="Times New Roman" w:cs="Times New Roman"/>
          <w:sz w:val="22"/>
          <w:vertAlign w:val="superscript"/>
        </w:rPr>
        <w:t>a</w:t>
      </w:r>
      <w:proofErr w:type="spellEnd"/>
      <w:r>
        <w:rPr>
          <w:rFonts w:ascii="Times New Roman" w:eastAsiaTheme="minorHAnsi" w:hAnsi="Times New Roman" w:cs="Times New Roman"/>
          <w:sz w:val="22"/>
        </w:rPr>
        <w:t>,</w:t>
      </w:r>
      <w:r>
        <w:rPr>
          <w:rFonts w:ascii="Times New Roman" w:eastAsiaTheme="minorHAnsi" w:hAnsi="Times New Roman" w:cs="Times New Roman"/>
          <w:sz w:val="20"/>
          <w:szCs w:val="21"/>
        </w:rPr>
        <w:t xml:space="preserve"> </w:t>
      </w:r>
      <w:r>
        <w:rPr>
          <w:rFonts w:ascii="Times New Roman" w:eastAsiaTheme="minorHAnsi" w:hAnsi="Times New Roman" w:cs="Times New Roman"/>
          <w:sz w:val="22"/>
        </w:rPr>
        <w:t>Yan Lei</w:t>
      </w:r>
      <w:r>
        <w:rPr>
          <w:rFonts w:ascii="Times New Roman" w:eastAsiaTheme="minorHAnsi" w:hAnsi="Times New Roman" w:cs="Times New Roman"/>
          <w:sz w:val="22"/>
          <w:vertAlign w:val="superscript"/>
        </w:rPr>
        <w:t>a</w:t>
      </w:r>
      <w:r>
        <w:rPr>
          <w:rFonts w:ascii="Times New Roman" w:eastAsiaTheme="minorHAnsi" w:hAnsi="Times New Roman" w:cs="Times New Roman"/>
          <w:sz w:val="22"/>
        </w:rPr>
        <w:t xml:space="preserve">, </w:t>
      </w:r>
      <w:proofErr w:type="spellStart"/>
      <w:r>
        <w:rPr>
          <w:rFonts w:ascii="Times New Roman" w:eastAsiaTheme="minorHAnsi" w:hAnsi="Times New Roman" w:cs="Times New Roman"/>
          <w:sz w:val="22"/>
        </w:rPr>
        <w:t>Xinru</w:t>
      </w:r>
      <w:proofErr w:type="spellEnd"/>
      <w:r>
        <w:rPr>
          <w:rFonts w:ascii="Times New Roman" w:eastAsiaTheme="minorHAnsi" w:hAnsi="Times New Roman" w:cs="Times New Roman"/>
          <w:sz w:val="22"/>
        </w:rPr>
        <w:t xml:space="preserve"> You </w:t>
      </w:r>
      <w:r>
        <w:rPr>
          <w:rFonts w:ascii="Times New Roman" w:eastAsiaTheme="minorHAnsi" w:hAnsi="Times New Roman" w:cs="Times New Roman"/>
          <w:sz w:val="22"/>
          <w:vertAlign w:val="superscript"/>
        </w:rPr>
        <w:t>e</w:t>
      </w:r>
      <w:r>
        <w:rPr>
          <w:rFonts w:ascii="Times New Roman" w:eastAsiaTheme="minorHAnsi" w:hAnsi="Times New Roman" w:cs="Times New Roman"/>
          <w:sz w:val="22"/>
        </w:rPr>
        <w:t>, Xiaohua Wang</w:t>
      </w:r>
      <w:r>
        <w:rPr>
          <w:rFonts w:ascii="Times New Roman" w:eastAsiaTheme="minorHAnsi" w:hAnsi="Times New Roman" w:cs="Times New Roman"/>
          <w:sz w:val="22"/>
          <w:vertAlign w:val="superscript"/>
        </w:rPr>
        <w:t>a</w:t>
      </w:r>
      <w:r>
        <w:rPr>
          <w:rFonts w:ascii="Times New Roman" w:eastAsiaTheme="minorHAnsi" w:hAnsi="Times New Roman" w:cs="Times New Roman"/>
          <w:sz w:val="22"/>
        </w:rPr>
        <w:t xml:space="preserve">, Jun Wu * </w:t>
      </w:r>
      <w:proofErr w:type="spellStart"/>
      <w:proofErr w:type="gramStart"/>
      <w:r>
        <w:rPr>
          <w:rFonts w:ascii="Times New Roman" w:eastAsiaTheme="minorHAnsi" w:hAnsi="Times New Roman" w:cs="Times New Roman"/>
          <w:sz w:val="22"/>
          <w:vertAlign w:val="superscript"/>
        </w:rPr>
        <w:t>b,f</w:t>
      </w:r>
      <w:proofErr w:type="gramEnd"/>
      <w:r>
        <w:rPr>
          <w:rFonts w:ascii="Times New Roman" w:eastAsiaTheme="minorHAnsi" w:hAnsi="Times New Roman" w:cs="Times New Roman"/>
          <w:sz w:val="22"/>
          <w:vertAlign w:val="superscript"/>
        </w:rPr>
        <w:t>,g</w:t>
      </w:r>
      <w:proofErr w:type="spellEnd"/>
      <w:r>
        <w:rPr>
          <w:rFonts w:ascii="Times New Roman" w:eastAsiaTheme="minorHAnsi" w:hAnsi="Times New Roman" w:cs="Times New Roman"/>
          <w:sz w:val="22"/>
        </w:rPr>
        <w:t>, and Zhihua Zheng*</w:t>
      </w:r>
      <w:r>
        <w:rPr>
          <w:rFonts w:ascii="Times New Roman" w:eastAsiaTheme="minorHAnsi" w:hAnsi="Times New Roman" w:cs="Times New Roman"/>
          <w:sz w:val="22"/>
          <w:vertAlign w:val="superscript"/>
        </w:rPr>
        <w:t xml:space="preserve"> a</w:t>
      </w:r>
    </w:p>
    <w:p w14:paraId="11D199DD" w14:textId="77777777" w:rsidR="00754F4B" w:rsidRDefault="00754F4B">
      <w:pPr>
        <w:spacing w:line="360" w:lineRule="auto"/>
        <w:rPr>
          <w:rFonts w:ascii="Times New Roman" w:hAnsi="Times New Roman" w:cs="Times New Roman"/>
          <w:b/>
          <w:bCs/>
          <w:sz w:val="28"/>
          <w:szCs w:val="28"/>
        </w:rPr>
      </w:pPr>
    </w:p>
    <w:p w14:paraId="31085BBF" w14:textId="77777777" w:rsidR="00754F4B" w:rsidRDefault="00000000">
      <w:pPr>
        <w:spacing w:line="360" w:lineRule="auto"/>
        <w:rPr>
          <w:rFonts w:ascii="Times New Roman" w:hAnsi="Times New Roman" w:cs="Times New Roman"/>
          <w:b/>
          <w:bCs/>
          <w:sz w:val="28"/>
          <w:szCs w:val="28"/>
        </w:rPr>
      </w:pPr>
      <w:r>
        <w:rPr>
          <w:rFonts w:ascii="Times New Roman" w:hAnsi="Times New Roman" w:cs="Times New Roman"/>
          <w:b/>
          <w:bCs/>
          <w:sz w:val="28"/>
          <w:szCs w:val="28"/>
        </w:rPr>
        <w:t>Methods</w:t>
      </w:r>
    </w:p>
    <w:p w14:paraId="28B48B86"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Synthesis of </w:t>
      </w:r>
      <w:proofErr w:type="gramStart"/>
      <w:r>
        <w:rPr>
          <w:rFonts w:ascii="Times New Roman" w:hAnsi="Times New Roman" w:cs="Times New Roman"/>
          <w:b/>
          <w:bCs/>
          <w:sz w:val="24"/>
          <w:szCs w:val="24"/>
        </w:rPr>
        <w:t>Poly(</w:t>
      </w:r>
      <w:proofErr w:type="spellStart"/>
      <w:proofErr w:type="gramEnd"/>
      <w:r>
        <w:rPr>
          <w:rFonts w:ascii="Times New Roman" w:hAnsi="Times New Roman" w:cs="Times New Roman"/>
          <w:b/>
          <w:bCs/>
          <w:sz w:val="24"/>
          <w:szCs w:val="24"/>
        </w:rPr>
        <w:t>Ursolic</w:t>
      </w:r>
      <w:proofErr w:type="spellEnd"/>
      <w:r>
        <w:rPr>
          <w:rFonts w:ascii="Times New Roman" w:hAnsi="Times New Roman" w:cs="Times New Roman"/>
          <w:b/>
          <w:bCs/>
          <w:sz w:val="24"/>
          <w:szCs w:val="24"/>
        </w:rPr>
        <w:t xml:space="preserve"> Acid) Polymer: </w:t>
      </w:r>
      <w:r>
        <w:rPr>
          <w:rFonts w:ascii="Times New Roman" w:hAnsi="Times New Roman" w:cs="Times New Roman"/>
          <w:sz w:val="24"/>
          <w:szCs w:val="24"/>
        </w:rPr>
        <w:t>Poly(</w:t>
      </w:r>
      <w:proofErr w:type="spellStart"/>
      <w:r>
        <w:rPr>
          <w:rFonts w:ascii="Times New Roman" w:hAnsi="Times New Roman" w:cs="Times New Roman"/>
          <w:sz w:val="24"/>
          <w:szCs w:val="24"/>
        </w:rPr>
        <w:t>ursolic</w:t>
      </w:r>
      <w:proofErr w:type="spellEnd"/>
      <w:r>
        <w:rPr>
          <w:rFonts w:ascii="Times New Roman" w:hAnsi="Times New Roman" w:cs="Times New Roman"/>
          <w:sz w:val="24"/>
          <w:szCs w:val="24"/>
        </w:rPr>
        <w:t xml:space="preserve"> acid) polymer was prepared via the polycondensation of </w:t>
      </w:r>
      <w:proofErr w:type="spellStart"/>
      <w:r>
        <w:rPr>
          <w:rFonts w:ascii="Times New Roman" w:hAnsi="Times New Roman" w:cs="Times New Roman"/>
          <w:sz w:val="24"/>
          <w:szCs w:val="24"/>
        </w:rPr>
        <w:t>ursolic</w:t>
      </w:r>
      <w:proofErr w:type="spellEnd"/>
      <w:r>
        <w:rPr>
          <w:rFonts w:ascii="Times New Roman" w:hAnsi="Times New Roman" w:cs="Times New Roman"/>
          <w:sz w:val="24"/>
          <w:szCs w:val="24"/>
        </w:rPr>
        <w:t xml:space="preserve"> acid under the catalysis of thionyl chloride and anhydrous pyridine as an acid binding agent. The synthetic route was as shown in </w:t>
      </w:r>
      <w:r>
        <w:rPr>
          <w:rFonts w:ascii="Times New Roman" w:hAnsi="Times New Roman" w:cs="Times New Roman"/>
          <w:color w:val="000000" w:themeColor="text1"/>
          <w:sz w:val="24"/>
          <w:szCs w:val="24"/>
        </w:rPr>
        <w:t>Figure 1a</w:t>
      </w:r>
      <w:r>
        <w:rPr>
          <w:rFonts w:ascii="Times New Roman" w:hAnsi="Times New Roman" w:cs="Times New Roman"/>
          <w:sz w:val="24"/>
          <w:szCs w:val="24"/>
        </w:rPr>
        <w:t>: in a well-ventilated environment, anhydrous pyridine (10 mL) was added to a round-bottom flask (50 mL) and stirred in an ice bath for 5 min before the addition of thionyl chloride (0.33 g, 2.76 mmol). After an additional 15 min of stirring in ice bath, white powder of UA (0.42 g, 0.92 mmol) was added and stirred until dissolved well. After stirring at room temperature for 2 h, the reaction solution was transferred to a 500 mL beaker and washed with 1 m HCl and deionized water (six times). After suction filtration and lyophilization, the product PUA was obtained as a pale yellow solid (0.38 g, yield: 90%).</w:t>
      </w:r>
    </w:p>
    <w:p w14:paraId="3159650E"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The PUA structure was confirmed by </w:t>
      </w:r>
      <w:r>
        <w:rPr>
          <w:rFonts w:ascii="Times New Roman" w:hAnsi="Times New Roman" w:cs="Times New Roman"/>
          <w:sz w:val="24"/>
          <w:szCs w:val="24"/>
          <w:vertAlign w:val="superscript"/>
        </w:rPr>
        <w:t>1</w:t>
      </w:r>
      <w:r>
        <w:rPr>
          <w:rFonts w:ascii="Times New Roman" w:hAnsi="Times New Roman" w:cs="Times New Roman"/>
          <w:sz w:val="24"/>
          <w:szCs w:val="24"/>
        </w:rPr>
        <w:t xml:space="preserve">H-nuclear magnetic </w:t>
      </w:r>
      <w:proofErr w:type="gramStart"/>
      <w:r>
        <w:rPr>
          <w:rFonts w:ascii="Times New Roman" w:hAnsi="Times New Roman" w:cs="Times New Roman"/>
          <w:sz w:val="24"/>
          <w:szCs w:val="24"/>
        </w:rPr>
        <w:t>resonance(</w:t>
      </w:r>
      <w:proofErr w:type="gramEnd"/>
      <w:r>
        <w:rPr>
          <w:rFonts w:ascii="Times New Roman" w:hAnsi="Times New Roman" w:cs="Times New Roman"/>
          <w:sz w:val="24"/>
          <w:szCs w:val="24"/>
        </w:rPr>
        <w:t>1H-NMR; Bruker Avance Ⅲ 400, Germany), and Fourier transform infrared spectroscopy (FTIR, Bruker, Germany). The weight-average molecular weights and PDI of PUA were measured by gel permeation chromatography (GPC; Agilent, USA).</w:t>
      </w:r>
    </w:p>
    <w:p w14:paraId="4D86879A" w14:textId="77777777" w:rsidR="00754F4B" w:rsidRDefault="00754F4B">
      <w:pPr>
        <w:spacing w:line="360" w:lineRule="auto"/>
        <w:rPr>
          <w:rFonts w:ascii="Times New Roman" w:hAnsi="Times New Roman" w:cs="Times New Roman"/>
          <w:sz w:val="24"/>
          <w:szCs w:val="24"/>
        </w:rPr>
      </w:pPr>
    </w:p>
    <w:p w14:paraId="3D0CFDA8"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Preparation and characterization of NPs</w:t>
      </w:r>
      <w:r>
        <w:rPr>
          <w:rFonts w:ascii="Times New Roman" w:hAnsi="Times New Roman" w:cs="Times New Roman"/>
          <w:sz w:val="24"/>
          <w:szCs w:val="24"/>
        </w:rPr>
        <w:t xml:space="preserve">: Blank NPs (PUA NPs) and PUA NPs @RES were both prepared by the nanoprecipitation method. Briefly, PUA polymer, RES, and DSPE-PEG 2k were separately dissolved in DMSO at the same concentration of 10 mg/mL and mixed in a specific volume ratio. Then 640 </w:t>
      </w:r>
      <w:proofErr w:type="spellStart"/>
      <w:r>
        <w:rPr>
          <w:rFonts w:ascii="Times New Roman" w:hAnsi="Times New Roman" w:cs="Times New Roman"/>
          <w:sz w:val="24"/>
          <w:szCs w:val="24"/>
        </w:rPr>
        <w:t>μL</w:t>
      </w:r>
      <w:proofErr w:type="spellEnd"/>
      <w:r>
        <w:rPr>
          <w:rFonts w:ascii="Times New Roman" w:hAnsi="Times New Roman" w:cs="Times New Roman"/>
          <w:sz w:val="24"/>
          <w:szCs w:val="24"/>
        </w:rPr>
        <w:t xml:space="preserve"> of the mixture was dropwise added into 12.8 mL of ultra-pure water under constant stirring. </w:t>
      </w:r>
      <w:r>
        <w:rPr>
          <w:rFonts w:ascii="Times New Roman" w:hAnsi="Times New Roman" w:cs="Times New Roman"/>
          <w:sz w:val="24"/>
          <w:szCs w:val="24"/>
        </w:rPr>
        <w:lastRenderedPageBreak/>
        <w:t xml:space="preserve">The NPs solution was ultra-filtered twice using an ultrafiltration centrifugal tube (Millipore, MWCO 10k Da). After removing DMSO and the free molecules, the concentrated NPs solution was suspended in PBS for further characterization and use. Transmission electron microscopy (TEM; JEOL Ltd, Japan) was applied to visualize the morphology of NPs and dynamic light scattering (DLS; </w:t>
      </w:r>
      <w:proofErr w:type="spellStart"/>
      <w:r>
        <w:rPr>
          <w:rFonts w:ascii="Times New Roman" w:hAnsi="Times New Roman" w:cs="Times New Roman"/>
          <w:sz w:val="24"/>
          <w:szCs w:val="24"/>
        </w:rPr>
        <w:t>Zetasizer</w:t>
      </w:r>
      <w:proofErr w:type="spellEnd"/>
      <w:r>
        <w:rPr>
          <w:rFonts w:ascii="Times New Roman" w:hAnsi="Times New Roman" w:cs="Times New Roman"/>
          <w:sz w:val="24"/>
          <w:szCs w:val="24"/>
        </w:rPr>
        <w:t xml:space="preserve"> Nano-ZS90, Malvern, UK) was used to measure the particle size. To evaluate the stability of NPs, PUA NPs and PUA NPs @RES dispersed in PBS and PBS containing 10% FBS were measured by DLS at prearranged time intervals for seven days.</w:t>
      </w:r>
    </w:p>
    <w:p w14:paraId="366BE049" w14:textId="77777777" w:rsidR="00754F4B" w:rsidRDefault="00754F4B">
      <w:pPr>
        <w:spacing w:line="360" w:lineRule="auto"/>
        <w:rPr>
          <w:rFonts w:ascii="Times New Roman" w:hAnsi="Times New Roman" w:cs="Times New Roman"/>
          <w:sz w:val="24"/>
          <w:szCs w:val="24"/>
        </w:rPr>
      </w:pPr>
    </w:p>
    <w:p w14:paraId="63882A95"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Drug loading capacity of PUA </w:t>
      </w:r>
      <w:proofErr w:type="spellStart"/>
      <w:r>
        <w:rPr>
          <w:rFonts w:ascii="Times New Roman" w:hAnsi="Times New Roman" w:cs="Times New Roman"/>
          <w:b/>
          <w:bCs/>
          <w:sz w:val="24"/>
          <w:szCs w:val="24"/>
        </w:rPr>
        <w:t>NPs@RES</w:t>
      </w:r>
      <w:proofErr w:type="spellEnd"/>
      <w:r>
        <w:rPr>
          <w:rFonts w:ascii="Times New Roman" w:hAnsi="Times New Roman" w:cs="Times New Roman"/>
          <w:sz w:val="24"/>
          <w:szCs w:val="24"/>
        </w:rPr>
        <w:t xml:space="preserve">: The drug loading capacity of PUA </w:t>
      </w:r>
      <w:proofErr w:type="spellStart"/>
      <w:r>
        <w:rPr>
          <w:rFonts w:ascii="Times New Roman" w:hAnsi="Times New Roman" w:cs="Times New Roman"/>
          <w:sz w:val="24"/>
          <w:szCs w:val="24"/>
        </w:rPr>
        <w:t>NPs@RES</w:t>
      </w:r>
      <w:proofErr w:type="spellEnd"/>
      <w:r>
        <w:rPr>
          <w:rFonts w:ascii="Times New Roman" w:hAnsi="Times New Roman" w:cs="Times New Roman"/>
          <w:sz w:val="24"/>
          <w:szCs w:val="24"/>
        </w:rPr>
        <w:t xml:space="preserve"> was determined by HPLC. Briefly, DTX@PCA NPs were dissolved in methanol and the NP structure was completely broken by ultrasound to release the encapsulated </w:t>
      </w:r>
      <w:proofErr w:type="spellStart"/>
      <w:r>
        <w:rPr>
          <w:rFonts w:ascii="Times New Roman" w:hAnsi="Times New Roman" w:cs="Times New Roman"/>
          <w:sz w:val="24"/>
          <w:szCs w:val="24"/>
        </w:rPr>
        <w:t>RES.Next</w:t>
      </w:r>
      <w:proofErr w:type="spellEnd"/>
      <w:r>
        <w:rPr>
          <w:rFonts w:ascii="Times New Roman" w:hAnsi="Times New Roman" w:cs="Times New Roman"/>
          <w:sz w:val="24"/>
          <w:szCs w:val="24"/>
        </w:rPr>
        <w:t>, the sample solution was centrifuged at 12000 rpm for 10 min. The RES content was detected under a mobile phase of water/ methanol=35/65 and UV detection wavelength of 230 nm. The drug loading capacity (DLC) and drug encapsulation efficiency (DLE) were calculated using the following formulae:</w:t>
      </w:r>
    </w:p>
    <w:p w14:paraId="79D67CB4" w14:textId="77777777" w:rsidR="00754F4B" w:rsidRDefault="00000000">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DLC(</w:t>
      </w:r>
      <w:proofErr w:type="spellStart"/>
      <w:proofErr w:type="gramEnd"/>
      <w:r>
        <w:rPr>
          <w:rFonts w:ascii="Times New Roman" w:hAnsi="Times New Roman" w:cs="Times New Roman"/>
          <w:sz w:val="24"/>
          <w:szCs w:val="24"/>
        </w:rPr>
        <w:t>wt</w:t>
      </w:r>
      <w:proofErr w:type="spellEnd"/>
      <w:r>
        <w:rPr>
          <w:rFonts w:ascii="Times New Roman" w:hAnsi="Times New Roman" w:cs="Times New Roman"/>
          <w:sz w:val="24"/>
          <w:szCs w:val="24"/>
        </w:rPr>
        <w:t>%)=amount of encapsulated drug/amount of nanoparticles × 100%</w:t>
      </w:r>
    </w:p>
    <w:p w14:paraId="347AF8C8" w14:textId="77777777" w:rsidR="00754F4B" w:rsidRDefault="00000000">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DLE(</w:t>
      </w:r>
      <w:proofErr w:type="spellStart"/>
      <w:proofErr w:type="gramEnd"/>
      <w:r>
        <w:rPr>
          <w:rFonts w:ascii="Times New Roman" w:hAnsi="Times New Roman" w:cs="Times New Roman"/>
          <w:sz w:val="24"/>
          <w:szCs w:val="24"/>
        </w:rPr>
        <w:t>wt</w:t>
      </w:r>
      <w:proofErr w:type="spellEnd"/>
      <w:r>
        <w:rPr>
          <w:rFonts w:ascii="Times New Roman" w:hAnsi="Times New Roman" w:cs="Times New Roman"/>
          <w:sz w:val="24"/>
          <w:szCs w:val="24"/>
        </w:rPr>
        <w:t>%)=amount of encapsulated drug/amount of feeding drug × 100%</w:t>
      </w:r>
    </w:p>
    <w:p w14:paraId="6CA6E001" w14:textId="77777777" w:rsidR="00754F4B" w:rsidRDefault="00754F4B">
      <w:pPr>
        <w:spacing w:line="360" w:lineRule="auto"/>
        <w:rPr>
          <w:rFonts w:ascii="Times New Roman" w:hAnsi="Times New Roman" w:cs="Times New Roman"/>
          <w:b/>
          <w:bCs/>
          <w:sz w:val="24"/>
          <w:szCs w:val="24"/>
        </w:rPr>
      </w:pPr>
    </w:p>
    <w:p w14:paraId="58EC6DEA"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Drug release behavior of PUA </w:t>
      </w:r>
      <w:proofErr w:type="spellStart"/>
      <w:r>
        <w:rPr>
          <w:rFonts w:ascii="Times New Roman" w:hAnsi="Times New Roman" w:cs="Times New Roman"/>
          <w:b/>
          <w:bCs/>
          <w:sz w:val="24"/>
          <w:szCs w:val="24"/>
        </w:rPr>
        <w:t>NPs@RES</w:t>
      </w:r>
      <w:proofErr w:type="spellEnd"/>
      <w:r>
        <w:rPr>
          <w:rFonts w:ascii="Times New Roman" w:hAnsi="Times New Roman" w:cs="Times New Roman"/>
          <w:b/>
          <w:bCs/>
          <w:sz w:val="24"/>
          <w:szCs w:val="24"/>
        </w:rPr>
        <w:t>:</w:t>
      </w:r>
      <w:r>
        <w:rPr>
          <w:rFonts w:ascii="Times New Roman" w:hAnsi="Times New Roman" w:cs="Times New Roman"/>
          <w:sz w:val="24"/>
          <w:szCs w:val="24"/>
        </w:rPr>
        <w:t xml:space="preserve"> The in vitro drug release behavior of PUA NPs @RES was investigated using the dialysis method. Briefly, 1 mL of PUA NPs @RES solution was transferred into a dialysis bag (MWCO 3500 Da) and then immersed in PBS containing 0.1% Tween 80 with different pH values (4.5, 5.0, and 7.4). The drug release process was performed in a thermostatic shaker with a temperature of 37 ℃ and a constant shaking speed of 100 rpm. At prearranged time intervals, 1mL of sample solution was withdrawn, followed by the supplement of the corresponding release medium. Finally, the released RES was determined by HPLC and expressed as the percentage of the cumulative amount.</w:t>
      </w:r>
    </w:p>
    <w:p w14:paraId="0141850D" w14:textId="77777777" w:rsidR="00754F4B" w:rsidRDefault="00754F4B">
      <w:pPr>
        <w:spacing w:line="360" w:lineRule="auto"/>
        <w:rPr>
          <w:rFonts w:ascii="Times New Roman" w:hAnsi="Times New Roman" w:cs="Times New Roman"/>
          <w:sz w:val="24"/>
          <w:szCs w:val="24"/>
        </w:rPr>
      </w:pPr>
    </w:p>
    <w:p w14:paraId="4999EB6F"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Hemolysis test:</w:t>
      </w:r>
      <w:r>
        <w:rPr>
          <w:rFonts w:ascii="Times New Roman" w:hAnsi="Times New Roman" w:cs="Times New Roman"/>
          <w:sz w:val="24"/>
          <w:szCs w:val="24"/>
        </w:rPr>
        <w:t xml:space="preserve"> A hemolysis test was performed to evaluate the </w:t>
      </w:r>
      <w:proofErr w:type="spellStart"/>
      <w:r>
        <w:rPr>
          <w:rFonts w:ascii="Times New Roman" w:hAnsi="Times New Roman" w:cs="Times New Roman"/>
          <w:sz w:val="24"/>
          <w:szCs w:val="24"/>
        </w:rPr>
        <w:t>hematotoxicity</w:t>
      </w:r>
      <w:proofErr w:type="spellEnd"/>
      <w:r>
        <w:rPr>
          <w:rFonts w:ascii="Times New Roman" w:hAnsi="Times New Roman" w:cs="Times New Roman"/>
          <w:sz w:val="24"/>
          <w:szCs w:val="24"/>
        </w:rPr>
        <w:t xml:space="preserve"> of </w:t>
      </w:r>
      <w:r>
        <w:rPr>
          <w:rFonts w:ascii="Times New Roman" w:hAnsi="Times New Roman" w:cs="Times New Roman"/>
          <w:sz w:val="24"/>
          <w:szCs w:val="24"/>
        </w:rPr>
        <w:lastRenderedPageBreak/>
        <w:t xml:space="preserve">PUA NPs as nanocarriers. Briefly, fresh whole blood obtained from SD rats was centrifuged at 1,000 rpm for 5 min. Next, the plasma and buffy coat layer were discarded, and the remaining red blood cells (RBCs) were further washed using PBS till the supernatant became clear. Finally, the concentrated RBCs were diluted to 2% in PBS. Thereafter, 1 mL of PUA NPs dispersed in PBS, with concentrations ranging from 31.25 to 1000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/mL, was mixed with an equal volume of RBC suspension. The RBC suspension mixed with pure PBS (0% hemolysis) and ultrapure water (100% hemolysis) was set as negative control and positive control, respectively. All the samples were placed in a constant temperature oscillator with a temperature of 37 °C and a constant shanking speed of 100 rpm. After incubation for 3 h, the mixture was centrifuged at 1,000 rpm for 5 min to collect the supernatant. Finally, the absorbance of each group was measured at 541 nm using a microplate reader. The hemolysis percentage was calculated as follows: </w:t>
      </w:r>
    </w:p>
    <w:p w14:paraId="30E9E581" w14:textId="77777777" w:rsidR="00754F4B" w:rsidRDefault="00000000">
      <w:pPr>
        <w:spacing w:line="360" w:lineRule="auto"/>
        <w:rPr>
          <w:rFonts w:ascii="Times New Roman" w:hAnsi="Times New Roman" w:cs="Times New Roman"/>
          <w:b/>
          <w:bCs/>
          <w:sz w:val="24"/>
          <w:szCs w:val="24"/>
        </w:rPr>
      </w:pPr>
      <m:oMathPara>
        <m:oMath>
          <m:r>
            <m:rPr>
              <m:sty m:val="p"/>
            </m:rPr>
            <w:rPr>
              <w:rFonts w:ascii="Cambria Math" w:hAnsi="Cambria Math" w:cs="Times New Roman"/>
              <w:sz w:val="24"/>
              <w:szCs w:val="24"/>
            </w:rPr>
            <m:t>Hemolysis[%]=</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(Ab</m:t>
                  </m:r>
                </m:e>
                <m:sub>
                  <m:r>
                    <m:rPr>
                      <m:sty m:val="p"/>
                    </m:rPr>
                    <w:rPr>
                      <w:rFonts w:ascii="Cambria Math" w:hAnsi="Cambria Math" w:cs="Times New Roman"/>
                      <w:sz w:val="24"/>
                      <w:szCs w:val="24"/>
                      <w:vertAlign w:val="subscript"/>
                    </w:rPr>
                    <m:t>sample</m:t>
                  </m:r>
                  <m:ctrlPr>
                    <w:rPr>
                      <w:rFonts w:ascii="Cambria Math" w:hAnsi="Cambria Math" w:cs="Times New Roman"/>
                      <w:sz w:val="24"/>
                      <w:szCs w:val="24"/>
                      <w:vertAlign w:val="subscript"/>
                    </w:rPr>
                  </m:ctrlP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Ab</m:t>
                  </m:r>
                </m:e>
                <m:sub>
                  <m:r>
                    <m:rPr>
                      <m:sty m:val="p"/>
                    </m:rPr>
                    <w:rPr>
                      <w:rFonts w:ascii="Cambria Math" w:hAnsi="Cambria Math" w:cs="Times New Roman"/>
                      <w:sz w:val="24"/>
                      <w:szCs w:val="24"/>
                    </w:rPr>
                    <m:t>negative control</m:t>
                  </m:r>
                </m:sub>
              </m:sSub>
              <m:r>
                <m:rPr>
                  <m:sty m:val="p"/>
                </m:rPr>
                <w:rPr>
                  <w:rFonts w:ascii="Cambria Math" w:hAnsi="Cambria Math" w:cs="Times New Roman"/>
                  <w:sz w:val="24"/>
                  <w:szCs w:val="24"/>
                </w:rPr>
                <m:t>)</m:t>
              </m:r>
            </m:num>
            <m:den>
              <m:sSub>
                <m:sSubPr>
                  <m:ctrlPr>
                    <w:rPr>
                      <w:rFonts w:ascii="Cambria Math" w:hAnsi="Cambria Math" w:cs="Times New Roman"/>
                      <w:sz w:val="24"/>
                      <w:szCs w:val="24"/>
                    </w:rPr>
                  </m:ctrlPr>
                </m:sSubPr>
                <m:e>
                  <m:r>
                    <m:rPr>
                      <m:sty m:val="p"/>
                    </m:rPr>
                    <w:rPr>
                      <w:rFonts w:ascii="Cambria Math" w:hAnsi="Cambria Math" w:cs="Times New Roman"/>
                      <w:sz w:val="24"/>
                      <w:szCs w:val="24"/>
                    </w:rPr>
                    <m:t>(Ab</m:t>
                  </m:r>
                </m:e>
                <m:sub>
                  <m:r>
                    <m:rPr>
                      <m:sty m:val="p"/>
                    </m:rPr>
                    <w:rPr>
                      <w:rFonts w:ascii="Cambria Math" w:hAnsi="Cambria Math" w:cs="Times New Roman"/>
                      <w:sz w:val="24"/>
                      <w:szCs w:val="24"/>
                    </w:rPr>
                    <m:t>positive control</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Ab</m:t>
                  </m:r>
                </m:e>
                <m:sub>
                  <m:r>
                    <m:rPr>
                      <m:sty m:val="p"/>
                    </m:rPr>
                    <w:rPr>
                      <w:rFonts w:ascii="Cambria Math" w:hAnsi="Cambria Math" w:cs="Times New Roman"/>
                      <w:sz w:val="24"/>
                      <w:szCs w:val="24"/>
                    </w:rPr>
                    <m:t>negative control</m:t>
                  </m:r>
                </m:sub>
              </m:sSub>
              <m:r>
                <m:rPr>
                  <m:sty m:val="p"/>
                </m:rPr>
                <w:rPr>
                  <w:rFonts w:ascii="Cambria Math" w:hAnsi="Cambria Math" w:cs="Times New Roman"/>
                  <w:sz w:val="24"/>
                  <w:szCs w:val="24"/>
                </w:rPr>
                <m:t>）</m:t>
              </m:r>
            </m:den>
          </m:f>
          <m:r>
            <m:rPr>
              <m:sty m:val="p"/>
            </m:rPr>
            <w:rPr>
              <w:rFonts w:ascii="Cambria Math" w:hAnsi="Cambria Math" w:cs="Times New Roman"/>
              <w:sz w:val="24"/>
              <w:szCs w:val="24"/>
            </w:rPr>
            <m:t>×100%</m:t>
          </m:r>
        </m:oMath>
      </m:oMathPara>
    </w:p>
    <w:p w14:paraId="1816658D"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Cell lines and culture conditions</w:t>
      </w:r>
      <w:r>
        <w:rPr>
          <w:rFonts w:ascii="Times New Roman" w:hAnsi="Times New Roman" w:cs="Times New Roman"/>
          <w:b/>
          <w:bCs/>
          <w:sz w:val="24"/>
          <w:szCs w:val="24"/>
        </w:rPr>
        <w:t>：</w:t>
      </w:r>
      <w:r>
        <w:rPr>
          <w:rFonts w:ascii="Times New Roman" w:hAnsi="Times New Roman" w:cs="Times New Roman"/>
          <w:sz w:val="24"/>
          <w:szCs w:val="24"/>
        </w:rPr>
        <w:t xml:space="preserve">Human Kidney-2(HK-2) cells were obtained from American Type Culture Collection (ATCC), barring special circumstances, incubated in DMEM containing 10%FBS and 1% P/S and maintained at 37℃, under 5% CO2.The HK-2 cells were cultured in Dulbecco’s modified </w:t>
      </w:r>
      <w:proofErr w:type="spellStart"/>
      <w:r>
        <w:rPr>
          <w:rFonts w:ascii="Times New Roman" w:hAnsi="Times New Roman" w:cs="Times New Roman"/>
          <w:sz w:val="24"/>
          <w:szCs w:val="24"/>
        </w:rPr>
        <w:t>Eale’s</w:t>
      </w:r>
      <w:proofErr w:type="spellEnd"/>
      <w:r>
        <w:rPr>
          <w:rFonts w:ascii="Times New Roman" w:hAnsi="Times New Roman" w:cs="Times New Roman"/>
          <w:sz w:val="24"/>
          <w:szCs w:val="24"/>
        </w:rPr>
        <w:t xml:space="preserve"> medium (DMEM) supplemented with 10% fetal bovine serum (FBS), 1% streptomycin, and penicillin at 37 °C in an incubator under 5% CO</w:t>
      </w:r>
      <w:r>
        <w:rPr>
          <w:rFonts w:ascii="Times New Roman" w:hAnsi="Times New Roman" w:cs="Times New Roman"/>
          <w:sz w:val="24"/>
          <w:szCs w:val="24"/>
          <w:vertAlign w:val="subscript"/>
        </w:rPr>
        <w:t>2</w:t>
      </w:r>
      <w:r>
        <w:rPr>
          <w:rFonts w:ascii="Times New Roman" w:hAnsi="Times New Roman" w:cs="Times New Roman"/>
          <w:sz w:val="24"/>
          <w:szCs w:val="24"/>
        </w:rPr>
        <w:t>.</w:t>
      </w:r>
    </w:p>
    <w:p w14:paraId="2E4283FA" w14:textId="77777777" w:rsidR="00754F4B" w:rsidRDefault="00754F4B">
      <w:pPr>
        <w:spacing w:line="360" w:lineRule="auto"/>
        <w:rPr>
          <w:rFonts w:ascii="Times New Roman" w:hAnsi="Times New Roman" w:cs="Times New Roman"/>
          <w:b/>
          <w:bCs/>
          <w:sz w:val="24"/>
          <w:szCs w:val="24"/>
        </w:rPr>
      </w:pPr>
    </w:p>
    <w:p w14:paraId="48CDD8AC"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Cytotoxicity of PUA NPs @RES in Vitro</w:t>
      </w:r>
      <w:r>
        <w:rPr>
          <w:rFonts w:ascii="Times New Roman" w:hAnsi="Times New Roman" w:cs="Times New Roman"/>
          <w:b/>
          <w:bCs/>
          <w:sz w:val="24"/>
          <w:szCs w:val="24"/>
        </w:rPr>
        <w:t>：</w:t>
      </w:r>
      <w:r>
        <w:rPr>
          <w:rFonts w:ascii="Times New Roman" w:hAnsi="Times New Roman" w:cs="Times New Roman"/>
          <w:sz w:val="24"/>
          <w:szCs w:val="24"/>
        </w:rPr>
        <w:t>Human renal tubular epithelial cell line HK2 cells were seeded in 96-well plates at 5 × 103 cells per well and cultured with Dulbecco’s modified Eagle’s medium containing 10% fetal bovine serum and 1% penicillin–streptomycin and incubated at 37 °C under 5% CO</w:t>
      </w:r>
      <w:r>
        <w:rPr>
          <w:rFonts w:ascii="Times New Roman" w:hAnsi="Times New Roman" w:cs="Times New Roman"/>
          <w:sz w:val="24"/>
          <w:szCs w:val="24"/>
          <w:vertAlign w:val="subscript"/>
        </w:rPr>
        <w:t>2</w:t>
      </w:r>
      <w:r>
        <w:rPr>
          <w:rFonts w:ascii="Times New Roman" w:hAnsi="Times New Roman" w:cs="Times New Roman"/>
          <w:sz w:val="24"/>
          <w:szCs w:val="24"/>
        </w:rPr>
        <w:t xml:space="preserve"> in a water-saturated atmosphere for 24 h. Cells were cultured for 1 day and then treated with RES</w:t>
      </w:r>
      <w:r>
        <w:rPr>
          <w:rFonts w:ascii="Times New Roman" w:hAnsi="Times New Roman" w:cs="Times New Roman"/>
          <w:sz w:val="24"/>
          <w:szCs w:val="24"/>
        </w:rPr>
        <w:t>、</w:t>
      </w:r>
      <w:r>
        <w:rPr>
          <w:rFonts w:ascii="Times New Roman" w:hAnsi="Times New Roman" w:cs="Times New Roman"/>
          <w:sz w:val="24"/>
          <w:szCs w:val="24"/>
        </w:rPr>
        <w:t>PUA NPs or PUA NPs @RES of various concentrations at 37 °C under 5% CO</w:t>
      </w:r>
      <w:r>
        <w:rPr>
          <w:rFonts w:ascii="Times New Roman" w:hAnsi="Times New Roman" w:cs="Times New Roman"/>
          <w:sz w:val="24"/>
          <w:szCs w:val="24"/>
          <w:vertAlign w:val="subscript"/>
        </w:rPr>
        <w:t>2</w:t>
      </w:r>
      <w:r>
        <w:rPr>
          <w:rFonts w:ascii="Times New Roman" w:hAnsi="Times New Roman" w:cs="Times New Roman"/>
          <w:sz w:val="24"/>
          <w:szCs w:val="24"/>
        </w:rPr>
        <w:t xml:space="preserve"> for 24 h. Cell viability was evaluated by the CCK8 assay.</w:t>
      </w:r>
    </w:p>
    <w:p w14:paraId="1BFE29EF" w14:textId="77777777" w:rsidR="00754F4B" w:rsidRDefault="00754F4B">
      <w:pPr>
        <w:spacing w:line="360" w:lineRule="auto"/>
        <w:rPr>
          <w:rFonts w:ascii="Times New Roman" w:hAnsi="Times New Roman" w:cs="Times New Roman"/>
          <w:sz w:val="24"/>
          <w:szCs w:val="24"/>
        </w:rPr>
      </w:pPr>
    </w:p>
    <w:p w14:paraId="009B7B70"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lastRenderedPageBreak/>
        <w:t>DPPH free radical scavenging test</w:t>
      </w:r>
      <w:r>
        <w:rPr>
          <w:rFonts w:ascii="Times New Roman" w:hAnsi="Times New Roman" w:cs="Times New Roman"/>
          <w:b/>
          <w:bCs/>
          <w:sz w:val="24"/>
          <w:szCs w:val="24"/>
        </w:rPr>
        <w:t>：</w:t>
      </w:r>
      <w:r>
        <w:rPr>
          <w:rFonts w:ascii="Times New Roman" w:hAnsi="Times New Roman" w:cs="Times New Roman"/>
          <w:sz w:val="24"/>
          <w:szCs w:val="24"/>
        </w:rPr>
        <w:t xml:space="preserve">Simply put, DPPH is dissolved in anhydrous ethanol and diluted into 80ug/ml. Experimental group </w:t>
      </w:r>
      <w:proofErr w:type="gramStart"/>
      <w:r>
        <w:rPr>
          <w:rFonts w:ascii="Times New Roman" w:hAnsi="Times New Roman" w:cs="Times New Roman"/>
          <w:sz w:val="24"/>
          <w:szCs w:val="24"/>
        </w:rPr>
        <w:t>At</w:t>
      </w:r>
      <w:proofErr w:type="gramEnd"/>
      <w:r>
        <w:rPr>
          <w:rFonts w:ascii="Times New Roman" w:hAnsi="Times New Roman" w:cs="Times New Roman"/>
          <w:sz w:val="24"/>
          <w:szCs w:val="24"/>
        </w:rPr>
        <w:t xml:space="preserve">: take the mixture of 1ml DPPH solution and 1ml material, shake for 30 minutes; blank group: 1ml anhydrous ethanol and 1ml material mixture, shake for 30 minutes; background group Ab: take 1ml DPPH solution and 1ml ultra-pure water, shake for 30 minutes; 200ul solution was applied to 96-well plate, and the wavelength of enzyme meter was set at 517nm. and determine the optical absorption value of each well. </w:t>
      </w:r>
    </w:p>
    <w:p w14:paraId="67DB2158"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Calculation formula:</w:t>
      </w:r>
    </w:p>
    <w:p w14:paraId="5C9B2CDF" w14:textId="77777777" w:rsidR="00754F4B" w:rsidRDefault="00000000">
      <w:pPr>
        <w:spacing w:line="360" w:lineRule="auto"/>
        <w:rPr>
          <w:rFonts w:ascii="Times New Roman" w:hAnsi="Times New Roman" w:cs="Times New Roman"/>
          <w:sz w:val="24"/>
          <w:szCs w:val="24"/>
        </w:rPr>
      </w:pPr>
      <m:oMathPara>
        <m:oMath>
          <m:r>
            <m:rPr>
              <m:sty m:val="p"/>
            </m:rPr>
            <w:rPr>
              <w:rFonts w:ascii="Cambria Math" w:hAnsi="Cambria Math" w:cs="Times New Roman"/>
              <w:sz w:val="24"/>
              <w:szCs w:val="24"/>
            </w:rPr>
            <m:t>Clearance rate[%]=(1-</m:t>
          </m:r>
          <m:f>
            <m:fPr>
              <m:ctrlPr>
                <w:rPr>
                  <w:rFonts w:ascii="Cambria Math" w:hAnsi="Cambria Math" w:cs="Times New Roman"/>
                  <w:sz w:val="24"/>
                  <w:szCs w:val="24"/>
                </w:rPr>
              </m:ctrlPr>
            </m:fPr>
            <m:num>
              <m:r>
                <m:rPr>
                  <m:sty m:val="p"/>
                </m:rPr>
                <w:rPr>
                  <w:rFonts w:ascii="Cambria Math" w:hAnsi="Cambria Math" w:cs="Times New Roman"/>
                  <w:sz w:val="24"/>
                  <w:szCs w:val="24"/>
                </w:rPr>
                <m:t>At-Ac</m:t>
              </m:r>
            </m:num>
            <m:den>
              <m:r>
                <m:rPr>
                  <m:sty m:val="p"/>
                </m:rPr>
                <w:rPr>
                  <w:rFonts w:ascii="Cambria Math" w:hAnsi="Cambria Math" w:cs="Times New Roman"/>
                  <w:sz w:val="24"/>
                  <w:szCs w:val="24"/>
                </w:rPr>
                <m:t>Ab</m:t>
              </m:r>
            </m:den>
          </m:f>
          <m:r>
            <m:rPr>
              <m:sty m:val="p"/>
            </m:rPr>
            <w:rPr>
              <w:rFonts w:ascii="Cambria Math" w:hAnsi="Cambria Math" w:cs="Times New Roman"/>
              <w:sz w:val="24"/>
              <w:szCs w:val="24"/>
            </w:rPr>
            <m:t>)×100%</m:t>
          </m:r>
        </m:oMath>
      </m:oMathPara>
    </w:p>
    <w:p w14:paraId="48154EA3" w14:textId="77777777" w:rsidR="00754F4B" w:rsidRDefault="00754F4B">
      <w:pPr>
        <w:spacing w:line="360" w:lineRule="auto"/>
        <w:rPr>
          <w:rFonts w:ascii="Times New Roman" w:hAnsi="Times New Roman" w:cs="Times New Roman"/>
          <w:b/>
          <w:bCs/>
          <w:sz w:val="24"/>
          <w:szCs w:val="24"/>
        </w:rPr>
      </w:pPr>
    </w:p>
    <w:p w14:paraId="7476A511"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ABTS Radical Cation Decolorization Assay</w:t>
      </w:r>
      <w:r>
        <w:rPr>
          <w:rFonts w:ascii="Times New Roman" w:hAnsi="Times New Roman" w:cs="Times New Roman"/>
          <w:b/>
          <w:bCs/>
          <w:sz w:val="24"/>
          <w:szCs w:val="24"/>
        </w:rPr>
        <w:t>：</w:t>
      </w:r>
      <w:r>
        <w:rPr>
          <w:rFonts w:ascii="Times New Roman" w:hAnsi="Times New Roman" w:cs="Times New Roman"/>
          <w:sz w:val="24"/>
          <w:szCs w:val="24"/>
        </w:rPr>
        <w:t xml:space="preserve">ABTS at 7 mM concentration was dissolved in water before 2.45 mM potassium persulfate (final concentration) was added to produce the ABTS radical cation (ABTS•+). The stock solution was kept in the dark at room temperature for 12 h before use and then the ABTS•+ solution was diluted with PBS to achieve a final absorbance value of </w:t>
      </w:r>
      <w:r>
        <w:rPr>
          <w:rFonts w:ascii="Cambria Math" w:hAnsi="Cambria Math" w:cs="Cambria Math"/>
          <w:sz w:val="24"/>
          <w:szCs w:val="24"/>
        </w:rPr>
        <w:t>∼</w:t>
      </w:r>
      <w:r>
        <w:rPr>
          <w:rFonts w:ascii="Times New Roman" w:hAnsi="Times New Roman" w:cs="Times New Roman"/>
          <w:sz w:val="24"/>
          <w:szCs w:val="24"/>
        </w:rPr>
        <w:t xml:space="preserve">0.75 at 734 nm with a volume of 200 </w:t>
      </w:r>
      <w:proofErr w:type="spellStart"/>
      <w:r>
        <w:rPr>
          <w:rFonts w:ascii="Times New Roman" w:hAnsi="Times New Roman" w:cs="Times New Roman"/>
          <w:sz w:val="24"/>
          <w:szCs w:val="24"/>
        </w:rPr>
        <w:t>μL</w:t>
      </w:r>
      <w:proofErr w:type="spellEnd"/>
      <w:r>
        <w:rPr>
          <w:rFonts w:ascii="Times New Roman" w:hAnsi="Times New Roman" w:cs="Times New Roman"/>
          <w:sz w:val="24"/>
          <w:szCs w:val="24"/>
        </w:rPr>
        <w:t xml:space="preserve"> in each well of a standard 96-well plate. Different concentrations of RES, PUA NPs and PUA </w:t>
      </w:r>
      <w:proofErr w:type="spellStart"/>
      <w:r>
        <w:rPr>
          <w:rFonts w:ascii="Times New Roman" w:hAnsi="Times New Roman" w:cs="Times New Roman"/>
          <w:sz w:val="24"/>
          <w:szCs w:val="24"/>
        </w:rPr>
        <w:t>NPs@RES</w:t>
      </w:r>
      <w:proofErr w:type="spellEnd"/>
      <w:r>
        <w:rPr>
          <w:rFonts w:ascii="Times New Roman" w:hAnsi="Times New Roman" w:cs="Times New Roman"/>
          <w:sz w:val="24"/>
          <w:szCs w:val="24"/>
        </w:rPr>
        <w:t xml:space="preserve"> were added into ABTS•+ </w:t>
      </w:r>
      <w:proofErr w:type="spellStart"/>
      <w:proofErr w:type="gramStart"/>
      <w:r>
        <w:rPr>
          <w:rFonts w:ascii="Times New Roman" w:hAnsi="Times New Roman" w:cs="Times New Roman"/>
          <w:sz w:val="24"/>
          <w:szCs w:val="24"/>
        </w:rPr>
        <w:t>solution.Record</w:t>
      </w:r>
      <w:proofErr w:type="spellEnd"/>
      <w:proofErr w:type="gramEnd"/>
      <w:r>
        <w:rPr>
          <w:rFonts w:ascii="Times New Roman" w:hAnsi="Times New Roman" w:cs="Times New Roman"/>
          <w:sz w:val="24"/>
          <w:szCs w:val="24"/>
        </w:rPr>
        <w:t xml:space="preserve"> the absorbance of each hole at 734nm. A: the absorbance of sample solution of each concentration. A0: absorbance of solution in blank control.</w:t>
      </w:r>
    </w:p>
    <w:p w14:paraId="06A785EC"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Calculation formula:</w:t>
      </w:r>
    </w:p>
    <w:p w14:paraId="63C9753D" w14:textId="77777777" w:rsidR="00754F4B" w:rsidRDefault="00000000">
      <w:pPr>
        <w:spacing w:line="360" w:lineRule="auto"/>
        <w:rPr>
          <w:rFonts w:ascii="Times New Roman" w:hAnsi="Times New Roman" w:cs="Times New Roman"/>
          <w:sz w:val="24"/>
          <w:szCs w:val="24"/>
        </w:rPr>
      </w:pPr>
      <m:oMathPara>
        <m:oMath>
          <m:r>
            <m:rPr>
              <m:sty m:val="p"/>
            </m:rPr>
            <w:rPr>
              <w:rFonts w:ascii="Cambria Math" w:hAnsi="Cambria Math" w:cs="Times New Roman"/>
              <w:sz w:val="24"/>
              <w:szCs w:val="24"/>
            </w:rPr>
            <m:t>Clearance rate[%]=</m:t>
          </m:r>
          <m:f>
            <m:fPr>
              <m:ctrlPr>
                <w:rPr>
                  <w:rFonts w:ascii="Cambria Math" w:hAnsi="Cambria Math" w:cs="Times New Roman"/>
                  <w:sz w:val="24"/>
                  <w:szCs w:val="24"/>
                </w:rPr>
              </m:ctrlPr>
            </m:fPr>
            <m:num>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-A)</m:t>
              </m:r>
            </m:num>
            <m:den>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0</m:t>
                  </m:r>
                </m:sub>
              </m:sSub>
            </m:den>
          </m:f>
          <m:r>
            <m:rPr>
              <m:sty m:val="p"/>
            </m:rPr>
            <w:rPr>
              <w:rFonts w:ascii="Cambria Math" w:hAnsi="Cambria Math" w:cs="Times New Roman"/>
              <w:sz w:val="24"/>
              <w:szCs w:val="24"/>
            </w:rPr>
            <m:t>×100%</m:t>
          </m:r>
        </m:oMath>
      </m:oMathPara>
    </w:p>
    <w:p w14:paraId="42A3A271" w14:textId="77777777" w:rsidR="00754F4B" w:rsidRDefault="00754F4B">
      <w:pPr>
        <w:spacing w:line="360" w:lineRule="auto"/>
        <w:rPr>
          <w:rFonts w:ascii="Times New Roman" w:hAnsi="Times New Roman" w:cs="Times New Roman"/>
          <w:sz w:val="24"/>
          <w:szCs w:val="24"/>
        </w:rPr>
      </w:pPr>
    </w:p>
    <w:p w14:paraId="1A9B9781"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Cellular uptake study</w:t>
      </w:r>
      <w:r>
        <w:rPr>
          <w:rFonts w:ascii="Times New Roman" w:hAnsi="Times New Roman" w:cs="Times New Roman"/>
          <w:b/>
          <w:bCs/>
          <w:sz w:val="24"/>
          <w:szCs w:val="24"/>
        </w:rPr>
        <w:t>：</w:t>
      </w:r>
      <w:r>
        <w:rPr>
          <w:rFonts w:ascii="Times New Roman" w:hAnsi="Times New Roman" w:cs="Times New Roman"/>
          <w:sz w:val="24"/>
          <w:szCs w:val="24"/>
        </w:rPr>
        <w:t>Coumarin 6 (C6) was used as a fluorescence probe to label the PUA NPs and track the cellular internalization behavior of NPs on HK2 cells. HK2 cells with a density of 1×105 cells/dish were inoculated on a 6-well plate</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and incubated overnight at 37 °C. Then the culture medium was removed and replaced by serum-free medium containing C6-loaded PUA NPs (C6@PUA NPs, at a C6 dose of 0.2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/mL). After incubation for 1, 4, and 8 h, the cells were washed twice with pre-cooling PBS and Finally, the cells were maintained in PBS, followed by the </w:t>
      </w:r>
      <w:r>
        <w:rPr>
          <w:rFonts w:ascii="Times New Roman" w:hAnsi="Times New Roman" w:cs="Times New Roman"/>
          <w:sz w:val="24"/>
          <w:szCs w:val="24"/>
        </w:rPr>
        <w:lastRenderedPageBreak/>
        <w:t>imaging of</w:t>
      </w:r>
      <w:r>
        <w:rPr>
          <w:rFonts w:ascii="Times New Roman" w:hAnsi="Times New Roman" w:cs="Times New Roman"/>
          <w:color w:val="000000" w:themeColor="text1"/>
          <w:sz w:val="24"/>
          <w:szCs w:val="24"/>
        </w:rPr>
        <w:t xml:space="preserve"> fluorescent microscope (Leica, Germany). </w:t>
      </w:r>
      <w:r>
        <w:rPr>
          <w:rFonts w:ascii="Times New Roman" w:hAnsi="Times New Roman" w:cs="Times New Roman"/>
          <w:sz w:val="24"/>
          <w:szCs w:val="24"/>
        </w:rPr>
        <w:t>The ROS levels in HK2 cells were quantitatively determined by flow cytometry.</w:t>
      </w:r>
    </w:p>
    <w:p w14:paraId="5E0FEA28" w14:textId="77777777" w:rsidR="00754F4B" w:rsidRDefault="00754F4B">
      <w:pPr>
        <w:spacing w:line="360" w:lineRule="auto"/>
        <w:ind w:firstLineChars="100" w:firstLine="240"/>
        <w:rPr>
          <w:rFonts w:ascii="Times New Roman" w:hAnsi="Times New Roman" w:cs="Times New Roman"/>
          <w:sz w:val="24"/>
          <w:szCs w:val="24"/>
        </w:rPr>
      </w:pPr>
    </w:p>
    <w:p w14:paraId="2396E683"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Study on ROS scavenging ability in vitro</w:t>
      </w:r>
      <w:r>
        <w:rPr>
          <w:rFonts w:ascii="Times New Roman" w:hAnsi="Times New Roman" w:cs="Times New Roman"/>
          <w:b/>
          <w:bCs/>
          <w:sz w:val="24"/>
          <w:szCs w:val="24"/>
        </w:rPr>
        <w:t>：</w:t>
      </w:r>
      <w:r>
        <w:rPr>
          <w:rFonts w:ascii="Times New Roman" w:hAnsi="Times New Roman" w:cs="Times New Roman"/>
          <w:sz w:val="24"/>
          <w:szCs w:val="24"/>
        </w:rPr>
        <w:t>2′,7′-Dichlorofluorescin diacetate (DCFH-DA), an oxidation sensitive fluorescent dye, was used to detect the intracellular ROS level. Briefly, DCFH-DA is a non-fluorescent chemical compound which could diffuse through cell membrane freely and could be hydrolyzed by intracellular esterase to DCFH. The non-fluorescent DCFH could be oxidized by the intracellular ROS to fluorescent DCF. Therefore, the quantity of intracellular ROS is correlated with the fluorescent intensity of DCF. After the aforementioned incubation with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xml:space="preserve"> for 24 h, cells were gently rinsed thrice with serum-free medium to remove the free RES, PUA NPs and PUA </w:t>
      </w:r>
      <w:proofErr w:type="spellStart"/>
      <w:r>
        <w:rPr>
          <w:rFonts w:ascii="Times New Roman" w:hAnsi="Times New Roman" w:cs="Times New Roman"/>
          <w:sz w:val="24"/>
          <w:szCs w:val="24"/>
        </w:rPr>
        <w:t>NPs@RES</w:t>
      </w:r>
      <w:proofErr w:type="spellEnd"/>
      <w:r>
        <w:rPr>
          <w:rFonts w:ascii="Times New Roman" w:hAnsi="Times New Roman" w:cs="Times New Roman"/>
          <w:sz w:val="24"/>
          <w:szCs w:val="24"/>
        </w:rPr>
        <w:t>. Then, a final concentration of 10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 xml:space="preserve"> of DCFH-DA in serum-free medium was added to the cells and incubated in dark at 37 °C for 30 min. Afterwards, the cells were washed with serum-free medium thrice to remove unloaded DCFH-DA probe, then were imaged using a </w:t>
      </w:r>
      <w:r>
        <w:rPr>
          <w:rFonts w:ascii="Times New Roman" w:hAnsi="Times New Roman" w:cs="Times New Roman"/>
          <w:color w:val="000000" w:themeColor="text1"/>
          <w:sz w:val="24"/>
          <w:szCs w:val="24"/>
        </w:rPr>
        <w:t>fluorescent microscope (Leica, Germany)</w:t>
      </w:r>
      <w:r>
        <w:rPr>
          <w:rFonts w:ascii="Times New Roman" w:hAnsi="Times New Roman" w:cs="Times New Roman"/>
          <w:sz w:val="24"/>
          <w:szCs w:val="24"/>
        </w:rPr>
        <w:t>, and were subjected to a flow cytometry analysis to quantify the intracellular ROS levels respectively.</w:t>
      </w:r>
    </w:p>
    <w:p w14:paraId="6F15EB3B" w14:textId="77777777" w:rsidR="00754F4B" w:rsidRDefault="00754F4B">
      <w:pPr>
        <w:spacing w:line="360" w:lineRule="auto"/>
        <w:ind w:firstLineChars="100" w:firstLine="240"/>
        <w:rPr>
          <w:rFonts w:ascii="Times New Roman" w:hAnsi="Times New Roman" w:cs="Times New Roman"/>
          <w:sz w:val="24"/>
          <w:szCs w:val="24"/>
        </w:rPr>
      </w:pPr>
    </w:p>
    <w:p w14:paraId="36EE26C1"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Detection of pro-inflammatory cytokines and oxidative stress</w:t>
      </w:r>
      <w:r>
        <w:rPr>
          <w:rFonts w:ascii="Times New Roman" w:hAnsi="Times New Roman" w:cs="Times New Roman"/>
          <w:b/>
          <w:bCs/>
          <w:sz w:val="24"/>
          <w:szCs w:val="24"/>
        </w:rPr>
        <w:t>：</w:t>
      </w:r>
      <w:r>
        <w:rPr>
          <w:rFonts w:ascii="Times New Roman" w:hAnsi="Times New Roman" w:cs="Times New Roman"/>
          <w:sz w:val="24"/>
          <w:szCs w:val="24"/>
        </w:rPr>
        <w:t>The levels of tumor necrosis factor-α (TNF-α), interleukin-6 (IL-6) as pro-inflammatory cytokines were measured using ELISA kits according to the protocol provided by the manufacturer (NOVUS, USA). The levels of SOD, MDA and GSH were measured using commercial kits according to the manufacturer's protocol (</w:t>
      </w:r>
      <w:proofErr w:type="spellStart"/>
      <w:r>
        <w:rPr>
          <w:rFonts w:ascii="Times New Roman" w:hAnsi="Times New Roman" w:cs="Times New Roman"/>
          <w:sz w:val="24"/>
          <w:szCs w:val="24"/>
        </w:rPr>
        <w:t>Beyotime</w:t>
      </w:r>
      <w:proofErr w:type="spellEnd"/>
      <w:r>
        <w:rPr>
          <w:rFonts w:ascii="Times New Roman" w:hAnsi="Times New Roman" w:cs="Times New Roman"/>
          <w:sz w:val="24"/>
          <w:szCs w:val="24"/>
        </w:rPr>
        <w:t xml:space="preserve"> Biotechnology, China). All samples were measured triplicate.</w:t>
      </w:r>
    </w:p>
    <w:p w14:paraId="69517860" w14:textId="77777777" w:rsidR="00754F4B" w:rsidRDefault="00754F4B">
      <w:pPr>
        <w:spacing w:line="360" w:lineRule="auto"/>
        <w:rPr>
          <w:rFonts w:ascii="Times New Roman" w:hAnsi="Times New Roman" w:cs="Times New Roman"/>
          <w:sz w:val="24"/>
          <w:szCs w:val="24"/>
        </w:rPr>
      </w:pPr>
    </w:p>
    <w:p w14:paraId="7583F8E7" w14:textId="77777777" w:rsidR="00754F4B"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Antiapoptotic activity in vitro</w:t>
      </w:r>
    </w:p>
    <w:p w14:paraId="62F0A3B0"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Mitochondrial Membrane Potential (</w:t>
      </w:r>
      <w:proofErr w:type="spellStart"/>
      <w:r>
        <w:rPr>
          <w:rFonts w:ascii="Times New Roman" w:hAnsi="Times New Roman" w:cs="Times New Roman"/>
          <w:b/>
          <w:bCs/>
          <w:sz w:val="24"/>
          <w:szCs w:val="24"/>
        </w:rPr>
        <w:t>Δψm</w:t>
      </w:r>
      <w:proofErr w:type="spellEnd"/>
      <w:r>
        <w:rPr>
          <w:rFonts w:ascii="Times New Roman" w:hAnsi="Times New Roman" w:cs="Times New Roman"/>
          <w:b/>
          <w:bCs/>
          <w:sz w:val="24"/>
          <w:szCs w:val="24"/>
        </w:rPr>
        <w:t xml:space="preserve">) Measurement: </w:t>
      </w:r>
      <w:r>
        <w:rPr>
          <w:rFonts w:ascii="Times New Roman" w:hAnsi="Times New Roman" w:cs="Times New Roman"/>
          <w:sz w:val="24"/>
          <w:szCs w:val="24"/>
        </w:rPr>
        <w:t>HK2 were pretreated with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xml:space="preserve"> (250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 for 2h, and then cultured for 24h with different treatments. Mitochondrial membrane potential was determined using the protocol and reagent provided by the JC-1 kit (</w:t>
      </w:r>
      <w:proofErr w:type="spellStart"/>
      <w:r>
        <w:rPr>
          <w:rFonts w:ascii="Times New Roman" w:hAnsi="Times New Roman" w:cs="Times New Roman"/>
          <w:sz w:val="24"/>
          <w:szCs w:val="24"/>
        </w:rPr>
        <w:t>Beyotime</w:t>
      </w:r>
      <w:proofErr w:type="spellEnd"/>
      <w:r>
        <w:rPr>
          <w:rFonts w:ascii="Times New Roman" w:hAnsi="Times New Roman" w:cs="Times New Roman"/>
          <w:sz w:val="24"/>
          <w:szCs w:val="24"/>
        </w:rPr>
        <w:t xml:space="preserve"> Biotech, China). The cells were observed with a </w:t>
      </w:r>
      <w:r>
        <w:rPr>
          <w:rFonts w:ascii="Times New Roman" w:hAnsi="Times New Roman" w:cs="Times New Roman"/>
          <w:sz w:val="24"/>
          <w:szCs w:val="24"/>
        </w:rPr>
        <w:lastRenderedPageBreak/>
        <w:t xml:space="preserve">fluorescence microscope. </w:t>
      </w:r>
      <w:proofErr w:type="spellStart"/>
      <w:proofErr w:type="gramStart"/>
      <w:r>
        <w:rPr>
          <w:rFonts w:ascii="Times New Roman" w:hAnsi="Times New Roman" w:cs="Times New Roman"/>
          <w:sz w:val="24"/>
          <w:szCs w:val="24"/>
        </w:rPr>
        <w:t>Finally,the</w:t>
      </w:r>
      <w:proofErr w:type="spellEnd"/>
      <w:proofErr w:type="gramEnd"/>
      <w:r>
        <w:rPr>
          <w:rFonts w:ascii="Times New Roman" w:hAnsi="Times New Roman" w:cs="Times New Roman"/>
          <w:sz w:val="24"/>
          <w:szCs w:val="24"/>
        </w:rPr>
        <w:t xml:space="preserve"> JC-1 levels in HK2 cells were quantitatively determined by flow cytometry.</w:t>
      </w:r>
    </w:p>
    <w:p w14:paraId="44C474D3"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Apoptosis: </w:t>
      </w:r>
      <w:r>
        <w:rPr>
          <w:rFonts w:ascii="Times New Roman" w:hAnsi="Times New Roman" w:cs="Times New Roman"/>
          <w:sz w:val="24"/>
          <w:szCs w:val="24"/>
        </w:rPr>
        <w:t>HK2 were pretreated with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xml:space="preserve"> (250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 for 2 h and incubated with different treatments for 24 h. Annexin V-FITC/PI Apoptosis detection kit (</w:t>
      </w:r>
      <w:proofErr w:type="spellStart"/>
      <w:r>
        <w:rPr>
          <w:rFonts w:ascii="Times New Roman" w:hAnsi="Times New Roman" w:cs="Times New Roman"/>
          <w:sz w:val="24"/>
          <w:szCs w:val="24"/>
        </w:rPr>
        <w:t>Beyotime</w:t>
      </w:r>
      <w:proofErr w:type="spellEnd"/>
      <w:r>
        <w:rPr>
          <w:rFonts w:ascii="Times New Roman" w:hAnsi="Times New Roman" w:cs="Times New Roman"/>
          <w:sz w:val="24"/>
          <w:szCs w:val="24"/>
        </w:rPr>
        <w:t xml:space="preserve"> Biotech, China) was used to detect the apoptosis effect of PUA </w:t>
      </w:r>
      <w:proofErr w:type="spellStart"/>
      <w:r>
        <w:rPr>
          <w:rFonts w:ascii="Times New Roman" w:hAnsi="Times New Roman" w:cs="Times New Roman"/>
          <w:sz w:val="24"/>
          <w:szCs w:val="24"/>
        </w:rPr>
        <w:t>NPs@RES</w:t>
      </w:r>
      <w:proofErr w:type="spellEnd"/>
      <w:r>
        <w:rPr>
          <w:rFonts w:ascii="Times New Roman" w:hAnsi="Times New Roman" w:cs="Times New Roman"/>
          <w:sz w:val="24"/>
          <w:szCs w:val="24"/>
        </w:rPr>
        <w:t>. Finally, the cells were quantitatively detected by flow cytometry.</w:t>
      </w:r>
    </w:p>
    <w:p w14:paraId="3FC28CFB" w14:textId="77777777" w:rsidR="00754F4B" w:rsidRDefault="00754F4B">
      <w:pPr>
        <w:spacing w:line="360" w:lineRule="auto"/>
        <w:rPr>
          <w:rFonts w:ascii="Times New Roman" w:hAnsi="Times New Roman" w:cs="Times New Roman"/>
          <w:sz w:val="24"/>
          <w:szCs w:val="24"/>
        </w:rPr>
      </w:pPr>
    </w:p>
    <w:p w14:paraId="25A75A38" w14:textId="77777777" w:rsidR="00754F4B"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Animal and rhabdomyolysis (RM)-induced AKI model</w:t>
      </w:r>
      <w:r>
        <w:rPr>
          <w:rFonts w:ascii="Times New Roman" w:hAnsi="Times New Roman" w:cs="Times New Roman"/>
          <w:b/>
          <w:bCs/>
          <w:sz w:val="24"/>
          <w:szCs w:val="24"/>
        </w:rPr>
        <w:tab/>
      </w:r>
    </w:p>
    <w:p w14:paraId="203CD270"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The Animal Ethics Committee of the Laboratory Animal Center of Sun Yat-sen University approved the protocols of all animal studies conducted in this study. All animal experiments were conducted using female BALB/c mice, which were purchased from the Laboratory Animal Center of Sun Yat-sen University.</w:t>
      </w:r>
    </w:p>
    <w:p w14:paraId="5861E016"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RM-induced AKI model:</w:t>
      </w:r>
      <w:r>
        <w:rPr>
          <w:rFonts w:ascii="Times New Roman" w:hAnsi="Times New Roman" w:cs="Times New Roman"/>
          <w:b/>
          <w:bCs/>
          <w:sz w:val="24"/>
          <w:szCs w:val="24"/>
        </w:rPr>
        <w:t>：</w:t>
      </w:r>
      <w:r>
        <w:rPr>
          <w:rFonts w:ascii="Times New Roman" w:hAnsi="Times New Roman" w:cs="Times New Roman"/>
          <w:sz w:val="24"/>
          <w:szCs w:val="24"/>
        </w:rPr>
        <w:t xml:space="preserve">Mice did not drink water for 15 h, but were given food. After that, 50% glycerol (8 mL/kg) was injected into the mouse hindlimb. After 24 hours, the mice were euthanized and their major organs and blood were collected. </w:t>
      </w:r>
    </w:p>
    <w:p w14:paraId="3DDE9E2F"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Study on biological distribution in vivo: </w:t>
      </w:r>
      <w:r>
        <w:rPr>
          <w:rFonts w:ascii="Times New Roman" w:hAnsi="Times New Roman" w:cs="Times New Roman"/>
          <w:sz w:val="24"/>
          <w:szCs w:val="24"/>
        </w:rPr>
        <w:t xml:space="preserve">Study on biological distribution in vivo of AKI mice and normal mice, using </w:t>
      </w:r>
      <w:proofErr w:type="spellStart"/>
      <w:r>
        <w:rPr>
          <w:rFonts w:ascii="Times New Roman" w:hAnsi="Times New Roman" w:cs="Times New Roman"/>
          <w:sz w:val="24"/>
          <w:szCs w:val="24"/>
        </w:rPr>
        <w:t>DiR</w:t>
      </w:r>
      <w:proofErr w:type="spellEnd"/>
      <w:r>
        <w:rPr>
          <w:rFonts w:ascii="Times New Roman" w:hAnsi="Times New Roman" w:cs="Times New Roman"/>
          <w:sz w:val="24"/>
          <w:szCs w:val="24"/>
        </w:rPr>
        <w:t xml:space="preserve"> as fluorescent probe to simulate free drugs, and tracking the biological distribution of PUA NPs in vivo. Simply, the mice were randomly divided into four groups (n=3), two groups were normal and two groups were AKI mice, which were injected intravenously with free </w:t>
      </w:r>
      <w:proofErr w:type="spellStart"/>
      <w:r>
        <w:rPr>
          <w:rFonts w:ascii="Times New Roman" w:hAnsi="Times New Roman" w:cs="Times New Roman"/>
          <w:sz w:val="24"/>
          <w:szCs w:val="24"/>
        </w:rPr>
        <w:t>DiR</w:t>
      </w:r>
      <w:proofErr w:type="spellEnd"/>
      <w:r>
        <w:rPr>
          <w:rFonts w:ascii="Times New Roman" w:hAnsi="Times New Roman" w:cs="Times New Roman"/>
          <w:sz w:val="24"/>
          <w:szCs w:val="24"/>
        </w:rPr>
        <w:t xml:space="preserve"> solution (0.4mg/kg) and DIR-loaded PUA NPs (</w:t>
      </w:r>
      <w:proofErr w:type="spellStart"/>
      <w:r>
        <w:rPr>
          <w:rFonts w:ascii="Times New Roman" w:hAnsi="Times New Roman" w:cs="Times New Roman"/>
          <w:sz w:val="24"/>
          <w:szCs w:val="24"/>
        </w:rPr>
        <w:t>DiR@PUA</w:t>
      </w:r>
      <w:proofErr w:type="spellEnd"/>
      <w:r>
        <w:rPr>
          <w:rFonts w:ascii="Times New Roman" w:hAnsi="Times New Roman" w:cs="Times New Roman"/>
          <w:sz w:val="24"/>
          <w:szCs w:val="24"/>
        </w:rPr>
        <w:t xml:space="preserve"> NPs) at the same dose of </w:t>
      </w:r>
      <w:proofErr w:type="spellStart"/>
      <w:r>
        <w:rPr>
          <w:rFonts w:ascii="Times New Roman" w:hAnsi="Times New Roman" w:cs="Times New Roman"/>
          <w:sz w:val="24"/>
          <w:szCs w:val="24"/>
        </w:rPr>
        <w:t>DiR.</w:t>
      </w:r>
      <w:proofErr w:type="spellEnd"/>
      <w:r>
        <w:rPr>
          <w:rFonts w:ascii="Times New Roman" w:hAnsi="Times New Roman" w:cs="Times New Roman"/>
          <w:sz w:val="24"/>
          <w:szCs w:val="24"/>
        </w:rPr>
        <w:t xml:space="preserve"> At predetermined intervals (2, 4, 6, 8, 12, 24, and 48 h), the mice were anesthetized and photographed using an in vivo imaging system (IVIS, PerkinElmer, USA) at the excitation/emission (Ex/Em) wavelength of 740/790nm. The mice were killed 48 hours after injection. Kidneys and major organs (heart, liver, spleen and lungs) were collected and photographed at the same Ex/Em wavelength.</w:t>
      </w:r>
    </w:p>
    <w:p w14:paraId="20674406" w14:textId="77777777" w:rsidR="00754F4B" w:rsidRDefault="00754F4B">
      <w:pPr>
        <w:spacing w:line="360" w:lineRule="auto"/>
        <w:rPr>
          <w:rFonts w:ascii="Times New Roman" w:hAnsi="Times New Roman" w:cs="Times New Roman"/>
          <w:sz w:val="24"/>
          <w:szCs w:val="24"/>
        </w:rPr>
      </w:pPr>
    </w:p>
    <w:p w14:paraId="34A95094" w14:textId="77777777" w:rsidR="00754F4B"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Therapeutic effect of PUA </w:t>
      </w:r>
      <w:proofErr w:type="spellStart"/>
      <w:r>
        <w:rPr>
          <w:rFonts w:ascii="Times New Roman" w:hAnsi="Times New Roman" w:cs="Times New Roman"/>
          <w:b/>
          <w:bCs/>
          <w:sz w:val="24"/>
          <w:szCs w:val="24"/>
        </w:rPr>
        <w:t>NPs@RES</w:t>
      </w:r>
      <w:proofErr w:type="spellEnd"/>
      <w:r>
        <w:rPr>
          <w:rFonts w:ascii="Times New Roman" w:hAnsi="Times New Roman" w:cs="Times New Roman"/>
          <w:b/>
          <w:bCs/>
          <w:sz w:val="24"/>
          <w:szCs w:val="24"/>
        </w:rPr>
        <w:t xml:space="preserve"> on AKI mice</w:t>
      </w:r>
    </w:p>
    <w:p w14:paraId="5E8512A8"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Evaluation of kidney function: </w:t>
      </w:r>
      <w:r>
        <w:rPr>
          <w:rFonts w:ascii="Times New Roman" w:hAnsi="Times New Roman" w:cs="Times New Roman"/>
          <w:sz w:val="24"/>
          <w:szCs w:val="24"/>
        </w:rPr>
        <w:t xml:space="preserve">The mice were divided into 5 groups (n = 5): The first group was normal control group: healthy mice were injected with PBS; the </w:t>
      </w:r>
      <w:r>
        <w:rPr>
          <w:rFonts w:ascii="Times New Roman" w:hAnsi="Times New Roman" w:cs="Times New Roman"/>
          <w:sz w:val="24"/>
          <w:szCs w:val="24"/>
        </w:rPr>
        <w:lastRenderedPageBreak/>
        <w:t xml:space="preserve">second group was RM-AKI mice injected with </w:t>
      </w:r>
      <w:proofErr w:type="spellStart"/>
      <w:r>
        <w:rPr>
          <w:rFonts w:ascii="Times New Roman" w:hAnsi="Times New Roman" w:cs="Times New Roman"/>
          <w:sz w:val="24"/>
          <w:szCs w:val="24"/>
        </w:rPr>
        <w:t>PBS.The</w:t>
      </w:r>
      <w:proofErr w:type="spellEnd"/>
      <w:r>
        <w:rPr>
          <w:rFonts w:ascii="Times New Roman" w:hAnsi="Times New Roman" w:cs="Times New Roman"/>
          <w:sz w:val="24"/>
          <w:szCs w:val="24"/>
        </w:rPr>
        <w:t xml:space="preserve"> third to fifth groups were RM-AKI mice injected with RES, PUA NPs and PUA </w:t>
      </w:r>
      <w:proofErr w:type="spellStart"/>
      <w:r>
        <w:rPr>
          <w:rFonts w:ascii="Times New Roman" w:hAnsi="Times New Roman" w:cs="Times New Roman"/>
          <w:sz w:val="24"/>
          <w:szCs w:val="24"/>
        </w:rPr>
        <w:t>NPs@RES</w:t>
      </w:r>
      <w:proofErr w:type="spellEnd"/>
      <w:r>
        <w:rPr>
          <w:rFonts w:ascii="Times New Roman" w:hAnsi="Times New Roman" w:cs="Times New Roman"/>
          <w:sz w:val="24"/>
          <w:szCs w:val="24"/>
        </w:rPr>
        <w:t xml:space="preserve">, respectively. Mice did not drink water for 15 h, but were given food. After that, 50% glycerol (8 mL/kg) was injected into the mouse hindlimb. All mice were given intravenous medication 2 hours after glycerol injection. The content of RES in the RES group and the PUA </w:t>
      </w:r>
      <w:proofErr w:type="spellStart"/>
      <w:r>
        <w:rPr>
          <w:rFonts w:ascii="Times New Roman" w:hAnsi="Times New Roman" w:cs="Times New Roman"/>
          <w:sz w:val="24"/>
          <w:szCs w:val="24"/>
        </w:rPr>
        <w:t>NPs@RES</w:t>
      </w:r>
      <w:proofErr w:type="spellEnd"/>
      <w:r>
        <w:rPr>
          <w:rFonts w:ascii="Times New Roman" w:hAnsi="Times New Roman" w:cs="Times New Roman"/>
          <w:sz w:val="24"/>
          <w:szCs w:val="24"/>
        </w:rPr>
        <w:t xml:space="preserve"> group was the same, both of which were 5mg/kg. </w:t>
      </w:r>
      <w:r>
        <w:rPr>
          <w:rFonts w:ascii="Times New Roman" w:hAnsi="Times New Roman" w:cs="Times New Roman"/>
          <w:color w:val="FF0000"/>
          <w:sz w:val="24"/>
          <w:szCs w:val="24"/>
        </w:rPr>
        <w:t xml:space="preserve">Ultimately, the serum and urine of mice were collected to detect biochemical parameters, such as urea nitrogen (BUN), creatinine (CRE), alanine aminotransferase (ALT), aspartate transaminase (AST), creatine kinase (CK), alkaline phosphatase (ALP) and urinary protein (UP). </w:t>
      </w:r>
      <w:r>
        <w:rPr>
          <w:rFonts w:ascii="Times New Roman" w:hAnsi="Times New Roman" w:cs="Times New Roman"/>
          <w:sz w:val="24"/>
          <w:szCs w:val="24"/>
        </w:rPr>
        <w:t>The major organs were fixed in 4% paraformaldehyde for hematoxylin and eosin (H&amp;E) staining and terminal deoxynucleotidyl transferase biotin-</w:t>
      </w:r>
      <w:proofErr w:type="spellStart"/>
      <w:r>
        <w:rPr>
          <w:rFonts w:ascii="Times New Roman" w:hAnsi="Times New Roman" w:cs="Times New Roman"/>
          <w:sz w:val="24"/>
          <w:szCs w:val="24"/>
        </w:rPr>
        <w:t>dUTP</w:t>
      </w:r>
      <w:proofErr w:type="spellEnd"/>
      <w:r>
        <w:rPr>
          <w:rFonts w:ascii="Times New Roman" w:hAnsi="Times New Roman" w:cs="Times New Roman"/>
          <w:sz w:val="24"/>
          <w:szCs w:val="24"/>
        </w:rPr>
        <w:t xml:space="preserve"> nick end labeling (TUNEL) assay. In addition, the in vivo toxicity tests were conducted via normal tissue sections and serum biochemistry analysis. After the in vivo therapeutic test, the mice were sacrificed, and blood and major organs were collected.</w:t>
      </w:r>
    </w:p>
    <w:p w14:paraId="3229AF84"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Renal tissues analysis after treatment: </w:t>
      </w:r>
      <w:r>
        <w:rPr>
          <w:rFonts w:ascii="Times New Roman" w:hAnsi="Times New Roman" w:cs="Times New Roman"/>
          <w:sz w:val="24"/>
          <w:szCs w:val="24"/>
        </w:rPr>
        <w:t>The mouse kidneys were frozen and stored in a refrigerator at-80 °C. Renal tissue homogenate is produced according to the requirements of different detection schemes. The levels of tumor necrosis factor-α (TNF-α), interleukin-6 (IL-6) as pro-inflammatory cytokines were measured using ELISA kits according to the protocol provided by the manufacturer (NOVUS, USA</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levels of SOD, MDA and GSH were measured using commercial kits according to the manufacturer's protocol (</w:t>
      </w:r>
      <w:proofErr w:type="spellStart"/>
      <w:r>
        <w:rPr>
          <w:rFonts w:ascii="Times New Roman" w:hAnsi="Times New Roman" w:cs="Times New Roman"/>
          <w:sz w:val="24"/>
          <w:szCs w:val="24"/>
        </w:rPr>
        <w:t>Beyotime</w:t>
      </w:r>
      <w:proofErr w:type="spellEnd"/>
      <w:r>
        <w:rPr>
          <w:rFonts w:ascii="Times New Roman" w:hAnsi="Times New Roman" w:cs="Times New Roman"/>
          <w:sz w:val="24"/>
          <w:szCs w:val="24"/>
        </w:rPr>
        <w:t xml:space="preserve"> Biotechnology, China).To detect the production of superoxide free radicals in the body. The renal tissue was prepared into frozen sections with a thickness of 5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 xml:space="preserve"> and incubated with 0.3% Triton </w:t>
      </w:r>
      <w:proofErr w:type="spellStart"/>
      <w:r>
        <w:rPr>
          <w:rFonts w:ascii="Times New Roman" w:hAnsi="Times New Roman" w:cs="Times New Roman"/>
          <w:sz w:val="24"/>
          <w:szCs w:val="24"/>
        </w:rPr>
        <w:t>Xmuri</w:t>
      </w:r>
      <w:proofErr w:type="spellEnd"/>
      <w:r>
        <w:rPr>
          <w:rFonts w:ascii="Times New Roman" w:hAnsi="Times New Roman" w:cs="Times New Roman"/>
          <w:sz w:val="24"/>
          <w:szCs w:val="24"/>
        </w:rPr>
        <w:t xml:space="preserve"> 100 at room temperature for 15 min. After the solution was removed, the slices were cut with Dihydroethidium (</w:t>
      </w:r>
      <w:proofErr w:type="spellStart"/>
      <w:r>
        <w:rPr>
          <w:rFonts w:ascii="Times New Roman" w:hAnsi="Times New Roman" w:cs="Times New Roman"/>
          <w:sz w:val="24"/>
          <w:szCs w:val="24"/>
        </w:rPr>
        <w:t>Beyotime</w:t>
      </w:r>
      <w:proofErr w:type="spellEnd"/>
      <w:r>
        <w:rPr>
          <w:rFonts w:ascii="Times New Roman" w:hAnsi="Times New Roman" w:cs="Times New Roman"/>
          <w:sz w:val="24"/>
          <w:szCs w:val="24"/>
        </w:rPr>
        <w:t xml:space="preserve"> Biotechnology, Shanghai) for 30 minutes. After washing PBS for three times, the tissue was incubated with DAPI (</w:t>
      </w:r>
      <w:proofErr w:type="spellStart"/>
      <w:r>
        <w:rPr>
          <w:rFonts w:ascii="Times New Roman" w:hAnsi="Times New Roman" w:cs="Times New Roman"/>
          <w:sz w:val="24"/>
          <w:szCs w:val="24"/>
        </w:rPr>
        <w:t>Beyotime</w:t>
      </w:r>
      <w:proofErr w:type="spellEnd"/>
      <w:r>
        <w:rPr>
          <w:rFonts w:ascii="Times New Roman" w:hAnsi="Times New Roman" w:cs="Times New Roman"/>
          <w:sz w:val="24"/>
          <w:szCs w:val="24"/>
        </w:rPr>
        <w:t xml:space="preserve"> Biotechnology, Shanghai), and the fluorescence was observed under fluorescence microscope.</w:t>
      </w:r>
    </w:p>
    <w:p w14:paraId="043F37CB"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Transcriptome analysis of AKI mice: </w:t>
      </w:r>
      <w:r>
        <w:rPr>
          <w:rFonts w:ascii="Times New Roman" w:hAnsi="Times New Roman" w:cs="Times New Roman"/>
          <w:sz w:val="24"/>
          <w:szCs w:val="24"/>
        </w:rPr>
        <w:t xml:space="preserve">BALB/c mice with AKI model were randomly divided into PBS injection group (control group, n =3) and PUA NPs injection group </w:t>
      </w:r>
      <w:r>
        <w:rPr>
          <w:rFonts w:ascii="Times New Roman" w:hAnsi="Times New Roman" w:cs="Times New Roman"/>
          <w:sz w:val="24"/>
          <w:szCs w:val="24"/>
        </w:rPr>
        <w:lastRenderedPageBreak/>
        <w:t>(experimental group, n =3). The mice were sacrificed 24 h after injection and the kidneys were collected. Kidney RNA purification, reverse transcription, library construction and sequencing were all conducted in BGI (Shenzhen, China).</w:t>
      </w:r>
    </w:p>
    <w:p w14:paraId="084C1C40" w14:textId="77777777" w:rsidR="00754F4B" w:rsidRDefault="00754F4B">
      <w:pPr>
        <w:spacing w:line="360" w:lineRule="auto"/>
        <w:rPr>
          <w:rFonts w:ascii="Times New Roman" w:hAnsi="Times New Roman" w:cs="Times New Roman"/>
          <w:sz w:val="24"/>
          <w:szCs w:val="24"/>
        </w:rPr>
      </w:pPr>
    </w:p>
    <w:p w14:paraId="6AE46AE3"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Statistical analysis:</w:t>
      </w:r>
      <w:r>
        <w:rPr>
          <w:rFonts w:ascii="Times New Roman" w:hAnsi="Times New Roman" w:cs="Times New Roman"/>
          <w:sz w:val="24"/>
          <w:szCs w:val="24"/>
        </w:rPr>
        <w:t xml:space="preserve"> The statistical analysis of data was conducted using SPSS software. Two groups were compared using the two-tailed Student’s t-test. One-way ANOVA was applied to analyze multiple groups. Significant difference was displayed as *</w:t>
      </w:r>
      <w:r>
        <w:rPr>
          <w:rFonts w:ascii="Times New Roman" w:hAnsi="Times New Roman" w:cs="Times New Roman"/>
          <w:i/>
          <w:iCs/>
          <w:sz w:val="24"/>
          <w:szCs w:val="24"/>
        </w:rPr>
        <w:t>p</w:t>
      </w:r>
      <w:r>
        <w:rPr>
          <w:rFonts w:ascii="Times New Roman" w:hAnsi="Times New Roman" w:cs="Times New Roman"/>
          <w:sz w:val="24"/>
          <w:szCs w:val="24"/>
        </w:rPr>
        <w:t xml:space="preserve"> ≤ 0.05, **</w:t>
      </w:r>
      <w:r>
        <w:rPr>
          <w:rFonts w:ascii="Times New Roman" w:hAnsi="Times New Roman" w:cs="Times New Roman"/>
          <w:i/>
          <w:iCs/>
          <w:sz w:val="24"/>
          <w:szCs w:val="24"/>
        </w:rPr>
        <w:t>p</w:t>
      </w:r>
      <w:r>
        <w:rPr>
          <w:rFonts w:ascii="Times New Roman" w:hAnsi="Times New Roman" w:cs="Times New Roman"/>
          <w:sz w:val="24"/>
          <w:szCs w:val="24"/>
        </w:rPr>
        <w:t xml:space="preserve"> &lt; 0.01, *** </w:t>
      </w:r>
      <w:r>
        <w:rPr>
          <w:rFonts w:ascii="Times New Roman" w:hAnsi="Times New Roman" w:cs="Times New Roman"/>
          <w:i/>
          <w:iCs/>
          <w:sz w:val="24"/>
          <w:szCs w:val="24"/>
        </w:rPr>
        <w:t>p</w:t>
      </w:r>
      <w:r>
        <w:rPr>
          <w:rFonts w:ascii="Times New Roman" w:hAnsi="Times New Roman" w:cs="Times New Roman"/>
          <w:sz w:val="24"/>
          <w:szCs w:val="24"/>
        </w:rPr>
        <w:t xml:space="preserve"> &lt; 0.001 or **** </w:t>
      </w:r>
      <w:r>
        <w:rPr>
          <w:rFonts w:ascii="Times New Roman" w:hAnsi="Times New Roman" w:cs="Times New Roman"/>
          <w:i/>
          <w:iCs/>
          <w:sz w:val="24"/>
          <w:szCs w:val="24"/>
        </w:rPr>
        <w:t>p</w:t>
      </w:r>
      <w:r>
        <w:rPr>
          <w:rFonts w:ascii="Times New Roman" w:hAnsi="Times New Roman" w:cs="Times New Roman"/>
          <w:sz w:val="24"/>
          <w:szCs w:val="24"/>
        </w:rPr>
        <w:t xml:space="preserve"> &lt; 0.0001.</w:t>
      </w:r>
    </w:p>
    <w:p w14:paraId="57E563AD" w14:textId="77777777" w:rsidR="00754F4B" w:rsidRDefault="00754F4B">
      <w:pPr>
        <w:spacing w:line="360" w:lineRule="auto"/>
        <w:rPr>
          <w:rFonts w:ascii="Times New Roman" w:hAnsi="Times New Roman" w:cs="Times New Roman"/>
          <w:sz w:val="24"/>
          <w:szCs w:val="24"/>
        </w:rPr>
      </w:pPr>
    </w:p>
    <w:p w14:paraId="162DBC31" w14:textId="77777777" w:rsidR="00754F4B" w:rsidRDefault="00754F4B">
      <w:pPr>
        <w:spacing w:line="360" w:lineRule="auto"/>
        <w:rPr>
          <w:rFonts w:ascii="Times New Roman" w:hAnsi="Times New Roman" w:cs="Times New Roman"/>
          <w:sz w:val="24"/>
          <w:szCs w:val="24"/>
        </w:rPr>
      </w:pPr>
    </w:p>
    <w:p w14:paraId="73995D31" w14:textId="77777777" w:rsidR="00754F4B" w:rsidRDefault="00754F4B">
      <w:pPr>
        <w:spacing w:line="360" w:lineRule="auto"/>
        <w:rPr>
          <w:rFonts w:ascii="Times New Roman" w:hAnsi="Times New Roman" w:cs="Times New Roman"/>
          <w:sz w:val="24"/>
          <w:szCs w:val="24"/>
        </w:rPr>
      </w:pPr>
    </w:p>
    <w:p w14:paraId="5D99263F" w14:textId="77777777" w:rsidR="00754F4B" w:rsidRDefault="00754F4B">
      <w:pPr>
        <w:spacing w:line="360" w:lineRule="auto"/>
        <w:rPr>
          <w:rFonts w:ascii="Times New Roman" w:hAnsi="Times New Roman" w:cs="Times New Roman"/>
          <w:sz w:val="24"/>
          <w:szCs w:val="24"/>
        </w:rPr>
      </w:pPr>
    </w:p>
    <w:p w14:paraId="575D2C0E" w14:textId="77777777" w:rsidR="00754F4B" w:rsidRDefault="00754F4B">
      <w:pPr>
        <w:spacing w:line="360" w:lineRule="auto"/>
        <w:rPr>
          <w:rFonts w:ascii="Times New Roman" w:hAnsi="Times New Roman" w:cs="Times New Roman"/>
          <w:sz w:val="24"/>
          <w:szCs w:val="24"/>
        </w:rPr>
      </w:pPr>
    </w:p>
    <w:p w14:paraId="2C7007E1" w14:textId="77777777" w:rsidR="00754F4B" w:rsidRDefault="00754F4B">
      <w:pPr>
        <w:spacing w:line="360" w:lineRule="auto"/>
        <w:rPr>
          <w:rFonts w:ascii="Times New Roman" w:hAnsi="Times New Roman" w:cs="Times New Roman"/>
          <w:sz w:val="24"/>
          <w:szCs w:val="24"/>
        </w:rPr>
      </w:pPr>
    </w:p>
    <w:p w14:paraId="60EB00B4" w14:textId="77777777" w:rsidR="00754F4B" w:rsidRDefault="00754F4B">
      <w:pPr>
        <w:spacing w:line="360" w:lineRule="auto"/>
        <w:rPr>
          <w:rFonts w:ascii="Times New Roman" w:hAnsi="Times New Roman" w:cs="Times New Roman"/>
          <w:sz w:val="24"/>
          <w:szCs w:val="24"/>
        </w:rPr>
      </w:pPr>
    </w:p>
    <w:p w14:paraId="3286DB8C" w14:textId="77777777" w:rsidR="00754F4B" w:rsidRDefault="00754F4B">
      <w:pPr>
        <w:spacing w:line="360" w:lineRule="auto"/>
        <w:rPr>
          <w:rFonts w:ascii="Times New Roman" w:hAnsi="Times New Roman" w:cs="Times New Roman"/>
          <w:sz w:val="24"/>
          <w:szCs w:val="24"/>
        </w:rPr>
      </w:pPr>
    </w:p>
    <w:p w14:paraId="7AA161BF" w14:textId="77777777" w:rsidR="00754F4B" w:rsidRDefault="00754F4B">
      <w:pPr>
        <w:spacing w:line="360" w:lineRule="auto"/>
        <w:rPr>
          <w:rFonts w:ascii="Times New Roman" w:hAnsi="Times New Roman" w:cs="Times New Roman"/>
          <w:sz w:val="24"/>
          <w:szCs w:val="24"/>
        </w:rPr>
      </w:pPr>
    </w:p>
    <w:p w14:paraId="1C2FDF10" w14:textId="77777777" w:rsidR="00754F4B" w:rsidRDefault="00754F4B">
      <w:pPr>
        <w:spacing w:line="360" w:lineRule="auto"/>
        <w:rPr>
          <w:rFonts w:ascii="Times New Roman" w:hAnsi="Times New Roman" w:cs="Times New Roman"/>
          <w:sz w:val="24"/>
          <w:szCs w:val="24"/>
        </w:rPr>
      </w:pPr>
    </w:p>
    <w:p w14:paraId="738D3A42" w14:textId="77777777" w:rsidR="00754F4B" w:rsidRDefault="00754F4B">
      <w:pPr>
        <w:spacing w:line="360" w:lineRule="auto"/>
        <w:rPr>
          <w:rFonts w:ascii="Times New Roman" w:hAnsi="Times New Roman" w:cs="Times New Roman"/>
          <w:sz w:val="24"/>
          <w:szCs w:val="24"/>
        </w:rPr>
      </w:pPr>
    </w:p>
    <w:p w14:paraId="0C00E0D4" w14:textId="77777777" w:rsidR="00754F4B" w:rsidRDefault="00754F4B">
      <w:pPr>
        <w:spacing w:line="360" w:lineRule="auto"/>
        <w:rPr>
          <w:rFonts w:ascii="Times New Roman" w:hAnsi="Times New Roman" w:cs="Times New Roman"/>
          <w:sz w:val="24"/>
          <w:szCs w:val="24"/>
        </w:rPr>
      </w:pPr>
    </w:p>
    <w:p w14:paraId="18BDD965" w14:textId="77777777" w:rsidR="00754F4B" w:rsidRDefault="00754F4B">
      <w:pPr>
        <w:spacing w:line="360" w:lineRule="auto"/>
        <w:rPr>
          <w:rFonts w:ascii="Times New Roman" w:hAnsi="Times New Roman" w:cs="Times New Roman"/>
          <w:sz w:val="24"/>
          <w:szCs w:val="24"/>
        </w:rPr>
      </w:pPr>
    </w:p>
    <w:p w14:paraId="4649A9E5" w14:textId="77777777" w:rsidR="00754F4B" w:rsidRDefault="00754F4B">
      <w:pPr>
        <w:spacing w:line="360" w:lineRule="auto"/>
        <w:rPr>
          <w:rFonts w:ascii="Times New Roman" w:hAnsi="Times New Roman" w:cs="Times New Roman"/>
          <w:sz w:val="24"/>
          <w:szCs w:val="24"/>
        </w:rPr>
      </w:pPr>
    </w:p>
    <w:p w14:paraId="1307847F" w14:textId="77777777" w:rsidR="00754F4B" w:rsidRDefault="00754F4B">
      <w:pPr>
        <w:spacing w:line="360" w:lineRule="auto"/>
        <w:rPr>
          <w:rFonts w:ascii="Times New Roman" w:hAnsi="Times New Roman" w:cs="Times New Roman"/>
          <w:sz w:val="24"/>
          <w:szCs w:val="24"/>
        </w:rPr>
      </w:pPr>
    </w:p>
    <w:p w14:paraId="2272A87F" w14:textId="77777777" w:rsidR="00754F4B" w:rsidRDefault="00754F4B">
      <w:pPr>
        <w:spacing w:line="360" w:lineRule="auto"/>
        <w:rPr>
          <w:rFonts w:ascii="Times New Roman" w:hAnsi="Times New Roman" w:cs="Times New Roman"/>
          <w:sz w:val="24"/>
          <w:szCs w:val="24"/>
        </w:rPr>
      </w:pPr>
    </w:p>
    <w:p w14:paraId="23B6D7FF" w14:textId="77777777" w:rsidR="00754F4B" w:rsidRDefault="00754F4B">
      <w:pPr>
        <w:spacing w:line="360" w:lineRule="auto"/>
        <w:rPr>
          <w:rFonts w:ascii="Times New Roman" w:hAnsi="Times New Roman" w:cs="Times New Roman"/>
          <w:sz w:val="24"/>
          <w:szCs w:val="24"/>
        </w:rPr>
      </w:pPr>
    </w:p>
    <w:p w14:paraId="38890C88" w14:textId="77777777" w:rsidR="00754F4B" w:rsidRDefault="00754F4B">
      <w:pPr>
        <w:spacing w:line="360" w:lineRule="auto"/>
        <w:rPr>
          <w:rFonts w:ascii="Times New Roman" w:hAnsi="Times New Roman" w:cs="Times New Roman"/>
          <w:sz w:val="24"/>
          <w:szCs w:val="24"/>
        </w:rPr>
      </w:pPr>
    </w:p>
    <w:p w14:paraId="7CB28E66" w14:textId="77777777" w:rsidR="00754F4B" w:rsidRDefault="00754F4B">
      <w:pPr>
        <w:spacing w:line="360" w:lineRule="auto"/>
        <w:rPr>
          <w:rFonts w:ascii="Times New Roman" w:hAnsi="Times New Roman" w:cs="Times New Roman"/>
          <w:sz w:val="24"/>
          <w:szCs w:val="24"/>
        </w:rPr>
      </w:pPr>
    </w:p>
    <w:p w14:paraId="690DECD1" w14:textId="77777777" w:rsidR="00754F4B" w:rsidRDefault="00754F4B">
      <w:pPr>
        <w:spacing w:line="360" w:lineRule="auto"/>
        <w:rPr>
          <w:rFonts w:ascii="Times New Roman" w:hAnsi="Times New Roman" w:cs="Times New Roman"/>
          <w:sz w:val="24"/>
          <w:szCs w:val="24"/>
        </w:rPr>
      </w:pPr>
    </w:p>
    <w:p w14:paraId="5643013D" w14:textId="77777777" w:rsidR="00754F4B" w:rsidRDefault="00754F4B">
      <w:pPr>
        <w:spacing w:line="360" w:lineRule="auto"/>
        <w:rPr>
          <w:rFonts w:ascii="Times New Roman" w:hAnsi="Times New Roman" w:cs="Times New Roman"/>
          <w:sz w:val="24"/>
          <w:szCs w:val="24"/>
        </w:rPr>
      </w:pPr>
    </w:p>
    <w:p w14:paraId="63936FE7" w14:textId="77777777" w:rsidR="00754F4B" w:rsidRDefault="00754F4B">
      <w:pPr>
        <w:spacing w:line="360" w:lineRule="auto"/>
        <w:rPr>
          <w:rFonts w:ascii="Times New Roman" w:hAnsi="Times New Roman" w:cs="Times New Roman"/>
          <w:sz w:val="24"/>
          <w:szCs w:val="24"/>
        </w:rPr>
      </w:pPr>
    </w:p>
    <w:p w14:paraId="2A38DC97"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Table S1. Molecular weight information of PUA polymer</w:t>
      </w:r>
    </w:p>
    <w:tbl>
      <w:tblPr>
        <w:tblStyle w:val="ac"/>
        <w:tblW w:w="0" w:type="auto"/>
        <w:tblLook w:val="04A0" w:firstRow="1" w:lastRow="0" w:firstColumn="1" w:lastColumn="0" w:noHBand="0" w:noVBand="1"/>
      </w:tblPr>
      <w:tblGrid>
        <w:gridCol w:w="1704"/>
        <w:gridCol w:w="1704"/>
        <w:gridCol w:w="1704"/>
        <w:gridCol w:w="1705"/>
        <w:gridCol w:w="1705"/>
      </w:tblGrid>
      <w:tr w:rsidR="00754F4B" w14:paraId="4E59011F" w14:textId="77777777">
        <w:tc>
          <w:tcPr>
            <w:tcW w:w="1704" w:type="dxa"/>
            <w:tcBorders>
              <w:top w:val="single" w:sz="4" w:space="0" w:color="auto"/>
              <w:left w:val="nil"/>
              <w:bottom w:val="single" w:sz="4" w:space="0" w:color="auto"/>
              <w:right w:val="nil"/>
            </w:tcBorders>
          </w:tcPr>
          <w:p w14:paraId="6273675E"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Polymer</w:t>
            </w:r>
          </w:p>
        </w:tc>
        <w:tc>
          <w:tcPr>
            <w:tcW w:w="1704" w:type="dxa"/>
            <w:tcBorders>
              <w:top w:val="single" w:sz="4" w:space="0" w:color="auto"/>
              <w:left w:val="nil"/>
              <w:bottom w:val="single" w:sz="4" w:space="0" w:color="auto"/>
              <w:right w:val="nil"/>
            </w:tcBorders>
          </w:tcPr>
          <w:p w14:paraId="00516B2D"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Mn  </w:t>
            </w:r>
          </w:p>
        </w:tc>
        <w:tc>
          <w:tcPr>
            <w:tcW w:w="1704" w:type="dxa"/>
            <w:tcBorders>
              <w:top w:val="single" w:sz="4" w:space="0" w:color="auto"/>
              <w:left w:val="nil"/>
              <w:bottom w:val="single" w:sz="4" w:space="0" w:color="auto"/>
              <w:right w:val="nil"/>
            </w:tcBorders>
          </w:tcPr>
          <w:p w14:paraId="4E8951A6"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Mw           </w:t>
            </w:r>
          </w:p>
        </w:tc>
        <w:tc>
          <w:tcPr>
            <w:tcW w:w="1705" w:type="dxa"/>
            <w:tcBorders>
              <w:top w:val="single" w:sz="4" w:space="0" w:color="auto"/>
              <w:left w:val="nil"/>
              <w:bottom w:val="single" w:sz="4" w:space="0" w:color="auto"/>
              <w:right w:val="nil"/>
            </w:tcBorders>
          </w:tcPr>
          <w:p w14:paraId="050E1EE8" w14:textId="77777777" w:rsidR="00754F4B" w:rsidRDefault="00000000">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Mz</w:t>
            </w:r>
            <w:proofErr w:type="spellEnd"/>
            <w:r>
              <w:rPr>
                <w:rFonts w:ascii="Times New Roman" w:hAnsi="Times New Roman" w:cs="Times New Roman"/>
                <w:sz w:val="24"/>
                <w:szCs w:val="24"/>
              </w:rPr>
              <w:t xml:space="preserve"> </w:t>
            </w:r>
          </w:p>
        </w:tc>
        <w:tc>
          <w:tcPr>
            <w:tcW w:w="1705" w:type="dxa"/>
            <w:tcBorders>
              <w:top w:val="single" w:sz="4" w:space="0" w:color="auto"/>
              <w:left w:val="nil"/>
              <w:bottom w:val="single" w:sz="4" w:space="0" w:color="auto"/>
              <w:right w:val="nil"/>
            </w:tcBorders>
          </w:tcPr>
          <w:p w14:paraId="09C464BB"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 PDI</w:t>
            </w:r>
          </w:p>
        </w:tc>
      </w:tr>
      <w:tr w:rsidR="00754F4B" w14:paraId="7B1F0676" w14:textId="77777777">
        <w:tc>
          <w:tcPr>
            <w:tcW w:w="1704" w:type="dxa"/>
            <w:tcBorders>
              <w:top w:val="single" w:sz="4" w:space="0" w:color="auto"/>
              <w:left w:val="nil"/>
              <w:bottom w:val="single" w:sz="4" w:space="0" w:color="auto"/>
              <w:right w:val="nil"/>
            </w:tcBorders>
          </w:tcPr>
          <w:p w14:paraId="478CDC07"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PUA</w:t>
            </w:r>
          </w:p>
        </w:tc>
        <w:tc>
          <w:tcPr>
            <w:tcW w:w="1704" w:type="dxa"/>
            <w:tcBorders>
              <w:top w:val="single" w:sz="4" w:space="0" w:color="auto"/>
              <w:left w:val="nil"/>
              <w:bottom w:val="single" w:sz="4" w:space="0" w:color="auto"/>
              <w:right w:val="nil"/>
            </w:tcBorders>
          </w:tcPr>
          <w:p w14:paraId="01E1C340"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2453 </w:t>
            </w:r>
          </w:p>
        </w:tc>
        <w:tc>
          <w:tcPr>
            <w:tcW w:w="1704" w:type="dxa"/>
            <w:tcBorders>
              <w:top w:val="single" w:sz="4" w:space="0" w:color="auto"/>
              <w:left w:val="nil"/>
              <w:bottom w:val="single" w:sz="4" w:space="0" w:color="auto"/>
              <w:right w:val="nil"/>
            </w:tcBorders>
          </w:tcPr>
          <w:p w14:paraId="4D0C2566"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2457          </w:t>
            </w:r>
          </w:p>
        </w:tc>
        <w:tc>
          <w:tcPr>
            <w:tcW w:w="1705" w:type="dxa"/>
            <w:tcBorders>
              <w:top w:val="single" w:sz="4" w:space="0" w:color="auto"/>
              <w:left w:val="nil"/>
              <w:bottom w:val="single" w:sz="4" w:space="0" w:color="auto"/>
              <w:right w:val="nil"/>
            </w:tcBorders>
          </w:tcPr>
          <w:p w14:paraId="660387E8"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2461  </w:t>
            </w:r>
          </w:p>
        </w:tc>
        <w:tc>
          <w:tcPr>
            <w:tcW w:w="1705" w:type="dxa"/>
            <w:tcBorders>
              <w:top w:val="single" w:sz="4" w:space="0" w:color="auto"/>
              <w:left w:val="nil"/>
              <w:bottom w:val="single" w:sz="4" w:space="0" w:color="auto"/>
              <w:right w:val="nil"/>
            </w:tcBorders>
          </w:tcPr>
          <w:p w14:paraId="3081B58F"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1.00</w:t>
            </w:r>
          </w:p>
        </w:tc>
      </w:tr>
    </w:tbl>
    <w:p w14:paraId="7047E310" w14:textId="77777777" w:rsidR="00754F4B" w:rsidRDefault="00754F4B">
      <w:pPr>
        <w:spacing w:line="360" w:lineRule="auto"/>
        <w:rPr>
          <w:rFonts w:ascii="Times New Roman" w:hAnsi="Times New Roman" w:cs="Times New Roman"/>
          <w:sz w:val="24"/>
          <w:szCs w:val="24"/>
        </w:rPr>
      </w:pPr>
    </w:p>
    <w:p w14:paraId="10DEC2F1" w14:textId="77777777" w:rsidR="00754F4B" w:rsidRDefault="00754F4B">
      <w:pPr>
        <w:spacing w:line="360" w:lineRule="auto"/>
        <w:rPr>
          <w:rFonts w:ascii="Times New Roman" w:hAnsi="Times New Roman" w:cs="Times New Roman"/>
          <w:sz w:val="24"/>
          <w:szCs w:val="24"/>
        </w:rPr>
      </w:pPr>
    </w:p>
    <w:p w14:paraId="4CE96134"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Table S2. The influence of drug/carrier ratio on DLC and DLE of PUA </w:t>
      </w:r>
      <w:proofErr w:type="spellStart"/>
      <w:r>
        <w:rPr>
          <w:rFonts w:ascii="Times New Roman" w:hAnsi="Times New Roman" w:cs="Times New Roman"/>
          <w:sz w:val="24"/>
          <w:szCs w:val="24"/>
        </w:rPr>
        <w:t>NPs@RES</w:t>
      </w:r>
      <w:proofErr w:type="spellEnd"/>
    </w:p>
    <w:tbl>
      <w:tblPr>
        <w:tblStyle w:val="ac"/>
        <w:tblW w:w="0" w:type="auto"/>
        <w:tblLook w:val="04A0" w:firstRow="1" w:lastRow="0" w:firstColumn="1" w:lastColumn="0" w:noHBand="0" w:noVBand="1"/>
      </w:tblPr>
      <w:tblGrid>
        <w:gridCol w:w="1704"/>
        <w:gridCol w:w="1704"/>
        <w:gridCol w:w="1704"/>
        <w:gridCol w:w="1705"/>
        <w:gridCol w:w="1705"/>
      </w:tblGrid>
      <w:tr w:rsidR="00754F4B" w14:paraId="1A3239CD" w14:textId="77777777">
        <w:tc>
          <w:tcPr>
            <w:tcW w:w="1704" w:type="dxa"/>
            <w:tcBorders>
              <w:top w:val="single" w:sz="4" w:space="0" w:color="auto"/>
              <w:left w:val="nil"/>
              <w:bottom w:val="single" w:sz="4" w:space="0" w:color="auto"/>
              <w:right w:val="nil"/>
            </w:tcBorders>
          </w:tcPr>
          <w:p w14:paraId="3042F6F0"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Ratio</w:t>
            </w:r>
          </w:p>
        </w:tc>
        <w:tc>
          <w:tcPr>
            <w:tcW w:w="1704" w:type="dxa"/>
            <w:tcBorders>
              <w:top w:val="single" w:sz="4" w:space="0" w:color="auto"/>
              <w:left w:val="nil"/>
              <w:bottom w:val="single" w:sz="4" w:space="0" w:color="auto"/>
              <w:right w:val="nil"/>
            </w:tcBorders>
          </w:tcPr>
          <w:p w14:paraId="14081002"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 xml:space="preserve">3  </w:t>
            </w:r>
          </w:p>
        </w:tc>
        <w:tc>
          <w:tcPr>
            <w:tcW w:w="1704" w:type="dxa"/>
            <w:tcBorders>
              <w:top w:val="single" w:sz="4" w:space="0" w:color="auto"/>
              <w:left w:val="nil"/>
              <w:bottom w:val="single" w:sz="4" w:space="0" w:color="auto"/>
              <w:right w:val="nil"/>
            </w:tcBorders>
          </w:tcPr>
          <w:p w14:paraId="145AE6C2"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 xml:space="preserve">5           </w:t>
            </w:r>
          </w:p>
        </w:tc>
        <w:tc>
          <w:tcPr>
            <w:tcW w:w="1705" w:type="dxa"/>
            <w:tcBorders>
              <w:top w:val="single" w:sz="4" w:space="0" w:color="auto"/>
              <w:left w:val="nil"/>
              <w:bottom w:val="single" w:sz="4" w:space="0" w:color="auto"/>
              <w:right w:val="nil"/>
            </w:tcBorders>
          </w:tcPr>
          <w:p w14:paraId="7E5365A2"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7</w:t>
            </w:r>
          </w:p>
        </w:tc>
        <w:tc>
          <w:tcPr>
            <w:tcW w:w="1705" w:type="dxa"/>
            <w:tcBorders>
              <w:top w:val="single" w:sz="4" w:space="0" w:color="auto"/>
              <w:left w:val="nil"/>
              <w:bottom w:val="single" w:sz="4" w:space="0" w:color="auto"/>
              <w:right w:val="nil"/>
            </w:tcBorders>
          </w:tcPr>
          <w:p w14:paraId="606EEACA"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 1</w:t>
            </w:r>
            <w:r>
              <w:rPr>
                <w:rFonts w:ascii="Times New Roman" w:hAnsi="Times New Roman" w:cs="Times New Roman"/>
                <w:sz w:val="24"/>
                <w:szCs w:val="24"/>
              </w:rPr>
              <w:t>：</w:t>
            </w:r>
            <w:r>
              <w:rPr>
                <w:rFonts w:ascii="Times New Roman" w:hAnsi="Times New Roman" w:cs="Times New Roman"/>
                <w:sz w:val="24"/>
                <w:szCs w:val="24"/>
              </w:rPr>
              <w:t>9</w:t>
            </w:r>
          </w:p>
        </w:tc>
      </w:tr>
      <w:tr w:rsidR="00754F4B" w14:paraId="56E9C979" w14:textId="77777777">
        <w:tc>
          <w:tcPr>
            <w:tcW w:w="1704" w:type="dxa"/>
            <w:tcBorders>
              <w:top w:val="single" w:sz="4" w:space="0" w:color="auto"/>
              <w:left w:val="nil"/>
              <w:bottom w:val="nil"/>
              <w:right w:val="nil"/>
            </w:tcBorders>
          </w:tcPr>
          <w:p w14:paraId="13E02EF7"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DLC (%)</w:t>
            </w:r>
          </w:p>
        </w:tc>
        <w:tc>
          <w:tcPr>
            <w:tcW w:w="1704" w:type="dxa"/>
            <w:tcBorders>
              <w:top w:val="single" w:sz="4" w:space="0" w:color="auto"/>
              <w:left w:val="nil"/>
              <w:bottom w:val="nil"/>
              <w:right w:val="nil"/>
            </w:tcBorders>
          </w:tcPr>
          <w:p w14:paraId="1A7663C5"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3.84±0.04</w:t>
            </w:r>
          </w:p>
        </w:tc>
        <w:tc>
          <w:tcPr>
            <w:tcW w:w="1704" w:type="dxa"/>
            <w:tcBorders>
              <w:top w:val="single" w:sz="4" w:space="0" w:color="auto"/>
              <w:left w:val="nil"/>
              <w:bottom w:val="nil"/>
              <w:right w:val="nil"/>
            </w:tcBorders>
          </w:tcPr>
          <w:p w14:paraId="4ADE2C38"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2.94±0.02         </w:t>
            </w:r>
          </w:p>
        </w:tc>
        <w:tc>
          <w:tcPr>
            <w:tcW w:w="1705" w:type="dxa"/>
            <w:tcBorders>
              <w:top w:val="single" w:sz="4" w:space="0" w:color="auto"/>
              <w:left w:val="nil"/>
              <w:bottom w:val="nil"/>
              <w:right w:val="nil"/>
            </w:tcBorders>
          </w:tcPr>
          <w:p w14:paraId="48534E43"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1.95±0.03 </w:t>
            </w:r>
          </w:p>
        </w:tc>
        <w:tc>
          <w:tcPr>
            <w:tcW w:w="1705" w:type="dxa"/>
            <w:tcBorders>
              <w:top w:val="single" w:sz="4" w:space="0" w:color="auto"/>
              <w:left w:val="nil"/>
              <w:bottom w:val="nil"/>
              <w:right w:val="nil"/>
            </w:tcBorders>
          </w:tcPr>
          <w:p w14:paraId="3EEE4C16"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1.91±0.06</w:t>
            </w:r>
          </w:p>
        </w:tc>
      </w:tr>
      <w:tr w:rsidR="00754F4B" w14:paraId="101195CE" w14:textId="77777777">
        <w:tc>
          <w:tcPr>
            <w:tcW w:w="1704" w:type="dxa"/>
            <w:tcBorders>
              <w:top w:val="nil"/>
              <w:left w:val="nil"/>
              <w:bottom w:val="single" w:sz="4" w:space="0" w:color="auto"/>
              <w:right w:val="nil"/>
            </w:tcBorders>
          </w:tcPr>
          <w:p w14:paraId="61E30CDC"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DLE (%)</w:t>
            </w:r>
          </w:p>
        </w:tc>
        <w:tc>
          <w:tcPr>
            <w:tcW w:w="1704" w:type="dxa"/>
            <w:tcBorders>
              <w:top w:val="nil"/>
              <w:left w:val="nil"/>
              <w:bottom w:val="single" w:sz="4" w:space="0" w:color="auto"/>
              <w:right w:val="nil"/>
            </w:tcBorders>
          </w:tcPr>
          <w:p w14:paraId="5E712EF5"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15.37±0.18</w:t>
            </w:r>
          </w:p>
        </w:tc>
        <w:tc>
          <w:tcPr>
            <w:tcW w:w="1704" w:type="dxa"/>
            <w:tcBorders>
              <w:top w:val="nil"/>
              <w:left w:val="nil"/>
              <w:bottom w:val="single" w:sz="4" w:space="0" w:color="auto"/>
              <w:right w:val="nil"/>
            </w:tcBorders>
          </w:tcPr>
          <w:p w14:paraId="37236171"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17.71±0.17 </w:t>
            </w:r>
          </w:p>
        </w:tc>
        <w:tc>
          <w:tcPr>
            <w:tcW w:w="1705" w:type="dxa"/>
            <w:tcBorders>
              <w:top w:val="nil"/>
              <w:left w:val="nil"/>
              <w:bottom w:val="single" w:sz="4" w:space="0" w:color="auto"/>
              <w:right w:val="nil"/>
            </w:tcBorders>
          </w:tcPr>
          <w:p w14:paraId="635E103A"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 xml:space="preserve">15.63±0.2 </w:t>
            </w:r>
          </w:p>
        </w:tc>
        <w:tc>
          <w:tcPr>
            <w:tcW w:w="1705" w:type="dxa"/>
            <w:tcBorders>
              <w:top w:val="nil"/>
              <w:left w:val="nil"/>
              <w:bottom w:val="single" w:sz="4" w:space="0" w:color="auto"/>
              <w:right w:val="nil"/>
            </w:tcBorders>
          </w:tcPr>
          <w:p w14:paraId="2AA17BA8"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19.06±0.60</w:t>
            </w:r>
          </w:p>
        </w:tc>
      </w:tr>
    </w:tbl>
    <w:p w14:paraId="0DACB50A"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DLC:</w:t>
      </w:r>
      <w:r>
        <w:rPr>
          <w:rFonts w:ascii="Times New Roman" w:hAnsi="Times New Roman" w:cs="Times New Roman"/>
          <w:color w:val="CC0000"/>
          <w:szCs w:val="21"/>
          <w:shd w:val="clear" w:color="auto" w:fill="FFFFFF"/>
        </w:rPr>
        <w:t xml:space="preserve"> </w:t>
      </w:r>
      <w:r>
        <w:rPr>
          <w:rFonts w:ascii="Times New Roman" w:hAnsi="Times New Roman" w:cs="Times New Roman"/>
          <w:sz w:val="24"/>
          <w:szCs w:val="24"/>
        </w:rPr>
        <w:t xml:space="preserve">drug-loading capacity. </w:t>
      </w:r>
    </w:p>
    <w:p w14:paraId="35A9F2C3" w14:textId="77777777" w:rsidR="00754F4B"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DLE:</w:t>
      </w:r>
      <w:r>
        <w:rPr>
          <w:rFonts w:ascii="Times New Roman" w:hAnsi="Times New Roman" w:cs="Times New Roman"/>
        </w:rPr>
        <w:t xml:space="preserve"> </w:t>
      </w:r>
      <w:r>
        <w:rPr>
          <w:rFonts w:ascii="Times New Roman" w:hAnsi="Times New Roman" w:cs="Times New Roman"/>
          <w:sz w:val="24"/>
          <w:szCs w:val="24"/>
        </w:rPr>
        <w:t>drug-loading efficiency.</w:t>
      </w:r>
    </w:p>
    <w:p w14:paraId="53D2EA2C" w14:textId="77777777" w:rsidR="00754F4B" w:rsidRDefault="00754F4B">
      <w:pPr>
        <w:spacing w:line="360" w:lineRule="auto"/>
        <w:rPr>
          <w:rFonts w:ascii="Times New Roman" w:hAnsi="Times New Roman" w:cs="Times New Roman"/>
          <w:sz w:val="24"/>
          <w:szCs w:val="24"/>
        </w:rPr>
      </w:pPr>
    </w:p>
    <w:p w14:paraId="5D6E70D3" w14:textId="77777777" w:rsidR="00754F4B" w:rsidRDefault="00754F4B">
      <w:pPr>
        <w:spacing w:line="360" w:lineRule="auto"/>
        <w:rPr>
          <w:rFonts w:ascii="Times New Roman" w:hAnsi="Times New Roman" w:cs="Times New Roman"/>
          <w:sz w:val="24"/>
          <w:szCs w:val="24"/>
        </w:rPr>
      </w:pPr>
    </w:p>
    <w:p w14:paraId="70EB3C7F" w14:textId="77777777" w:rsidR="00754F4B" w:rsidRDefault="00754F4B">
      <w:pPr>
        <w:spacing w:line="360" w:lineRule="auto"/>
        <w:rPr>
          <w:rFonts w:ascii="Times New Roman" w:hAnsi="Times New Roman" w:cs="Times New Roman"/>
          <w:sz w:val="24"/>
          <w:szCs w:val="24"/>
        </w:rPr>
      </w:pPr>
    </w:p>
    <w:p w14:paraId="0B7CB8EB" w14:textId="77777777" w:rsidR="00754F4B" w:rsidRDefault="00754F4B">
      <w:pPr>
        <w:spacing w:line="360" w:lineRule="auto"/>
        <w:rPr>
          <w:rFonts w:ascii="Times New Roman" w:hAnsi="Times New Roman" w:cs="Times New Roman"/>
          <w:sz w:val="24"/>
          <w:szCs w:val="24"/>
        </w:rPr>
      </w:pPr>
    </w:p>
    <w:p w14:paraId="4ACECEAF" w14:textId="77777777" w:rsidR="00754F4B" w:rsidRDefault="00754F4B">
      <w:pPr>
        <w:spacing w:line="360" w:lineRule="auto"/>
        <w:rPr>
          <w:rFonts w:ascii="Times New Roman" w:hAnsi="Times New Roman" w:cs="Times New Roman"/>
          <w:sz w:val="24"/>
          <w:szCs w:val="24"/>
        </w:rPr>
      </w:pPr>
    </w:p>
    <w:p w14:paraId="7ADBFC11" w14:textId="77777777" w:rsidR="00754F4B" w:rsidRDefault="00754F4B">
      <w:pPr>
        <w:spacing w:line="360" w:lineRule="auto"/>
        <w:rPr>
          <w:rFonts w:ascii="Times New Roman" w:hAnsi="Times New Roman" w:cs="Times New Roman"/>
          <w:sz w:val="24"/>
          <w:szCs w:val="24"/>
        </w:rPr>
      </w:pPr>
    </w:p>
    <w:p w14:paraId="646218FA" w14:textId="77777777" w:rsidR="00754F4B" w:rsidRDefault="00754F4B">
      <w:pPr>
        <w:spacing w:line="360" w:lineRule="auto"/>
        <w:rPr>
          <w:rFonts w:ascii="Times New Roman" w:hAnsi="Times New Roman" w:cs="Times New Roman"/>
          <w:sz w:val="24"/>
          <w:szCs w:val="24"/>
        </w:rPr>
      </w:pPr>
    </w:p>
    <w:p w14:paraId="226511F4" w14:textId="77777777" w:rsidR="00754F4B" w:rsidRDefault="0000000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2418917" wp14:editId="4734F685">
            <wp:extent cx="5039995" cy="3582035"/>
            <wp:effectExtent l="0" t="0" r="8255"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4">
                      <a:extLst>
                        <a:ext uri="{BEBA8EAE-BF5A-486C-A8C5-ECC9F3942E4B}">
                          <a14:imgProps xmlns:a14="http://schemas.microsoft.com/office/drawing/2010/main">
                            <a14:imgLayer r:embed="rId5">
                              <a14:imgEffect>
                                <a14:sharpenSoften amount="25000"/>
                              </a14:imgEffect>
                            </a14:imgLayer>
                          </a14:imgProps>
                        </a:ext>
                      </a:extLst>
                    </a:blip>
                    <a:stretch>
                      <a:fillRect/>
                    </a:stretch>
                  </pic:blipFill>
                  <pic:spPr>
                    <a:xfrm>
                      <a:off x="0" y="0"/>
                      <a:ext cx="5040000" cy="3582228"/>
                    </a:xfrm>
                    <a:prstGeom prst="rect">
                      <a:avLst/>
                    </a:prstGeom>
                  </pic:spPr>
                </pic:pic>
              </a:graphicData>
            </a:graphic>
          </wp:inline>
        </w:drawing>
      </w:r>
    </w:p>
    <w:p w14:paraId="1A6E7D08" w14:textId="77777777" w:rsidR="00754F4B" w:rsidRDefault="00000000">
      <w:pPr>
        <w:spacing w:line="360" w:lineRule="auto"/>
        <w:jc w:val="center"/>
        <w:rPr>
          <w:rFonts w:ascii="Times New Roman" w:hAnsi="Times New Roman" w:cs="Times New Roman"/>
          <w:color w:val="FF0000"/>
          <w:sz w:val="24"/>
          <w:szCs w:val="24"/>
        </w:rPr>
      </w:pPr>
      <w:r>
        <w:rPr>
          <w:rFonts w:ascii="Times New Roman" w:hAnsi="Times New Roman" w:cs="Times New Roman"/>
          <w:b/>
          <w:bCs/>
          <w:color w:val="FF0000"/>
          <w:sz w:val="24"/>
          <w:szCs w:val="24"/>
        </w:rPr>
        <w:t>Fig. S1</w:t>
      </w:r>
      <w:r>
        <w:rPr>
          <w:rFonts w:ascii="Times New Roman" w:hAnsi="Times New Roman" w:cs="Times New Roman"/>
          <w:color w:val="FF0000"/>
          <w:sz w:val="24"/>
          <w:szCs w:val="24"/>
        </w:rPr>
        <w:t xml:space="preserve"> </w:t>
      </w:r>
      <w:r>
        <w:rPr>
          <w:rFonts w:ascii="Times New Roman" w:hAnsi="Times New Roman" w:cs="Times New Roman"/>
          <w:color w:val="FF0000"/>
          <w:sz w:val="24"/>
          <w:szCs w:val="24"/>
          <w:vertAlign w:val="superscript"/>
        </w:rPr>
        <w:t>1</w:t>
      </w:r>
      <w:r>
        <w:rPr>
          <w:rFonts w:ascii="Times New Roman" w:hAnsi="Times New Roman" w:cs="Times New Roman"/>
          <w:color w:val="FF0000"/>
          <w:sz w:val="24"/>
          <w:szCs w:val="24"/>
        </w:rPr>
        <w:t>H-NMR spectra of UA in DMSO-d6.</w:t>
      </w:r>
    </w:p>
    <w:p w14:paraId="1BBF6903" w14:textId="77777777" w:rsidR="00754F4B" w:rsidRDefault="00754F4B">
      <w:pPr>
        <w:spacing w:line="360" w:lineRule="auto"/>
        <w:rPr>
          <w:rFonts w:ascii="Times New Roman" w:hAnsi="Times New Roman" w:cs="Times New Roman"/>
          <w:sz w:val="24"/>
          <w:szCs w:val="24"/>
        </w:rPr>
      </w:pPr>
    </w:p>
    <w:p w14:paraId="192C480C" w14:textId="77777777" w:rsidR="00754F4B" w:rsidRDefault="00754F4B">
      <w:pPr>
        <w:spacing w:line="360" w:lineRule="auto"/>
        <w:rPr>
          <w:rFonts w:ascii="Times New Roman" w:hAnsi="Times New Roman" w:cs="Times New Roman"/>
          <w:sz w:val="24"/>
          <w:szCs w:val="24"/>
        </w:rPr>
      </w:pPr>
    </w:p>
    <w:p w14:paraId="52D4B16D" w14:textId="77777777" w:rsidR="00754F4B" w:rsidRDefault="00000000">
      <w:pPr>
        <w:spacing w:line="360" w:lineRule="auto"/>
        <w:jc w:val="righ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5E22AE0" wp14:editId="6093B60E">
            <wp:extent cx="5039995" cy="3509010"/>
            <wp:effectExtent l="0" t="0" r="8255" b="0"/>
            <wp:docPr id="31434265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42656" name="图片 6"/>
                    <pic:cNvPicPr>
                      <a:picLocks noChangeAspect="1" noChangeArrowheads="1"/>
                    </pic:cNvPicPr>
                  </pic:nvPicPr>
                  <pic:blipFill>
                    <a:blip r:embed="rId6">
                      <a:extLst>
                        <a:ext uri="{BEBA8EAE-BF5A-486C-A8C5-ECC9F3942E4B}">
                          <a14:imgProps xmlns:a14="http://schemas.microsoft.com/office/drawing/2010/main">
                            <a14:imgLayer r:embed="rId7">
                              <a14:imgEffect>
                                <a14:sharpenSoften amount="25000"/>
                              </a14:imgEffect>
                            </a14:imgLayer>
                          </a14:imgProps>
                        </a:ext>
                        <a:ext uri="{28A0092B-C50C-407E-A947-70E740481C1C}">
                          <a14:useLocalDpi xmlns:a14="http://schemas.microsoft.com/office/drawing/2010/main" val="0"/>
                        </a:ext>
                      </a:extLst>
                    </a:blip>
                    <a:srcRect/>
                    <a:stretch>
                      <a:fillRect/>
                    </a:stretch>
                  </pic:blipFill>
                  <pic:spPr>
                    <a:xfrm>
                      <a:off x="0" y="0"/>
                      <a:ext cx="5040000" cy="3509389"/>
                    </a:xfrm>
                    <a:prstGeom prst="rect">
                      <a:avLst/>
                    </a:prstGeom>
                    <a:noFill/>
                  </pic:spPr>
                </pic:pic>
              </a:graphicData>
            </a:graphic>
          </wp:inline>
        </w:drawing>
      </w:r>
    </w:p>
    <w:p w14:paraId="44A77DDC" w14:textId="77777777" w:rsidR="00754F4B" w:rsidRDefault="00000000">
      <w:pPr>
        <w:spacing w:line="360" w:lineRule="auto"/>
        <w:jc w:val="center"/>
        <w:rPr>
          <w:rFonts w:ascii="Times New Roman" w:hAnsi="Times New Roman" w:cs="Times New Roman"/>
          <w:color w:val="FF0000"/>
          <w:sz w:val="24"/>
          <w:szCs w:val="24"/>
        </w:rPr>
      </w:pPr>
      <w:r>
        <w:rPr>
          <w:rFonts w:ascii="Times New Roman" w:hAnsi="Times New Roman" w:cs="Times New Roman"/>
          <w:b/>
          <w:bCs/>
          <w:color w:val="FF0000"/>
          <w:sz w:val="24"/>
          <w:szCs w:val="24"/>
        </w:rPr>
        <w:t>Fig. S2</w:t>
      </w:r>
      <w:r>
        <w:rPr>
          <w:rFonts w:ascii="Times New Roman" w:hAnsi="Times New Roman" w:cs="Times New Roman"/>
          <w:color w:val="FF0000"/>
          <w:sz w:val="24"/>
          <w:szCs w:val="24"/>
        </w:rPr>
        <w:t xml:space="preserve"> </w:t>
      </w:r>
      <w:r>
        <w:rPr>
          <w:rFonts w:ascii="Times New Roman" w:hAnsi="Times New Roman" w:cs="Times New Roman"/>
          <w:color w:val="FF0000"/>
          <w:sz w:val="24"/>
          <w:szCs w:val="24"/>
          <w:vertAlign w:val="superscript"/>
        </w:rPr>
        <w:t>1</w:t>
      </w:r>
      <w:r>
        <w:rPr>
          <w:rFonts w:ascii="Times New Roman" w:hAnsi="Times New Roman" w:cs="Times New Roman"/>
          <w:color w:val="FF0000"/>
          <w:sz w:val="24"/>
          <w:szCs w:val="24"/>
        </w:rPr>
        <w:t>H-NMR spectra of PUA polymer in DMSO-d6.</w:t>
      </w:r>
    </w:p>
    <w:p w14:paraId="689443E6" w14:textId="77777777" w:rsidR="00754F4B" w:rsidRDefault="00000000">
      <w:pPr>
        <w:spacing w:line="360" w:lineRule="auto"/>
        <w:rPr>
          <w:rFonts w:ascii="Times New Roman" w:hAnsi="Times New Roman" w:cs="Times New Roman"/>
        </w:rPr>
      </w:pPr>
      <w:r>
        <w:rPr>
          <w:rFonts w:ascii="Times New Roman" w:hAnsi="Times New Roman" w:cs="Times New Roman"/>
        </w:rPr>
        <w:t xml:space="preserve"> </w:t>
      </w:r>
    </w:p>
    <w:p w14:paraId="1AFDCCBD" w14:textId="77777777" w:rsidR="00754F4B" w:rsidRDefault="0000000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DBC1965" wp14:editId="5426F728">
            <wp:extent cx="4657725" cy="2956560"/>
            <wp:effectExtent l="0" t="0" r="9525" b="0"/>
            <wp:docPr id="8916999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699954"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657725" cy="2956560"/>
                    </a:xfrm>
                    <a:prstGeom prst="rect">
                      <a:avLst/>
                    </a:prstGeom>
                    <a:noFill/>
                  </pic:spPr>
                </pic:pic>
              </a:graphicData>
            </a:graphic>
          </wp:inline>
        </w:drawing>
      </w:r>
    </w:p>
    <w:p w14:paraId="15A41DA5" w14:textId="77777777" w:rsidR="00754F4B" w:rsidRDefault="00000000">
      <w:pPr>
        <w:spacing w:line="360" w:lineRule="auto"/>
        <w:jc w:val="center"/>
        <w:rPr>
          <w:rFonts w:ascii="Times New Roman" w:hAnsi="Times New Roman" w:cs="Times New Roman"/>
          <w:sz w:val="24"/>
          <w:szCs w:val="24"/>
        </w:rPr>
      </w:pPr>
      <w:r>
        <w:rPr>
          <w:rFonts w:ascii="Times New Roman" w:hAnsi="Times New Roman" w:cs="Times New Roman"/>
          <w:sz w:val="24"/>
          <w:szCs w:val="24"/>
        </w:rPr>
        <w:t>Fig. S3 FT-IR spectra of PUA and UA monomer.</w:t>
      </w:r>
    </w:p>
    <w:p w14:paraId="5411F225" w14:textId="77777777" w:rsidR="00754F4B" w:rsidRDefault="00754F4B">
      <w:pPr>
        <w:spacing w:line="360" w:lineRule="auto"/>
        <w:rPr>
          <w:rFonts w:ascii="Times New Roman" w:hAnsi="Times New Roman" w:cs="Times New Roman"/>
          <w:sz w:val="24"/>
          <w:szCs w:val="24"/>
        </w:rPr>
      </w:pPr>
    </w:p>
    <w:p w14:paraId="4F835FEA" w14:textId="77777777" w:rsidR="00754F4B" w:rsidRDefault="00754F4B">
      <w:pPr>
        <w:spacing w:line="360" w:lineRule="auto"/>
        <w:rPr>
          <w:rFonts w:ascii="Times New Roman" w:hAnsi="Times New Roman" w:cs="Times New Roman"/>
          <w:sz w:val="24"/>
          <w:szCs w:val="24"/>
        </w:rPr>
      </w:pPr>
    </w:p>
    <w:p w14:paraId="7E03721D" w14:textId="77777777" w:rsidR="00754F4B" w:rsidRDefault="00754F4B">
      <w:pPr>
        <w:spacing w:line="360" w:lineRule="auto"/>
        <w:rPr>
          <w:rFonts w:ascii="Times New Roman" w:hAnsi="Times New Roman" w:cs="Times New Roman"/>
          <w:sz w:val="24"/>
          <w:szCs w:val="24"/>
        </w:rPr>
      </w:pPr>
    </w:p>
    <w:p w14:paraId="653DC821" w14:textId="77777777" w:rsidR="00754F4B" w:rsidRDefault="00754F4B">
      <w:pPr>
        <w:spacing w:line="360" w:lineRule="auto"/>
        <w:rPr>
          <w:rFonts w:ascii="Times New Roman" w:hAnsi="Times New Roman" w:cs="Times New Roman"/>
          <w:sz w:val="24"/>
          <w:szCs w:val="24"/>
        </w:rPr>
      </w:pPr>
    </w:p>
    <w:p w14:paraId="0E339519" w14:textId="77777777" w:rsidR="00754F4B" w:rsidRDefault="00000000">
      <w:pPr>
        <w:jc w:val="center"/>
        <w:rPr>
          <w:rFonts w:ascii="Times New Roman" w:hAnsi="Times New Roman" w:cs="Times New Roman"/>
          <w:sz w:val="24"/>
          <w:szCs w:val="24"/>
        </w:rPr>
      </w:pPr>
      <w:r>
        <w:rPr>
          <w:rFonts w:ascii="Times New Roman" w:hAnsi="Times New Roman" w:cs="Times New Roman"/>
          <w:noProof/>
        </w:rPr>
        <w:drawing>
          <wp:inline distT="0" distB="0" distL="0" distR="0" wp14:anchorId="75E48D99" wp14:editId="5C191F24">
            <wp:extent cx="2471420" cy="2471420"/>
            <wp:effectExtent l="0" t="0" r="5080" b="5080"/>
            <wp:docPr id="6800237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023774"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478985" cy="2478985"/>
                    </a:xfrm>
                    <a:prstGeom prst="rect">
                      <a:avLst/>
                    </a:prstGeom>
                    <a:noFill/>
                    <a:ln>
                      <a:noFill/>
                    </a:ln>
                  </pic:spPr>
                </pic:pic>
              </a:graphicData>
            </a:graphic>
          </wp:inline>
        </w:drawing>
      </w:r>
    </w:p>
    <w:p w14:paraId="6BEBA444" w14:textId="77777777" w:rsidR="00754F4B" w:rsidRDefault="00000000">
      <w:pPr>
        <w:jc w:val="center"/>
        <w:rPr>
          <w:rFonts w:ascii="Times New Roman" w:hAnsi="Times New Roman" w:cs="Times New Roman"/>
          <w:sz w:val="24"/>
          <w:szCs w:val="24"/>
        </w:rPr>
      </w:pPr>
      <w:r>
        <w:rPr>
          <w:rFonts w:ascii="Times New Roman" w:hAnsi="Times New Roman" w:cs="Times New Roman"/>
          <w:b/>
          <w:bCs/>
          <w:color w:val="FF0000"/>
          <w:sz w:val="24"/>
          <w:szCs w:val="24"/>
        </w:rPr>
        <w:t>Fig.</w:t>
      </w:r>
      <w:bookmarkStart w:id="1" w:name="_Hlk147616887"/>
      <w:r>
        <w:rPr>
          <w:rFonts w:ascii="Times New Roman" w:hAnsi="Times New Roman" w:cs="Times New Roman"/>
          <w:b/>
          <w:bCs/>
          <w:color w:val="FF0000"/>
          <w:sz w:val="24"/>
          <w:szCs w:val="24"/>
        </w:rPr>
        <w:t xml:space="preserve"> </w:t>
      </w:r>
      <w:bookmarkEnd w:id="1"/>
      <w:r>
        <w:rPr>
          <w:rFonts w:ascii="Times New Roman" w:hAnsi="Times New Roman" w:cs="Times New Roman"/>
          <w:b/>
          <w:bCs/>
          <w:color w:val="FF0000"/>
          <w:sz w:val="24"/>
          <w:szCs w:val="24"/>
        </w:rPr>
        <w:t>S4</w:t>
      </w:r>
      <w:r>
        <w:rPr>
          <w:rFonts w:ascii="Times New Roman" w:hAnsi="Times New Roman" w:cs="Times New Roman"/>
          <w:color w:val="FF0000"/>
          <w:sz w:val="24"/>
          <w:szCs w:val="24"/>
        </w:rPr>
        <w:t xml:space="preserve"> TEM image of PUA NPs.</w:t>
      </w:r>
    </w:p>
    <w:p w14:paraId="4A09A9C8" w14:textId="77777777" w:rsidR="00754F4B" w:rsidRDefault="00754F4B">
      <w:pPr>
        <w:spacing w:line="360" w:lineRule="auto"/>
        <w:rPr>
          <w:rFonts w:ascii="Times New Roman" w:hAnsi="Times New Roman" w:cs="Times New Roman"/>
          <w:sz w:val="24"/>
          <w:szCs w:val="24"/>
        </w:rPr>
      </w:pPr>
    </w:p>
    <w:p w14:paraId="6FC338D7" w14:textId="77777777" w:rsidR="00754F4B" w:rsidRDefault="00754F4B">
      <w:pPr>
        <w:spacing w:line="360" w:lineRule="auto"/>
        <w:rPr>
          <w:rFonts w:ascii="Times New Roman" w:hAnsi="Times New Roman" w:cs="Times New Roman"/>
          <w:sz w:val="24"/>
          <w:szCs w:val="24"/>
        </w:rPr>
      </w:pPr>
    </w:p>
    <w:p w14:paraId="2F68927B" w14:textId="77777777" w:rsidR="00754F4B" w:rsidRDefault="00754F4B">
      <w:pPr>
        <w:spacing w:line="360" w:lineRule="auto"/>
        <w:rPr>
          <w:rFonts w:ascii="Times New Roman" w:hAnsi="Times New Roman" w:cs="Times New Roman"/>
          <w:sz w:val="24"/>
          <w:szCs w:val="24"/>
        </w:rPr>
      </w:pPr>
    </w:p>
    <w:p w14:paraId="59C8549F" w14:textId="77777777" w:rsidR="00754F4B" w:rsidRDefault="00754F4B">
      <w:pPr>
        <w:spacing w:line="360" w:lineRule="auto"/>
        <w:rPr>
          <w:rFonts w:ascii="Times New Roman" w:hAnsi="Times New Roman" w:cs="Times New Roman"/>
          <w:sz w:val="24"/>
          <w:szCs w:val="24"/>
        </w:rPr>
      </w:pPr>
    </w:p>
    <w:p w14:paraId="75632CBA" w14:textId="77777777" w:rsidR="00754F4B" w:rsidRDefault="0000000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ACC8BF5" wp14:editId="242214B7">
            <wp:extent cx="4907915" cy="2712720"/>
            <wp:effectExtent l="0" t="0" r="0" b="0"/>
            <wp:docPr id="17196738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673886" name="图片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907915" cy="2712720"/>
                    </a:xfrm>
                    <a:prstGeom prst="rect">
                      <a:avLst/>
                    </a:prstGeom>
                    <a:noFill/>
                  </pic:spPr>
                </pic:pic>
              </a:graphicData>
            </a:graphic>
          </wp:inline>
        </w:drawing>
      </w:r>
    </w:p>
    <w:p w14:paraId="78B7DB05" w14:textId="77777777" w:rsidR="00754F4B" w:rsidRDefault="00000000">
      <w:pPr>
        <w:spacing w:line="360" w:lineRule="auto"/>
        <w:jc w:val="center"/>
        <w:rPr>
          <w:rFonts w:ascii="Times New Roman" w:hAnsi="Times New Roman" w:cs="Times New Roman"/>
          <w:sz w:val="24"/>
          <w:szCs w:val="24"/>
        </w:rPr>
      </w:pPr>
      <w:bookmarkStart w:id="2" w:name="_Hlk134026718"/>
      <w:r>
        <w:rPr>
          <w:rFonts w:ascii="Times New Roman" w:hAnsi="Times New Roman" w:cs="Times New Roman"/>
          <w:b/>
          <w:bCs/>
          <w:sz w:val="24"/>
          <w:szCs w:val="24"/>
        </w:rPr>
        <w:t>Fig.</w:t>
      </w:r>
      <w:bookmarkEnd w:id="2"/>
      <w:r>
        <w:rPr>
          <w:rFonts w:ascii="Times New Roman" w:hAnsi="Times New Roman" w:cs="Times New Roman"/>
          <w:b/>
          <w:bCs/>
          <w:sz w:val="24"/>
          <w:szCs w:val="24"/>
        </w:rPr>
        <w:t xml:space="preserve"> S5 </w:t>
      </w:r>
      <w:r>
        <w:rPr>
          <w:rFonts w:ascii="Times New Roman" w:hAnsi="Times New Roman" w:cs="Times New Roman"/>
          <w:sz w:val="24"/>
          <w:szCs w:val="24"/>
        </w:rPr>
        <w:t xml:space="preserve">Cell viability of HK-2 cells treated free RES, PUA NPs and PUA </w:t>
      </w:r>
      <w:proofErr w:type="spellStart"/>
      <w:r>
        <w:rPr>
          <w:rFonts w:ascii="Times New Roman" w:hAnsi="Times New Roman" w:cs="Times New Roman"/>
          <w:sz w:val="24"/>
          <w:szCs w:val="24"/>
        </w:rPr>
        <w:t>NPs@RES</w:t>
      </w:r>
      <w:proofErr w:type="spellEnd"/>
      <w:r>
        <w:rPr>
          <w:rFonts w:ascii="Times New Roman" w:hAnsi="Times New Roman" w:cs="Times New Roman"/>
          <w:sz w:val="24"/>
          <w:szCs w:val="24"/>
        </w:rPr>
        <w:t xml:space="preserve"> across various equivalent RES concentrations for 24 h.</w:t>
      </w:r>
    </w:p>
    <w:p w14:paraId="405A4DF8" w14:textId="77777777" w:rsidR="00754F4B" w:rsidRDefault="00754F4B">
      <w:pPr>
        <w:spacing w:line="360" w:lineRule="auto"/>
        <w:rPr>
          <w:rFonts w:ascii="Times New Roman" w:hAnsi="Times New Roman" w:cs="Times New Roman"/>
          <w:sz w:val="24"/>
          <w:szCs w:val="24"/>
        </w:rPr>
      </w:pPr>
    </w:p>
    <w:p w14:paraId="636E065F" w14:textId="77777777" w:rsidR="00754F4B" w:rsidRDefault="00754F4B">
      <w:pPr>
        <w:spacing w:line="360" w:lineRule="auto"/>
        <w:rPr>
          <w:rFonts w:ascii="Times New Roman" w:hAnsi="Times New Roman" w:cs="Times New Roman"/>
          <w:sz w:val="24"/>
          <w:szCs w:val="24"/>
        </w:rPr>
      </w:pPr>
    </w:p>
    <w:p w14:paraId="0EF75E34" w14:textId="77777777" w:rsidR="00754F4B" w:rsidRDefault="00754F4B">
      <w:pPr>
        <w:spacing w:line="360" w:lineRule="auto"/>
        <w:rPr>
          <w:rFonts w:ascii="Times New Roman" w:hAnsi="Times New Roman" w:cs="Times New Roman"/>
          <w:sz w:val="24"/>
          <w:szCs w:val="24"/>
        </w:rPr>
      </w:pPr>
    </w:p>
    <w:p w14:paraId="42E5B5C0" w14:textId="77777777" w:rsidR="00754F4B" w:rsidRDefault="00754F4B">
      <w:pPr>
        <w:spacing w:line="360" w:lineRule="auto"/>
        <w:rPr>
          <w:rFonts w:ascii="Times New Roman" w:hAnsi="Times New Roman" w:cs="Times New Roman"/>
          <w:sz w:val="24"/>
          <w:szCs w:val="24"/>
        </w:rPr>
      </w:pPr>
    </w:p>
    <w:p w14:paraId="017A5DD2" w14:textId="77777777" w:rsidR="00754F4B" w:rsidRDefault="00000000">
      <w:pPr>
        <w:spacing w:line="360" w:lineRule="auto"/>
        <w:jc w:val="center"/>
        <w:rPr>
          <w:rFonts w:ascii="Times New Roman" w:hAnsi="Times New Roman" w:cs="Times New Roman"/>
          <w:b/>
          <w:bCs/>
          <w:sz w:val="24"/>
          <w:szCs w:val="24"/>
        </w:rPr>
      </w:pPr>
      <w:r>
        <w:rPr>
          <w:rFonts w:ascii="Times New Roman" w:hAnsi="Times New Roman" w:cs="Times New Roman"/>
          <w:noProof/>
        </w:rPr>
        <w:drawing>
          <wp:inline distT="0" distB="0" distL="0" distR="0" wp14:anchorId="4A817ABC" wp14:editId="644E585C">
            <wp:extent cx="5039995" cy="2981960"/>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040000" cy="2982000"/>
                    </a:xfrm>
                    <a:prstGeom prst="rect">
                      <a:avLst/>
                    </a:prstGeom>
                    <a:noFill/>
                  </pic:spPr>
                </pic:pic>
              </a:graphicData>
            </a:graphic>
          </wp:inline>
        </w:drawing>
      </w:r>
      <w:bookmarkStart w:id="3" w:name="_Hlk144844253"/>
    </w:p>
    <w:p w14:paraId="4E6DF750" w14:textId="77777777" w:rsidR="00754F4B" w:rsidRDefault="00000000">
      <w:pPr>
        <w:spacing w:line="360" w:lineRule="auto"/>
        <w:jc w:val="center"/>
        <w:rPr>
          <w:rFonts w:ascii="Times New Roman" w:hAnsi="Times New Roman" w:cs="Times New Roman"/>
          <w:color w:val="FF0000"/>
        </w:rPr>
      </w:pPr>
      <w:r>
        <w:rPr>
          <w:rFonts w:ascii="Times New Roman" w:hAnsi="Times New Roman" w:cs="Times New Roman"/>
          <w:b/>
          <w:bCs/>
          <w:color w:val="FF0000"/>
          <w:sz w:val="24"/>
          <w:szCs w:val="24"/>
        </w:rPr>
        <w:t>Fig. S6</w:t>
      </w:r>
      <w:bookmarkStart w:id="4" w:name="_Hlk147567704"/>
      <w:r>
        <w:rPr>
          <w:rFonts w:ascii="Times New Roman" w:hAnsi="Times New Roman" w:cs="Times New Roman"/>
          <w:b/>
          <w:bCs/>
          <w:color w:val="FF0000"/>
          <w:sz w:val="24"/>
          <w:szCs w:val="24"/>
        </w:rPr>
        <w:t xml:space="preserve"> </w:t>
      </w:r>
      <w:r>
        <w:rPr>
          <w:rFonts w:ascii="Times New Roman" w:hAnsi="Times New Roman" w:cs="Times New Roman"/>
          <w:color w:val="FF0000"/>
          <w:sz w:val="24"/>
          <w:szCs w:val="24"/>
        </w:rPr>
        <w:t xml:space="preserve">Quantitative analysis of cellular uptake </w:t>
      </w:r>
      <w:r>
        <w:rPr>
          <w:rFonts w:ascii="Times New Roman" w:hAnsi="Times New Roman" w:cs="Times New Roman"/>
          <w:color w:val="FF0000"/>
        </w:rPr>
        <w:t>o</w:t>
      </w:r>
      <w:r>
        <w:rPr>
          <w:rFonts w:ascii="Times New Roman" w:hAnsi="Times New Roman" w:cs="Times New Roman"/>
          <w:color w:val="FF0000"/>
          <w:sz w:val="24"/>
          <w:szCs w:val="24"/>
        </w:rPr>
        <w:t>f H</w:t>
      </w:r>
      <w:r>
        <w:rPr>
          <w:rFonts w:ascii="Times New Roman" w:hAnsi="Times New Roman" w:cs="Times New Roman"/>
          <w:color w:val="FF0000"/>
          <w:sz w:val="24"/>
          <w:szCs w:val="24"/>
          <w:vertAlign w:val="subscript"/>
        </w:rPr>
        <w:t>2</w:t>
      </w:r>
      <w:r>
        <w:rPr>
          <w:rFonts w:ascii="Times New Roman" w:hAnsi="Times New Roman" w:cs="Times New Roman"/>
          <w:color w:val="FF0000"/>
          <w:sz w:val="24"/>
          <w:szCs w:val="24"/>
        </w:rPr>
        <w:t>O</w:t>
      </w:r>
      <w:r>
        <w:rPr>
          <w:rFonts w:ascii="Times New Roman" w:hAnsi="Times New Roman" w:cs="Times New Roman"/>
          <w:color w:val="FF0000"/>
          <w:sz w:val="24"/>
          <w:szCs w:val="24"/>
          <w:vertAlign w:val="subscript"/>
        </w:rPr>
        <w:t>2</w:t>
      </w:r>
      <w:r>
        <w:rPr>
          <w:rFonts w:ascii="Times New Roman" w:hAnsi="Times New Roman" w:cs="Times New Roman"/>
          <w:color w:val="FF0000"/>
          <w:sz w:val="24"/>
          <w:szCs w:val="24"/>
        </w:rPr>
        <w:t>-stimulated HK-2 cells detected by flow cytometry</w:t>
      </w:r>
      <w:bookmarkEnd w:id="4"/>
      <w:r>
        <w:rPr>
          <w:rFonts w:ascii="Times New Roman" w:hAnsi="Times New Roman" w:cs="Times New Roman"/>
          <w:color w:val="FF0000"/>
          <w:sz w:val="24"/>
          <w:szCs w:val="24"/>
        </w:rPr>
        <w:t>.</w:t>
      </w:r>
    </w:p>
    <w:bookmarkEnd w:id="3"/>
    <w:p w14:paraId="6BB5907A" w14:textId="77777777" w:rsidR="00754F4B" w:rsidRDefault="00754F4B">
      <w:pPr>
        <w:rPr>
          <w:rFonts w:ascii="Times New Roman" w:hAnsi="Times New Roman" w:cs="Times New Roman"/>
          <w:sz w:val="24"/>
          <w:szCs w:val="24"/>
        </w:rPr>
      </w:pPr>
    </w:p>
    <w:p w14:paraId="2F748A83" w14:textId="77777777" w:rsidR="00754F4B" w:rsidRDefault="00754F4B">
      <w:pPr>
        <w:rPr>
          <w:rFonts w:ascii="Times New Roman" w:hAnsi="Times New Roman" w:cs="Times New Roman"/>
          <w:sz w:val="24"/>
          <w:szCs w:val="24"/>
        </w:rPr>
      </w:pPr>
    </w:p>
    <w:p w14:paraId="24F2968A" w14:textId="77777777" w:rsidR="00754F4B" w:rsidRDefault="00000000">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CA0A800" wp14:editId="2A59D507">
            <wp:extent cx="3484880" cy="2522220"/>
            <wp:effectExtent l="0" t="0" r="0" b="0"/>
            <wp:docPr id="8284924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92473" name="图片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484880" cy="2522220"/>
                    </a:xfrm>
                    <a:prstGeom prst="rect">
                      <a:avLst/>
                    </a:prstGeom>
                    <a:noFill/>
                  </pic:spPr>
                </pic:pic>
              </a:graphicData>
            </a:graphic>
          </wp:inline>
        </w:drawing>
      </w:r>
    </w:p>
    <w:p w14:paraId="0985E289" w14:textId="77777777" w:rsidR="00754F4B" w:rsidRDefault="00000000">
      <w:pPr>
        <w:tabs>
          <w:tab w:val="left" w:pos="1393"/>
        </w:tabs>
        <w:jc w:val="center"/>
        <w:rPr>
          <w:rFonts w:ascii="Times New Roman" w:hAnsi="Times New Roman" w:cs="Times New Roman"/>
          <w:sz w:val="24"/>
          <w:szCs w:val="24"/>
        </w:rPr>
      </w:pPr>
      <w:bookmarkStart w:id="5" w:name="_Hlk144844298"/>
      <w:r>
        <w:rPr>
          <w:rFonts w:ascii="Times New Roman" w:hAnsi="Times New Roman" w:cs="Times New Roman"/>
          <w:b/>
          <w:bCs/>
          <w:sz w:val="24"/>
          <w:szCs w:val="24"/>
        </w:rPr>
        <w:t xml:space="preserve">Fig. S7 </w:t>
      </w:r>
      <w:bookmarkEnd w:id="5"/>
      <w:r>
        <w:rPr>
          <w:rFonts w:ascii="Times New Roman" w:hAnsi="Times New Roman" w:cs="Times New Roman"/>
          <w:sz w:val="24"/>
          <w:szCs w:val="24"/>
        </w:rPr>
        <w:t>Quantitative analysis of intracellular ROS levels</w:t>
      </w:r>
      <w:r>
        <w:rPr>
          <w:rFonts w:ascii="Times New Roman" w:hAnsi="Times New Roman" w:cs="Times New Roman"/>
        </w:rPr>
        <w:t xml:space="preserve"> o</w:t>
      </w:r>
      <w:r>
        <w:rPr>
          <w:rFonts w:ascii="Times New Roman" w:hAnsi="Times New Roman" w:cs="Times New Roman"/>
          <w:sz w:val="24"/>
          <w:szCs w:val="24"/>
        </w:rPr>
        <w:t>f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-stimulated HK-2 cells detected by flow cytometry.</w:t>
      </w:r>
    </w:p>
    <w:p w14:paraId="7050504C" w14:textId="77777777" w:rsidR="00754F4B" w:rsidRDefault="00754F4B">
      <w:pPr>
        <w:rPr>
          <w:rFonts w:ascii="Times New Roman" w:hAnsi="Times New Roman" w:cs="Times New Roman"/>
          <w:sz w:val="24"/>
          <w:szCs w:val="24"/>
        </w:rPr>
      </w:pPr>
    </w:p>
    <w:p w14:paraId="54256C18" w14:textId="77777777" w:rsidR="00754F4B" w:rsidRDefault="00754F4B">
      <w:pPr>
        <w:rPr>
          <w:rFonts w:ascii="Times New Roman" w:hAnsi="Times New Roman" w:cs="Times New Roman"/>
        </w:rPr>
      </w:pPr>
    </w:p>
    <w:p w14:paraId="3AB0B18E" w14:textId="77777777" w:rsidR="00754F4B" w:rsidRDefault="00754F4B">
      <w:pPr>
        <w:rPr>
          <w:rFonts w:ascii="Times New Roman" w:hAnsi="Times New Roman" w:cs="Times New Roman"/>
        </w:rPr>
      </w:pPr>
    </w:p>
    <w:p w14:paraId="27987073" w14:textId="77777777" w:rsidR="00754F4B" w:rsidRDefault="00754F4B">
      <w:pPr>
        <w:rPr>
          <w:rFonts w:ascii="Times New Roman" w:hAnsi="Times New Roman" w:cs="Times New Roman"/>
        </w:rPr>
      </w:pPr>
    </w:p>
    <w:p w14:paraId="1E1EB9C8" w14:textId="77777777" w:rsidR="00754F4B" w:rsidRDefault="00000000">
      <w:pPr>
        <w:jc w:val="center"/>
        <w:rPr>
          <w:rFonts w:ascii="Times New Roman" w:hAnsi="Times New Roman" w:cs="Times New Roman"/>
        </w:rPr>
      </w:pPr>
      <w:r>
        <w:rPr>
          <w:noProof/>
        </w:rPr>
        <w:drawing>
          <wp:inline distT="0" distB="0" distL="114300" distR="114300" wp14:anchorId="534E3CE4" wp14:editId="7B82DE60">
            <wp:extent cx="3513455" cy="2119630"/>
            <wp:effectExtent l="0" t="0" r="0" b="1397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3513455" cy="2119630"/>
                    </a:xfrm>
                    <a:prstGeom prst="rect">
                      <a:avLst/>
                    </a:prstGeom>
                    <a:noFill/>
                    <a:ln>
                      <a:noFill/>
                    </a:ln>
                  </pic:spPr>
                </pic:pic>
              </a:graphicData>
            </a:graphic>
          </wp:inline>
        </w:drawing>
      </w:r>
    </w:p>
    <w:p w14:paraId="1BC9E482" w14:textId="77777777" w:rsidR="00754F4B" w:rsidRDefault="00754F4B">
      <w:pPr>
        <w:jc w:val="center"/>
        <w:rPr>
          <w:rFonts w:ascii="Times New Roman" w:hAnsi="Times New Roman" w:cs="Times New Roman"/>
        </w:rPr>
      </w:pPr>
    </w:p>
    <w:p w14:paraId="2B500135" w14:textId="77777777" w:rsidR="00754F4B" w:rsidRDefault="00000000">
      <w:pPr>
        <w:jc w:val="center"/>
        <w:rPr>
          <w:rFonts w:ascii="Times New Roman" w:hAnsi="Times New Roman" w:cs="Times New Roman"/>
          <w:sz w:val="24"/>
          <w:szCs w:val="24"/>
          <w:u w:val="single"/>
        </w:rPr>
      </w:pPr>
      <w:bookmarkStart w:id="6" w:name="_Hlk145662647"/>
      <w:r>
        <w:rPr>
          <w:rFonts w:ascii="Times New Roman" w:hAnsi="Times New Roman" w:cs="Times New Roman"/>
          <w:b/>
          <w:bCs/>
          <w:sz w:val="24"/>
          <w:szCs w:val="24"/>
        </w:rPr>
        <w:t>Fig. S8</w:t>
      </w:r>
      <w:r>
        <w:rPr>
          <w:rFonts w:ascii="Times New Roman" w:hAnsi="Times New Roman" w:cs="Times New Roman"/>
          <w:sz w:val="24"/>
          <w:szCs w:val="24"/>
        </w:rPr>
        <w:t xml:space="preserve"> Quantitative analysis of mitochondrial membrane potential </w:t>
      </w:r>
      <w:r>
        <w:rPr>
          <w:rFonts w:ascii="Times New Roman" w:hAnsi="Times New Roman" w:cs="Times New Roman"/>
        </w:rPr>
        <w:t>o</w:t>
      </w:r>
      <w:r>
        <w:rPr>
          <w:rFonts w:ascii="Times New Roman" w:hAnsi="Times New Roman" w:cs="Times New Roman"/>
          <w:sz w:val="24"/>
          <w:szCs w:val="24"/>
        </w:rPr>
        <w:t>f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-stimulated HK-2 cells after different treatments.</w:t>
      </w:r>
    </w:p>
    <w:bookmarkEnd w:id="6"/>
    <w:p w14:paraId="374B07A6" w14:textId="77777777" w:rsidR="00754F4B" w:rsidRDefault="00754F4B">
      <w:pPr>
        <w:rPr>
          <w:rFonts w:ascii="Times New Roman" w:hAnsi="Times New Roman" w:cs="Times New Roman"/>
        </w:rPr>
      </w:pPr>
    </w:p>
    <w:p w14:paraId="54714A63" w14:textId="77777777" w:rsidR="00754F4B" w:rsidRDefault="00754F4B">
      <w:pPr>
        <w:rPr>
          <w:rFonts w:ascii="Times New Roman" w:hAnsi="Times New Roman" w:cs="Times New Roman"/>
        </w:rPr>
      </w:pPr>
    </w:p>
    <w:p w14:paraId="193FA510" w14:textId="77777777" w:rsidR="00754F4B" w:rsidRDefault="00754F4B">
      <w:pPr>
        <w:rPr>
          <w:rFonts w:ascii="Times New Roman" w:hAnsi="Times New Roman" w:cs="Times New Roman"/>
        </w:rPr>
      </w:pPr>
    </w:p>
    <w:p w14:paraId="39AC1C46" w14:textId="77777777" w:rsidR="00754F4B" w:rsidRDefault="00754F4B">
      <w:pPr>
        <w:jc w:val="center"/>
        <w:rPr>
          <w:rFonts w:ascii="Times New Roman" w:hAnsi="Times New Roman" w:cs="Times New Roman"/>
        </w:rPr>
      </w:pPr>
    </w:p>
    <w:p w14:paraId="1AC56B85" w14:textId="77777777" w:rsidR="00754F4B" w:rsidRDefault="00754F4B">
      <w:pPr>
        <w:jc w:val="center"/>
        <w:rPr>
          <w:rFonts w:ascii="Times New Roman" w:hAnsi="Times New Roman" w:cs="Times New Roman"/>
        </w:rPr>
      </w:pPr>
    </w:p>
    <w:p w14:paraId="22BA88BD" w14:textId="77777777" w:rsidR="00754F4B" w:rsidRDefault="00000000">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669A0A20" wp14:editId="3E835434">
            <wp:extent cx="3560445" cy="2261870"/>
            <wp:effectExtent l="0" t="0" r="0" b="0"/>
            <wp:docPr id="76387835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78350" name="图片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560445" cy="2261870"/>
                    </a:xfrm>
                    <a:prstGeom prst="rect">
                      <a:avLst/>
                    </a:prstGeom>
                    <a:noFill/>
                  </pic:spPr>
                </pic:pic>
              </a:graphicData>
            </a:graphic>
          </wp:inline>
        </w:drawing>
      </w:r>
    </w:p>
    <w:p w14:paraId="691C6FB5" w14:textId="77777777" w:rsidR="00754F4B" w:rsidRDefault="00000000">
      <w:pPr>
        <w:jc w:val="center"/>
        <w:rPr>
          <w:rFonts w:ascii="Times New Roman" w:hAnsi="Times New Roman" w:cs="Times New Roman"/>
        </w:rPr>
      </w:pPr>
      <w:r>
        <w:rPr>
          <w:rFonts w:ascii="Times New Roman" w:hAnsi="Times New Roman" w:cs="Times New Roman"/>
          <w:b/>
          <w:bCs/>
          <w:color w:val="FF0000"/>
          <w:sz w:val="24"/>
          <w:szCs w:val="24"/>
        </w:rPr>
        <w:t xml:space="preserve">Fig. S9 </w:t>
      </w:r>
      <w:r>
        <w:rPr>
          <w:rFonts w:ascii="Times New Roman" w:hAnsi="Times New Roman" w:cs="Times New Roman"/>
          <w:color w:val="FF0000"/>
          <w:sz w:val="24"/>
          <w:szCs w:val="24"/>
        </w:rPr>
        <w:t>Florescence analysis of Cell apoptosis after different treatments.</w:t>
      </w:r>
    </w:p>
    <w:p w14:paraId="02F663AD" w14:textId="77777777" w:rsidR="00754F4B" w:rsidRDefault="00754F4B">
      <w:pPr>
        <w:jc w:val="center"/>
        <w:rPr>
          <w:rFonts w:ascii="Times New Roman" w:hAnsi="Times New Roman" w:cs="Times New Roman"/>
        </w:rPr>
      </w:pPr>
    </w:p>
    <w:p w14:paraId="415A8D0F" w14:textId="77777777" w:rsidR="00754F4B" w:rsidRDefault="00754F4B">
      <w:pPr>
        <w:jc w:val="center"/>
        <w:rPr>
          <w:rFonts w:ascii="Times New Roman" w:hAnsi="Times New Roman" w:cs="Times New Roman"/>
        </w:rPr>
      </w:pPr>
    </w:p>
    <w:p w14:paraId="49E24E8B" w14:textId="77777777" w:rsidR="00754F4B" w:rsidRDefault="00754F4B">
      <w:pPr>
        <w:jc w:val="center"/>
        <w:rPr>
          <w:rFonts w:ascii="Times New Roman" w:hAnsi="Times New Roman" w:cs="Times New Roman"/>
        </w:rPr>
      </w:pPr>
    </w:p>
    <w:p w14:paraId="09EC1007" w14:textId="77777777" w:rsidR="00754F4B" w:rsidRDefault="00754F4B">
      <w:pPr>
        <w:jc w:val="center"/>
        <w:rPr>
          <w:rFonts w:ascii="Times New Roman" w:hAnsi="Times New Roman" w:cs="Times New Roman"/>
        </w:rPr>
      </w:pPr>
    </w:p>
    <w:p w14:paraId="402F94BD" w14:textId="77777777" w:rsidR="00754F4B" w:rsidRDefault="00000000">
      <w:pPr>
        <w:tabs>
          <w:tab w:val="left" w:pos="614"/>
        </w:tabs>
        <w:jc w:val="center"/>
        <w:rPr>
          <w:rFonts w:ascii="Times New Roman" w:hAnsi="Times New Roman" w:cs="Times New Roman"/>
        </w:rPr>
      </w:pPr>
      <w:r>
        <w:rPr>
          <w:rFonts w:ascii="Times New Roman" w:hAnsi="Times New Roman" w:cs="Times New Roman"/>
          <w:noProof/>
        </w:rPr>
        <w:drawing>
          <wp:inline distT="0" distB="0" distL="0" distR="0" wp14:anchorId="4F421BEB" wp14:editId="3635D5B9">
            <wp:extent cx="3322320" cy="3481070"/>
            <wp:effectExtent l="0" t="0" r="0" b="5080"/>
            <wp:docPr id="8224736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73675" name="图片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322320" cy="3481070"/>
                    </a:xfrm>
                    <a:prstGeom prst="rect">
                      <a:avLst/>
                    </a:prstGeom>
                    <a:noFill/>
                  </pic:spPr>
                </pic:pic>
              </a:graphicData>
            </a:graphic>
          </wp:inline>
        </w:drawing>
      </w:r>
    </w:p>
    <w:p w14:paraId="7C69F956" w14:textId="77777777" w:rsidR="00754F4B" w:rsidRDefault="00000000">
      <w:pPr>
        <w:tabs>
          <w:tab w:val="left" w:pos="614"/>
        </w:tabs>
        <w:jc w:val="center"/>
        <w:rPr>
          <w:rFonts w:ascii="Times New Roman" w:hAnsi="Times New Roman" w:cs="Times New Roman"/>
          <w:sz w:val="24"/>
          <w:szCs w:val="24"/>
        </w:rPr>
      </w:pPr>
      <w:r>
        <w:rPr>
          <w:rFonts w:ascii="Times New Roman" w:hAnsi="Times New Roman" w:cs="Times New Roman"/>
          <w:b/>
          <w:bCs/>
          <w:sz w:val="24"/>
          <w:szCs w:val="24"/>
        </w:rPr>
        <w:t xml:space="preserve">Fig.S10 </w:t>
      </w:r>
      <w:r>
        <w:rPr>
          <w:rFonts w:ascii="Times New Roman" w:hAnsi="Times New Roman" w:cs="Times New Roman"/>
          <w:sz w:val="24"/>
          <w:szCs w:val="24"/>
        </w:rPr>
        <w:t>Heat map results of upregulated and downregulated genes after PUA NPs treatment (fold change ≥2 and P &lt; 0.05).</w:t>
      </w:r>
    </w:p>
    <w:p w14:paraId="088F60EA" w14:textId="77777777" w:rsidR="00754F4B" w:rsidRDefault="00754F4B">
      <w:pPr>
        <w:tabs>
          <w:tab w:val="left" w:pos="614"/>
        </w:tabs>
        <w:jc w:val="center"/>
        <w:rPr>
          <w:rFonts w:ascii="Times New Roman" w:hAnsi="Times New Roman" w:cs="Times New Roman"/>
        </w:rPr>
      </w:pPr>
    </w:p>
    <w:p w14:paraId="7F85B078" w14:textId="77777777" w:rsidR="00754F4B" w:rsidRDefault="00754F4B">
      <w:pPr>
        <w:tabs>
          <w:tab w:val="left" w:pos="614"/>
        </w:tabs>
        <w:jc w:val="center"/>
        <w:rPr>
          <w:rFonts w:ascii="Times New Roman" w:hAnsi="Times New Roman" w:cs="Times New Roman"/>
        </w:rPr>
      </w:pPr>
    </w:p>
    <w:p w14:paraId="46CFE607" w14:textId="77777777" w:rsidR="00754F4B" w:rsidRDefault="00000000">
      <w:pPr>
        <w:jc w:val="center"/>
        <w:rPr>
          <w:rFonts w:ascii="Times New Roman" w:hAnsi="Times New Roman" w:cs="Times New Roman"/>
        </w:rPr>
      </w:pPr>
      <w:r>
        <w:rPr>
          <w:rFonts w:ascii="Times New Roman" w:hAnsi="Times New Roman" w:cs="Times New Roman"/>
          <w:noProof/>
          <w:sz w:val="24"/>
          <w:szCs w:val="24"/>
        </w:rPr>
        <w:lastRenderedPageBreak/>
        <w:drawing>
          <wp:inline distT="0" distB="0" distL="0" distR="0" wp14:anchorId="4A54DB65" wp14:editId="34718C95">
            <wp:extent cx="3585210" cy="4867910"/>
            <wp:effectExtent l="0" t="0" r="0" b="8890"/>
            <wp:docPr id="933125263" name="图片 933125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125263" name="图片 933125263"/>
                    <pic:cNvPicPr>
                      <a:picLocks noChangeAspect="1"/>
                    </pic:cNvPicPr>
                  </pic:nvPicPr>
                  <pic:blipFill>
                    <a:blip r:embed="rId16"/>
                    <a:stretch>
                      <a:fillRect/>
                    </a:stretch>
                  </pic:blipFill>
                  <pic:spPr>
                    <a:xfrm>
                      <a:off x="0" y="0"/>
                      <a:ext cx="3588578" cy="4872725"/>
                    </a:xfrm>
                    <a:prstGeom prst="rect">
                      <a:avLst/>
                    </a:prstGeom>
                  </pic:spPr>
                </pic:pic>
              </a:graphicData>
            </a:graphic>
          </wp:inline>
        </w:drawing>
      </w:r>
    </w:p>
    <w:p w14:paraId="30B86CE4" w14:textId="77777777" w:rsidR="00754F4B" w:rsidRDefault="00000000">
      <w:pPr>
        <w:jc w:val="center"/>
        <w:rPr>
          <w:rFonts w:ascii="Times New Roman" w:hAnsi="Times New Roman" w:cs="Times New Roman"/>
          <w:color w:val="FF0000"/>
          <w:sz w:val="24"/>
          <w:szCs w:val="24"/>
        </w:rPr>
      </w:pPr>
      <w:r>
        <w:rPr>
          <w:rFonts w:ascii="Times New Roman" w:hAnsi="Times New Roman" w:cs="Times New Roman"/>
          <w:b/>
          <w:bCs/>
          <w:color w:val="FF0000"/>
          <w:sz w:val="24"/>
          <w:szCs w:val="24"/>
        </w:rPr>
        <w:t xml:space="preserve">Fig. S11 </w:t>
      </w:r>
      <w:r>
        <w:rPr>
          <w:rFonts w:ascii="Times New Roman" w:hAnsi="Times New Roman" w:cs="Times New Roman"/>
          <w:color w:val="FF0000"/>
          <w:sz w:val="24"/>
          <w:szCs w:val="24"/>
        </w:rPr>
        <w:t>GSEA enrichment plots of gene set involved in MAPK signaling pathway.</w:t>
      </w:r>
    </w:p>
    <w:p w14:paraId="2E363235" w14:textId="77777777" w:rsidR="00754F4B" w:rsidRDefault="00754F4B">
      <w:pPr>
        <w:tabs>
          <w:tab w:val="left" w:pos="614"/>
        </w:tabs>
        <w:jc w:val="center"/>
        <w:rPr>
          <w:rFonts w:ascii="Times New Roman" w:hAnsi="Times New Roman" w:cs="Times New Roman"/>
        </w:rPr>
      </w:pPr>
    </w:p>
    <w:p w14:paraId="7030EAC0" w14:textId="77777777" w:rsidR="00754F4B" w:rsidRDefault="00754F4B">
      <w:pPr>
        <w:tabs>
          <w:tab w:val="left" w:pos="614"/>
        </w:tabs>
        <w:jc w:val="center"/>
        <w:rPr>
          <w:rFonts w:ascii="Times New Roman" w:hAnsi="Times New Roman" w:cs="Times New Roman"/>
        </w:rPr>
      </w:pPr>
    </w:p>
    <w:p w14:paraId="1FAABD3D" w14:textId="6AB4692C" w:rsidR="00754F4B" w:rsidRDefault="003450DA">
      <w:pPr>
        <w:tabs>
          <w:tab w:val="left" w:pos="614"/>
        </w:tabs>
        <w:jc w:val="center"/>
        <w:rPr>
          <w:rFonts w:ascii="Times New Roman" w:hAnsi="Times New Roman" w:cs="Times New Roman"/>
          <w:color w:val="FF0000"/>
        </w:rPr>
      </w:pPr>
      <w:r>
        <w:rPr>
          <w:rFonts w:ascii="Times New Roman" w:hAnsi="Times New Roman" w:cs="Times New Roman"/>
          <w:noProof/>
          <w:color w:val="FF0000"/>
        </w:rPr>
        <w:drawing>
          <wp:inline distT="0" distB="0" distL="0" distR="0" wp14:anchorId="3786F56F" wp14:editId="649AA573">
            <wp:extent cx="3302000" cy="2349930"/>
            <wp:effectExtent l="0" t="0" r="0" b="0"/>
            <wp:docPr id="3607001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11003" cy="2356337"/>
                    </a:xfrm>
                    <a:prstGeom prst="rect">
                      <a:avLst/>
                    </a:prstGeom>
                    <a:noFill/>
                  </pic:spPr>
                </pic:pic>
              </a:graphicData>
            </a:graphic>
          </wp:inline>
        </w:drawing>
      </w:r>
    </w:p>
    <w:p w14:paraId="742A9FCE" w14:textId="77777777" w:rsidR="00754F4B" w:rsidRDefault="00000000">
      <w:pPr>
        <w:tabs>
          <w:tab w:val="left" w:pos="614"/>
        </w:tabs>
        <w:jc w:val="center"/>
        <w:rPr>
          <w:rFonts w:ascii="Times New Roman" w:hAnsi="Times New Roman" w:cs="Times New Roman"/>
          <w:color w:val="FF0000"/>
        </w:rPr>
      </w:pPr>
      <w:r>
        <w:rPr>
          <w:rFonts w:ascii="Times New Roman" w:hAnsi="Times New Roman" w:cs="Times New Roman"/>
          <w:b/>
          <w:bCs/>
          <w:color w:val="FF0000"/>
          <w:sz w:val="24"/>
          <w:szCs w:val="24"/>
        </w:rPr>
        <w:t>Fig. S12</w:t>
      </w:r>
      <w:r>
        <w:rPr>
          <w:rFonts w:ascii="Times New Roman" w:hAnsi="Times New Roman" w:cs="Times New Roman"/>
          <w:color w:val="FF0000"/>
        </w:rPr>
        <w:t xml:space="preserve"> </w:t>
      </w:r>
      <w:r>
        <w:rPr>
          <w:rFonts w:ascii="Times New Roman" w:hAnsi="Times New Roman" w:cs="Times New Roman"/>
          <w:color w:val="FF0000"/>
          <w:sz w:val="24"/>
          <w:szCs w:val="24"/>
        </w:rPr>
        <w:t xml:space="preserve">Changes in body weight of mice following with PBS, PUA NPs and PUA </w:t>
      </w:r>
      <w:proofErr w:type="spellStart"/>
      <w:r>
        <w:rPr>
          <w:rFonts w:ascii="Times New Roman" w:hAnsi="Times New Roman" w:cs="Times New Roman"/>
          <w:color w:val="FF0000"/>
          <w:sz w:val="24"/>
          <w:szCs w:val="24"/>
        </w:rPr>
        <w:t>NPs@RES</w:t>
      </w:r>
      <w:proofErr w:type="spellEnd"/>
      <w:r>
        <w:rPr>
          <w:rFonts w:ascii="Times New Roman" w:hAnsi="Times New Roman" w:cs="Times New Roman"/>
          <w:color w:val="FF0000"/>
          <w:sz w:val="24"/>
          <w:szCs w:val="24"/>
        </w:rPr>
        <w:t xml:space="preserve"> for 21 days.</w:t>
      </w:r>
    </w:p>
    <w:sectPr w:rsidR="00754F4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mE5MmE3ODkyYzQwOWUyYzE3YTE0YjkyZTlkZTc1ZDYifQ=="/>
  </w:docVars>
  <w:rsids>
    <w:rsidRoot w:val="127D3B76"/>
    <w:rsid w:val="000112BF"/>
    <w:rsid w:val="00027308"/>
    <w:rsid w:val="00070710"/>
    <w:rsid w:val="00071F8D"/>
    <w:rsid w:val="0008654E"/>
    <w:rsid w:val="000A5CB1"/>
    <w:rsid w:val="0010330C"/>
    <w:rsid w:val="001252DF"/>
    <w:rsid w:val="001739B7"/>
    <w:rsid w:val="001752CE"/>
    <w:rsid w:val="001C0F8B"/>
    <w:rsid w:val="001C26B9"/>
    <w:rsid w:val="001C4426"/>
    <w:rsid w:val="001C6D28"/>
    <w:rsid w:val="001D3C2C"/>
    <w:rsid w:val="001F4250"/>
    <w:rsid w:val="001F519B"/>
    <w:rsid w:val="001F60BD"/>
    <w:rsid w:val="00201001"/>
    <w:rsid w:val="002069D2"/>
    <w:rsid w:val="0021071F"/>
    <w:rsid w:val="00231669"/>
    <w:rsid w:val="00250FCD"/>
    <w:rsid w:val="00272ED7"/>
    <w:rsid w:val="00275FA5"/>
    <w:rsid w:val="002F3205"/>
    <w:rsid w:val="002F7686"/>
    <w:rsid w:val="00324787"/>
    <w:rsid w:val="00332995"/>
    <w:rsid w:val="00343976"/>
    <w:rsid w:val="003450DA"/>
    <w:rsid w:val="00376044"/>
    <w:rsid w:val="003800C8"/>
    <w:rsid w:val="00457242"/>
    <w:rsid w:val="00472FF3"/>
    <w:rsid w:val="004B42B9"/>
    <w:rsid w:val="004C153D"/>
    <w:rsid w:val="00511AE4"/>
    <w:rsid w:val="00531198"/>
    <w:rsid w:val="00555AF1"/>
    <w:rsid w:val="00565CDF"/>
    <w:rsid w:val="00572CC4"/>
    <w:rsid w:val="00575C61"/>
    <w:rsid w:val="00583D9F"/>
    <w:rsid w:val="005D2712"/>
    <w:rsid w:val="005E4AD3"/>
    <w:rsid w:val="00613276"/>
    <w:rsid w:val="00662896"/>
    <w:rsid w:val="00665B9A"/>
    <w:rsid w:val="00670365"/>
    <w:rsid w:val="00681FAB"/>
    <w:rsid w:val="006A51C3"/>
    <w:rsid w:val="006E4359"/>
    <w:rsid w:val="006F2A41"/>
    <w:rsid w:val="00733821"/>
    <w:rsid w:val="0075053E"/>
    <w:rsid w:val="00754208"/>
    <w:rsid w:val="00754F4B"/>
    <w:rsid w:val="007A080F"/>
    <w:rsid w:val="007C6E76"/>
    <w:rsid w:val="008001C7"/>
    <w:rsid w:val="00807720"/>
    <w:rsid w:val="0082173C"/>
    <w:rsid w:val="0083176A"/>
    <w:rsid w:val="008407E3"/>
    <w:rsid w:val="00886A3A"/>
    <w:rsid w:val="00894A37"/>
    <w:rsid w:val="008D6135"/>
    <w:rsid w:val="008F073E"/>
    <w:rsid w:val="008F3E4E"/>
    <w:rsid w:val="0092036B"/>
    <w:rsid w:val="0092117B"/>
    <w:rsid w:val="00931807"/>
    <w:rsid w:val="00981753"/>
    <w:rsid w:val="009B5F56"/>
    <w:rsid w:val="009B6C32"/>
    <w:rsid w:val="009E2750"/>
    <w:rsid w:val="00A01535"/>
    <w:rsid w:val="00A35D8E"/>
    <w:rsid w:val="00A475AC"/>
    <w:rsid w:val="00A94C78"/>
    <w:rsid w:val="00AC06CB"/>
    <w:rsid w:val="00AE29B3"/>
    <w:rsid w:val="00B00738"/>
    <w:rsid w:val="00B119C1"/>
    <w:rsid w:val="00BB1364"/>
    <w:rsid w:val="00BB17D3"/>
    <w:rsid w:val="00BD5E97"/>
    <w:rsid w:val="00C2751D"/>
    <w:rsid w:val="00C81731"/>
    <w:rsid w:val="00CA16B1"/>
    <w:rsid w:val="00CF1FC6"/>
    <w:rsid w:val="00D018F6"/>
    <w:rsid w:val="00D62184"/>
    <w:rsid w:val="00D65FC8"/>
    <w:rsid w:val="00D767CF"/>
    <w:rsid w:val="00D942E6"/>
    <w:rsid w:val="00DD6AB7"/>
    <w:rsid w:val="00E22913"/>
    <w:rsid w:val="00E61BB8"/>
    <w:rsid w:val="00EB3790"/>
    <w:rsid w:val="00ED6B58"/>
    <w:rsid w:val="00F02E91"/>
    <w:rsid w:val="00F14828"/>
    <w:rsid w:val="00F51726"/>
    <w:rsid w:val="00F806D1"/>
    <w:rsid w:val="00F9356D"/>
    <w:rsid w:val="00FA443E"/>
    <w:rsid w:val="00FB1B85"/>
    <w:rsid w:val="00FD063D"/>
    <w:rsid w:val="05B76A00"/>
    <w:rsid w:val="0917679E"/>
    <w:rsid w:val="0C2C534B"/>
    <w:rsid w:val="12721506"/>
    <w:rsid w:val="127D3B76"/>
    <w:rsid w:val="1E6F28AB"/>
    <w:rsid w:val="391471C3"/>
    <w:rsid w:val="41231B2F"/>
    <w:rsid w:val="43A66B0F"/>
    <w:rsid w:val="4D71155A"/>
    <w:rsid w:val="530E13ED"/>
    <w:rsid w:val="64D91FDD"/>
    <w:rsid w:val="6ACE3313"/>
    <w:rsid w:val="786C6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F6CEE5"/>
  <w15:docId w15:val="{E55B6728-818D-4D41-ACC3-2F1DBC203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rPr>
      <w:sz w:val="24"/>
    </w:rPr>
  </w:style>
  <w:style w:type="paragraph" w:styleId="aa">
    <w:name w:val="annotation subject"/>
    <w:basedOn w:val="a3"/>
    <w:next w:val="a3"/>
    <w:link w:val="ab"/>
    <w:qFormat/>
    <w:rPr>
      <w:b/>
      <w:bCs/>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qFormat/>
    <w:rPr>
      <w:sz w:val="21"/>
      <w:szCs w:val="21"/>
    </w:rPr>
  </w:style>
  <w:style w:type="character" w:customStyle="1" w:styleId="a8">
    <w:name w:val="页眉 字符"/>
    <w:basedOn w:val="a0"/>
    <w:link w:val="a7"/>
    <w:qFormat/>
    <w:rPr>
      <w:rFonts w:asciiTheme="minorHAnsi" w:eastAsiaTheme="minorEastAsia" w:hAnsiTheme="minorHAnsi" w:cstheme="minorBidi"/>
      <w:kern w:val="2"/>
      <w:sz w:val="18"/>
      <w:szCs w:val="18"/>
    </w:rPr>
  </w:style>
  <w:style w:type="character" w:customStyle="1" w:styleId="a6">
    <w:name w:val="页脚 字符"/>
    <w:basedOn w:val="a0"/>
    <w:link w:val="a5"/>
    <w:qFormat/>
    <w:rPr>
      <w:rFonts w:asciiTheme="minorHAnsi" w:eastAsiaTheme="minorEastAsia" w:hAnsiTheme="minorHAnsi" w:cstheme="minorBidi"/>
      <w:kern w:val="2"/>
      <w:sz w:val="18"/>
      <w:szCs w:val="18"/>
    </w:rPr>
  </w:style>
  <w:style w:type="character" w:customStyle="1" w:styleId="a4">
    <w:name w:val="批注文字 字符"/>
    <w:basedOn w:val="a0"/>
    <w:link w:val="a3"/>
    <w:qFormat/>
    <w:rPr>
      <w:rFonts w:asciiTheme="minorHAnsi" w:eastAsiaTheme="minorEastAsia" w:hAnsiTheme="minorHAnsi" w:cstheme="minorBidi"/>
      <w:kern w:val="2"/>
      <w:sz w:val="21"/>
      <w:szCs w:val="22"/>
    </w:rPr>
  </w:style>
  <w:style w:type="character" w:customStyle="1" w:styleId="ab">
    <w:name w:val="批注主题 字符"/>
    <w:basedOn w:val="a4"/>
    <w:link w:val="aa"/>
    <w:qFormat/>
    <w:rPr>
      <w:rFonts w:asciiTheme="minorHAnsi" w:eastAsiaTheme="minorEastAsia" w:hAnsiTheme="minorHAnsi" w:cstheme="minorBidi"/>
      <w:b/>
      <w:bCs/>
      <w:kern w:val="2"/>
      <w:sz w:val="21"/>
      <w:szCs w:val="22"/>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2.wdp"/><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png"/><Relationship Id="rId5" Type="http://schemas.microsoft.com/office/2007/relationships/hdphoto" Target="media/hdphoto1.wdp"/><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4.tiff"/><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2448</Words>
  <Characters>13958</Characters>
  <Application>Microsoft Office Word</Application>
  <DocSecurity>0</DocSecurity>
  <Lines>116</Lines>
  <Paragraphs>32</Paragraphs>
  <ScaleCrop>false</ScaleCrop>
  <Company/>
  <LinksUpToDate>false</LinksUpToDate>
  <CharactersWithSpaces>16374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文档存本地丢失不负责</dc:creator>
  <cp:lastModifiedBy>元鹏 聂</cp:lastModifiedBy>
  <cp:revision>37</cp:revision>
  <dcterms:created xsi:type="dcterms:W3CDTF">2023-03-13T09:43:00Z</dcterms:created>
  <dcterms:modified xsi:type="dcterms:W3CDTF">2023-12-15T04:48:00Z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B581354E92024134841CC541FAF4C604</vt:lpwstr>
  </property>
</Properties>
</file>