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2DD" w:rsidRPr="00486E80" w:rsidRDefault="00486E80">
      <w:pPr>
        <w:rPr>
          <w:rFonts w:ascii="Times New Roman" w:hAnsi="Times New Roman" w:cs="Times New Roman"/>
          <w:bCs/>
          <w:sz w:val="24"/>
        </w:rPr>
      </w:pPr>
      <w:bookmarkStart w:id="0" w:name="_GoBack"/>
      <w:r w:rsidRPr="00486E80">
        <w:rPr>
          <w:rFonts w:ascii="Times New Roman" w:hAnsi="Times New Roman" w:cs="Times New Roman"/>
          <w:bCs/>
          <w:sz w:val="24"/>
        </w:rPr>
        <w:t xml:space="preserve">Table </w:t>
      </w:r>
      <w:r>
        <w:rPr>
          <w:rFonts w:ascii="Times New Roman" w:hAnsi="Times New Roman" w:cs="Times New Roman"/>
          <w:bCs/>
          <w:sz w:val="24"/>
        </w:rPr>
        <w:t>S</w:t>
      </w:r>
      <w:r w:rsidRPr="00486E80">
        <w:rPr>
          <w:rFonts w:ascii="Times New Roman" w:hAnsi="Times New Roman" w:cs="Times New Roman"/>
          <w:bCs/>
          <w:sz w:val="24"/>
        </w:rPr>
        <w:t>1</w:t>
      </w:r>
      <w:r w:rsidRPr="00486E80">
        <w:rPr>
          <w:rFonts w:ascii="Times New Roman" w:hAnsi="Times New Roman" w:cs="Times New Roman" w:hint="eastAsia"/>
          <w:bCs/>
          <w:sz w:val="24"/>
        </w:rPr>
        <w:t>. K</w:t>
      </w:r>
      <w:r w:rsidRPr="00486E80">
        <w:rPr>
          <w:rFonts w:ascii="Times New Roman" w:hAnsi="Times New Roman" w:cs="Times New Roman"/>
          <w:bCs/>
          <w:sz w:val="24"/>
        </w:rPr>
        <w:t>eywords</w:t>
      </w:r>
      <w:r w:rsidRPr="00486E80">
        <w:rPr>
          <w:rFonts w:ascii="Times New Roman" w:hAnsi="Times New Roman" w:cs="Times New Roman" w:hint="eastAsia"/>
          <w:bCs/>
          <w:sz w:val="24"/>
        </w:rPr>
        <w:t xml:space="preserve"> </w:t>
      </w:r>
      <w:r w:rsidRPr="00486E80">
        <w:rPr>
          <w:rFonts w:ascii="Times New Roman" w:hAnsi="Times New Roman" w:cs="Times New Roman"/>
          <w:bCs/>
          <w:sz w:val="24"/>
        </w:rPr>
        <w:t>cluster</w:t>
      </w:r>
      <w:r w:rsidRPr="00486E80">
        <w:rPr>
          <w:rFonts w:ascii="Times New Roman" w:hAnsi="Times New Roman" w:cs="Times New Roman" w:hint="eastAsia"/>
          <w:bCs/>
          <w:sz w:val="24"/>
        </w:rPr>
        <w:t xml:space="preserve">s </w:t>
      </w:r>
      <w:r w:rsidRPr="00486E80">
        <w:rPr>
          <w:rFonts w:ascii="Times New Roman" w:hAnsi="Times New Roman" w:cs="Times New Roman"/>
          <w:bCs/>
          <w:sz w:val="24"/>
        </w:rPr>
        <w:t>information</w:t>
      </w:r>
      <w:r w:rsidRPr="00486E80">
        <w:rPr>
          <w:rFonts w:ascii="Times New Roman" w:hAnsi="Times New Roman" w:cs="Times New Roman" w:hint="eastAsia"/>
          <w:bCs/>
          <w:sz w:val="24"/>
        </w:rPr>
        <w:t xml:space="preserve"> by </w:t>
      </w:r>
      <w:proofErr w:type="spellStart"/>
      <w:r w:rsidRPr="00486E80">
        <w:rPr>
          <w:rFonts w:ascii="Times New Roman" w:hAnsi="Times New Roman" w:cs="Times New Roman" w:hint="eastAsia"/>
          <w:bCs/>
          <w:sz w:val="24"/>
        </w:rPr>
        <w:t>Vosviewer</w:t>
      </w:r>
      <w:proofErr w:type="spell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3"/>
        <w:gridCol w:w="7249"/>
      </w:tblGrid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1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traditional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chinese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medicine;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quercetin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flavonoids; capillary electrophoresis; electrochemical sensor; nanomaterials; reactive oxygen species; baicalin; graphene; graphene oxide; inhibitor screening; voltammetry; carbon nanotube;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chinese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herbal medicines; magnetic solid-phase extraction; mass spectrometry;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nanoformulations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surface-enhanced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raman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spectroscopy; alpha-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glucosidase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amperometric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detection;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chemiluminescence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copper; fluorescence;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honokiol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luteolin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mycotoxins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pesticide residues; phytochemical analysis;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aptasensor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baicalein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carbon nanotubes; dispersive solid-phase extraction; drug screening; electrochemistry; lead;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magnolol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modified electrode; multi-walled carbon nanotubes;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nanocomposite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pesticides;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rutin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sers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2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green synthesis; silver nanoparticles; gold nanoparticles; antibacterial; antibacterial activity; magnetic nanoparticles; antioxidant activity; biosynthesis; bioactive compounds;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agnps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essential oil; ligand fishing; anticancer activity; pharmacology; characterization;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photocatalysis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plant extract;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rosmarinic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acid; chitosan nanoparticles; obesity; silver nanoparticle;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andrographolide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molecular docking; zeta potential;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aunps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drug discovery;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gc-ms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gene expression;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larvicidal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activity; medicinal plant; secondary metabolites; synthesis; toxicology; transmission electron microscopy; zinc oxide nanoparticles;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zno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nanoparticles;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3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apoptosis; berberine; breast cancer;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celastrol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triptolide; anticancer; autophagy; blood-brain barrier; hepatocellular carcinoma; combination therapy; nanostructures; rheumatoid arthritis; angiogenesis; glioma; mechanism; self-assembly; antitumor;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borneol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doxorubicin; resveratrol;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ursolic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acid; safety; controlled release; in vitro; in vivo; liposome; metastasis;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nanosuspension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ros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selenium nanoparticles; tem;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bufalin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folic acid; gastric cancer; targeted delivery; traditional medicine;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4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nanoparticles; herbal medicine; nanoparticle; cancer; liposomes; cancer therapy;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chinese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medicine; drug delivery system; phytochemical;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emodin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colorectal cancer; immunotherapy; chemotherapy;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gambogic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acid; inflammatory bowel disease;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nanocarrier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drug resistance; micelles;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nanoemulsions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photodynamic therapy;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realgar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5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antioxidant; wound healing; phytochemicals; toxicity; antimicrobial; biocompatibility;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hplc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polysaccharide; encapsulation; extraction; hemostasis; herb; stability; biological activity; biomedical applications; flavonoid; health; pharmacological activity; phytochemical compounds; polyphenol; synergistic effect;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6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carbon dots; anti-inflammatory; herbal medicines; herbs; adsorption; polyphenols;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biochar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traditional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chinese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medicines;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bioimaging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ferulic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acid; magnetic molecularly imprinted polymers; plant extracts; solid phase extraction;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chinese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herbal medicine; drugs; metal nanoparticles;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chinese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herbs; heavy metals; hexavalent chromium;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7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drug delivery; curcumin; chitosan; natural products; inflammation;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nanoemulsion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plga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psoriasis; anti-cancer;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nanoformulation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mesoporous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silica nanoparticles;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nanocapsules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turmeric; herbal drug; melanoma; microencapsulation;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tetrandrine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thymoquinone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8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medicinal plants; antioxidants; covid-19; medicinal herbs; polysaccharides; novel method; sars-cov-2; immunity; clinical trials; eco-friendly; herbal; innovative technology;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kabasura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kudineer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sem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shikonin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silica; silver;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9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nanotechnology; bioavailability; pharmacokinetics; oxidative stress;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alzheimer's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disease; drug delivery systems;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nanocarriers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biological activities; herbal drugs;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puerarin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solubility; traditional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chinese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medicine (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tcm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); oral bioavailability; active ingredients; dissolution;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nanocrystals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; </w:t>
            </w:r>
            <w:proofErr w:type="spellStart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parkinson's</w:t>
            </w:r>
            <w:proofErr w:type="spellEnd"/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 disease;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10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cytotoxicity; electrospinning; wound dressing; solid lipid nanoparticles; nanofiber; sustained release; tissue engineering; bone tissue engineering; icariin; antitumor activity; lung cancer; silk fibroin; solid lipid nanoparticle; </w:t>
            </w:r>
          </w:p>
        </w:tc>
      </w:tr>
      <w:tr w:rsidR="00486E80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11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 xml:space="preserve">nanomedicine; antimicrobial activity; diabetes; biomaterials; </w:t>
            </w:r>
          </w:p>
        </w:tc>
      </w:tr>
      <w:tr w:rsidR="005722DD" w:rsidRPr="00486E80">
        <w:trPr>
          <w:trHeight w:val="288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cluster 12</w:t>
            </w:r>
          </w:p>
        </w:tc>
        <w:tc>
          <w:tcPr>
            <w:tcW w:w="4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22DD" w:rsidRPr="00486E80" w:rsidRDefault="00486E80">
            <w:pPr>
              <w:widowControl/>
              <w:jc w:val="left"/>
              <w:textAlignment w:val="center"/>
              <w:rPr>
                <w:rFonts w:ascii="SimSun" w:eastAsia="SimSun" w:hAnsi="SimSun" w:cs="SimSun"/>
                <w:sz w:val="22"/>
                <w:szCs w:val="22"/>
              </w:rPr>
            </w:pPr>
            <w:r w:rsidRPr="00486E80">
              <w:rPr>
                <w:rFonts w:ascii="SimSun" w:eastAsia="SimSun" w:hAnsi="SimSun" w:cs="SimSun" w:hint="eastAsia"/>
                <w:kern w:val="0"/>
                <w:sz w:val="22"/>
                <w:szCs w:val="22"/>
                <w:lang w:bidi="ar"/>
              </w:rPr>
              <w:t>liver cancer</w:t>
            </w:r>
          </w:p>
        </w:tc>
      </w:tr>
      <w:bookmarkEnd w:id="0"/>
    </w:tbl>
    <w:p w:rsidR="005722DD" w:rsidRPr="00486E80" w:rsidRDefault="005722DD">
      <w:pPr>
        <w:rPr>
          <w:rFonts w:ascii="Times New Roman" w:hAnsi="Times New Roman" w:cs="Times New Roman"/>
          <w:bCs/>
          <w:sz w:val="24"/>
        </w:rPr>
      </w:pPr>
    </w:p>
    <w:sectPr w:rsidR="005722DD" w:rsidRPr="00486E80" w:rsidSect="00103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embedSystemFonts/>
  <w:proofState w:spelling="clean" w:grammar="clean"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YzRjYzhmNDE2MTllZTk4OTA0MjBhNzdiZjJmM2YifQ=="/>
  </w:docVars>
  <w:rsids>
    <w:rsidRoot w:val="52DF1DFC"/>
    <w:rsid w:val="001036B0"/>
    <w:rsid w:val="00486E80"/>
    <w:rsid w:val="005722DD"/>
    <w:rsid w:val="52D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64813D3-FFF2-40A9-BD15-4FE14134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616</Words>
  <Characters>3516</Characters>
  <Application>Microsoft Office Word</Application>
  <DocSecurity>0</DocSecurity>
  <Lines>29</Lines>
  <Paragraphs>8</Paragraphs>
  <ScaleCrop>false</ScaleCrop>
  <Company>HP Inc.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Jenifer M.</cp:lastModifiedBy>
  <cp:revision>3</cp:revision>
  <dcterms:created xsi:type="dcterms:W3CDTF">2023-11-13T16:06:00Z</dcterms:created>
  <dcterms:modified xsi:type="dcterms:W3CDTF">2024-03-22T10:39:00Z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6659BD0D84B84BD49BD58E6E6A5A566E_11</vt:lpwstr>
  </property>
</Properties>
</file>