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5CD5" w14:textId="70757360" w:rsidR="0059526F" w:rsidRPr="00894D26" w:rsidRDefault="0059526F" w:rsidP="00013C2A">
      <w:pPr>
        <w:spacing w:line="360" w:lineRule="auto"/>
        <w:jc w:val="center"/>
        <w:rPr>
          <w:b/>
        </w:rPr>
      </w:pPr>
      <w:r w:rsidRPr="0019723B">
        <w:rPr>
          <w:sz w:val="32"/>
          <w:szCs w:val="32"/>
        </w:rPr>
        <w:t>Supporting Information</w:t>
      </w:r>
    </w:p>
    <w:p w14:paraId="2811AEFD" w14:textId="77777777" w:rsidR="001013F4" w:rsidRPr="0019723B" w:rsidRDefault="001013F4" w:rsidP="00013C2A">
      <w:pPr>
        <w:pStyle w:val="Tableofcontents"/>
        <w:spacing w:line="360" w:lineRule="auto"/>
        <w:jc w:val="both"/>
      </w:pPr>
    </w:p>
    <w:p w14:paraId="581B2C7E" w14:textId="172FDB03" w:rsidR="0059526F" w:rsidRDefault="00894D26" w:rsidP="00013C2A">
      <w:pPr>
        <w:pStyle w:val="Title2"/>
        <w:spacing w:line="360" w:lineRule="auto"/>
        <w:jc w:val="both"/>
      </w:pPr>
      <w:r w:rsidRPr="00894D26">
        <w:t>Biomimetic-Magnetic Dual-Targeted Metal-Organic Framework to Improve the Anti-Hepatocellular Carcinoma Efficacy of PD-1 Inhibitor</w:t>
      </w:r>
    </w:p>
    <w:p w14:paraId="1030BBFD" w14:textId="77777777" w:rsidR="00894D26" w:rsidRPr="0019723B" w:rsidRDefault="00894D26" w:rsidP="00013C2A">
      <w:pPr>
        <w:pStyle w:val="Title2"/>
        <w:spacing w:line="360" w:lineRule="auto"/>
        <w:jc w:val="both"/>
        <w:rPr>
          <w:b w:val="0"/>
        </w:rPr>
      </w:pPr>
    </w:p>
    <w:p w14:paraId="3610CFB4" w14:textId="476D7676" w:rsidR="00894D26" w:rsidRPr="00A35E4A" w:rsidRDefault="00894D26" w:rsidP="00013C2A">
      <w:pPr>
        <w:pStyle w:val="AuthorsFull"/>
        <w:spacing w:line="360" w:lineRule="auto"/>
        <w:jc w:val="both"/>
      </w:pPr>
      <w:r w:rsidRPr="00474DEA">
        <w:t>Hong Guo</w:t>
      </w:r>
      <w:r>
        <w:rPr>
          <w:vertAlign w:val="superscript"/>
        </w:rPr>
        <w:t xml:space="preserve"> </w:t>
      </w:r>
      <w:r w:rsidRPr="00474DEA">
        <w:rPr>
          <w:vertAlign w:val="superscript"/>
        </w:rPr>
        <w:t>‡</w:t>
      </w:r>
      <w:r w:rsidRPr="00474DEA">
        <w:t>, Xia Li</w:t>
      </w:r>
      <w:r>
        <w:rPr>
          <w:vertAlign w:val="superscript"/>
        </w:rPr>
        <w:t xml:space="preserve"> </w:t>
      </w:r>
      <w:r w:rsidRPr="00474DEA">
        <w:rPr>
          <w:vertAlign w:val="superscript"/>
        </w:rPr>
        <w:t>‡</w:t>
      </w:r>
      <w:r w:rsidRPr="00474DEA">
        <w:t xml:space="preserve">, </w:t>
      </w:r>
      <w:proofErr w:type="spellStart"/>
      <w:r w:rsidRPr="00474DEA">
        <w:t>Dengxuan</w:t>
      </w:r>
      <w:proofErr w:type="spellEnd"/>
      <w:r w:rsidRPr="00474DEA">
        <w:t xml:space="preserve"> Mao, Hong Wang, </w:t>
      </w:r>
      <w:proofErr w:type="spellStart"/>
      <w:r w:rsidRPr="00474DEA">
        <w:t>Liangyin</w:t>
      </w:r>
      <w:proofErr w:type="spellEnd"/>
      <w:r w:rsidRPr="00474DEA">
        <w:t xml:space="preserve"> Wei, Ding Qu, Xiaoying Qin, Xiaoqi Li, Yuping Liu*, and Yan Chen*.</w:t>
      </w:r>
    </w:p>
    <w:p w14:paraId="05DDD0F1" w14:textId="77777777" w:rsidR="0059526F" w:rsidRPr="0019723B" w:rsidRDefault="0059526F" w:rsidP="00013C2A">
      <w:pPr>
        <w:pStyle w:val="Maintext0"/>
        <w:spacing w:line="360" w:lineRule="auto"/>
        <w:jc w:val="both"/>
      </w:pPr>
    </w:p>
    <w:p w14:paraId="73A27FD3" w14:textId="4816E018" w:rsidR="00894D26" w:rsidRDefault="00147BAE" w:rsidP="00B6638C">
      <w:pPr>
        <w:jc w:val="center"/>
      </w:pPr>
      <w:r w:rsidRPr="00147BAE">
        <w:rPr>
          <w:noProof/>
        </w:rPr>
        <w:lastRenderedPageBreak/>
        <w:drawing>
          <wp:inline distT="0" distB="0" distL="0" distR="0" wp14:anchorId="309FE6CA" wp14:editId="7F528852">
            <wp:extent cx="5440713" cy="7246488"/>
            <wp:effectExtent l="0" t="0" r="7620" b="0"/>
            <wp:docPr id="4507284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284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4231" cy="725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CB38D" w14:textId="74B759D9" w:rsidR="00284DFA" w:rsidRPr="0063171E" w:rsidRDefault="00894D26" w:rsidP="00013C2A">
      <w:pPr>
        <w:spacing w:line="360" w:lineRule="auto"/>
        <w:jc w:val="both"/>
        <w:rPr>
          <w:rFonts w:eastAsiaTheme="minorEastAsia"/>
          <w:szCs w:val="32"/>
          <w:lang w:val="en-GB"/>
        </w:rPr>
      </w:pPr>
      <w:r w:rsidRPr="00284DFA">
        <w:rPr>
          <w:b/>
          <w:bCs/>
        </w:rPr>
        <w:t>Figure S1</w:t>
      </w:r>
      <w:r w:rsidRPr="00284DFA">
        <w:t>. Changes in Hm@TSA/As-MOF size and zeta potential were monitored over the course of a week using DLS (A). Image demonstrating morpholog</w:t>
      </w:r>
      <w:r w:rsidR="00284DFA" w:rsidRPr="00284DFA">
        <w:t>ies</w:t>
      </w:r>
      <w:r w:rsidRPr="00284DFA">
        <w:t xml:space="preserve"> of Fe</w:t>
      </w:r>
      <w:r w:rsidRPr="00284DFA">
        <w:rPr>
          <w:vertAlign w:val="subscript"/>
        </w:rPr>
        <w:t>3</w:t>
      </w:r>
      <w:r w:rsidRPr="00284DFA">
        <w:t>O</w:t>
      </w:r>
      <w:r w:rsidRPr="00284DFA">
        <w:rPr>
          <w:vertAlign w:val="subscript"/>
        </w:rPr>
        <w:t>4</w:t>
      </w:r>
      <w:r w:rsidRPr="00284DFA">
        <w:t xml:space="preserve"> nanoparticles</w:t>
      </w:r>
      <w:r w:rsidR="00284DFA" w:rsidRPr="00284DFA">
        <w:t xml:space="preserve"> and TSA/As-MOF</w:t>
      </w:r>
      <w:r w:rsidRPr="00284DFA">
        <w:t xml:space="preserve"> taken by SEM (sca</w:t>
      </w:r>
      <w:r w:rsidRPr="0063171E">
        <w:t>le bar = 200 nm) (B). Elemental composition analysis of MOF, TSA/As-MOF, and Hm@TSA/As-MOF were conducted using SEM coupled with energy-dispersive X-ray spectroscopy (SEM-EDS) (C).</w:t>
      </w:r>
      <w:r w:rsidR="00147BAE" w:rsidRPr="0063171E">
        <w:rPr>
          <w:rFonts w:eastAsiaTheme="minorEastAsia" w:hint="eastAsia"/>
          <w:lang w:eastAsia="zh-CN"/>
        </w:rPr>
        <w:t xml:space="preserve"> </w:t>
      </w:r>
      <w:r w:rsidR="00147BAE" w:rsidRPr="0063171E">
        <w:rPr>
          <w:rFonts w:eastAsiaTheme="minorEastAsia"/>
          <w:lang w:eastAsia="zh-CN"/>
        </w:rPr>
        <w:t>The Hm and TSA/As-MOF w</w:t>
      </w:r>
      <w:r w:rsidR="00147BAE" w:rsidRPr="0063171E">
        <w:rPr>
          <w:rFonts w:eastAsiaTheme="minorEastAsia" w:hint="eastAsia"/>
          <w:lang w:eastAsia="zh-CN"/>
        </w:rPr>
        <w:t>ere</w:t>
      </w:r>
      <w:r w:rsidR="00147BAE" w:rsidRPr="0063171E">
        <w:rPr>
          <w:rFonts w:eastAsiaTheme="minorEastAsia"/>
          <w:lang w:eastAsia="zh-CN"/>
        </w:rPr>
        <w:t xml:space="preserve"> demonstrated by laser confocal microscopy</w:t>
      </w:r>
      <w:r w:rsidR="00147BAE" w:rsidRPr="0063171E">
        <w:rPr>
          <w:rFonts w:eastAsiaTheme="minorEastAsia" w:hint="eastAsia"/>
          <w:lang w:eastAsia="zh-CN"/>
        </w:rPr>
        <w:t>, respectively</w:t>
      </w:r>
      <w:r w:rsidR="00147BAE" w:rsidRPr="0063171E">
        <w:rPr>
          <w:rFonts w:eastAsiaTheme="minorEastAsia"/>
          <w:lang w:eastAsia="zh-CN"/>
        </w:rPr>
        <w:t xml:space="preserve"> (</w:t>
      </w:r>
      <w:r w:rsidR="00147BAE" w:rsidRPr="0063171E">
        <w:rPr>
          <w:rFonts w:eastAsiaTheme="minorEastAsia" w:hint="eastAsia"/>
          <w:lang w:eastAsia="zh-CN"/>
        </w:rPr>
        <w:t>D</w:t>
      </w:r>
      <w:r w:rsidR="00147BAE" w:rsidRPr="0063171E">
        <w:rPr>
          <w:rFonts w:eastAsiaTheme="minorEastAsia"/>
          <w:lang w:eastAsia="zh-CN"/>
        </w:rPr>
        <w:t>)</w:t>
      </w:r>
      <w:r w:rsidR="00147BAE" w:rsidRPr="0063171E">
        <w:rPr>
          <w:rFonts w:eastAsiaTheme="minorEastAsia" w:hint="eastAsia"/>
          <w:lang w:eastAsia="zh-CN"/>
        </w:rPr>
        <w:t>.</w:t>
      </w:r>
      <w:r w:rsidRPr="0063171E">
        <w:t xml:space="preserve"> The responsiveness of MOF</w:t>
      </w:r>
      <w:r w:rsidR="00284DFA" w:rsidRPr="0063171E">
        <w:t xml:space="preserve"> and </w:t>
      </w:r>
      <w:r w:rsidRPr="0063171E">
        <w:lastRenderedPageBreak/>
        <w:t>TSA/As-MOF to magnetic fields were evaluated using NdFeB permanent magnets, respectively (</w:t>
      </w:r>
      <w:r w:rsidR="00147BAE" w:rsidRPr="0063171E">
        <w:rPr>
          <w:rFonts w:eastAsiaTheme="minorEastAsia" w:hint="eastAsia"/>
          <w:lang w:eastAsia="zh-CN"/>
        </w:rPr>
        <w:t>E</w:t>
      </w:r>
      <w:r w:rsidRPr="0063171E">
        <w:t>).</w:t>
      </w:r>
      <w:r w:rsidR="00147BAE" w:rsidRPr="0063171E">
        <w:rPr>
          <w:lang w:val="en-GB"/>
        </w:rPr>
        <w:t xml:space="preserve"> The responsiveness of </w:t>
      </w:r>
      <w:r w:rsidR="00147BAE" w:rsidRPr="0063171E">
        <w:rPr>
          <w:rFonts w:eastAsiaTheme="minorEastAsia" w:hint="eastAsia"/>
          <w:szCs w:val="32"/>
          <w:lang w:val="en-GB" w:eastAsia="zh-CN"/>
        </w:rPr>
        <w:t>Fe</w:t>
      </w:r>
      <w:r w:rsidR="00147BAE" w:rsidRPr="0063171E">
        <w:rPr>
          <w:rFonts w:eastAsiaTheme="minorEastAsia" w:hint="eastAsia"/>
          <w:szCs w:val="32"/>
          <w:vertAlign w:val="subscript"/>
          <w:lang w:val="en-GB" w:eastAsia="zh-CN"/>
        </w:rPr>
        <w:t>3</w:t>
      </w:r>
      <w:r w:rsidR="00147BAE" w:rsidRPr="0063171E">
        <w:rPr>
          <w:rFonts w:eastAsiaTheme="minorEastAsia" w:hint="eastAsia"/>
          <w:szCs w:val="32"/>
          <w:lang w:val="en-GB" w:eastAsia="zh-CN"/>
        </w:rPr>
        <w:t>O</w:t>
      </w:r>
      <w:r w:rsidR="00147BAE" w:rsidRPr="0063171E">
        <w:rPr>
          <w:rFonts w:eastAsiaTheme="minorEastAsia" w:hint="eastAsia"/>
          <w:szCs w:val="32"/>
          <w:vertAlign w:val="subscript"/>
          <w:lang w:val="en-GB" w:eastAsia="zh-CN"/>
        </w:rPr>
        <w:t>4</w:t>
      </w:r>
      <w:r w:rsidR="00147BAE" w:rsidRPr="0063171E">
        <w:rPr>
          <w:lang w:val="en-GB"/>
        </w:rPr>
        <w:t xml:space="preserve"> to magnetic fields was tested using VSM (</w:t>
      </w:r>
      <w:r w:rsidR="00147BAE" w:rsidRPr="0063171E">
        <w:rPr>
          <w:rFonts w:eastAsiaTheme="minorEastAsia" w:hint="eastAsia"/>
          <w:lang w:val="en-GB" w:eastAsia="zh-CN"/>
        </w:rPr>
        <w:t>F</w:t>
      </w:r>
      <w:r w:rsidR="00147BAE" w:rsidRPr="0063171E">
        <w:rPr>
          <w:lang w:val="en-GB"/>
        </w:rPr>
        <w:t>)</w:t>
      </w:r>
      <w:r w:rsidR="00147BAE" w:rsidRPr="0063171E">
        <w:rPr>
          <w:rFonts w:eastAsiaTheme="minorEastAsia" w:hint="eastAsia"/>
          <w:lang w:eastAsia="zh-CN"/>
        </w:rPr>
        <w:t>.</w:t>
      </w:r>
      <w:r w:rsidR="00AE6D93" w:rsidRPr="0063171E">
        <w:rPr>
          <w:lang w:val="en-GB"/>
        </w:rPr>
        <w:t xml:space="preserve"> The pore characteristics of MOF was observed by the curves of nitrogen adsorption and desorption (</w:t>
      </w:r>
      <w:r w:rsidR="00147BAE" w:rsidRPr="0063171E">
        <w:rPr>
          <w:rFonts w:eastAsiaTheme="minorEastAsia" w:hint="eastAsia"/>
          <w:lang w:val="en-GB" w:eastAsia="zh-CN"/>
        </w:rPr>
        <w:t>G</w:t>
      </w:r>
      <w:r w:rsidR="00AE6D93" w:rsidRPr="0063171E">
        <w:rPr>
          <w:lang w:val="en-GB"/>
        </w:rPr>
        <w:t>).</w:t>
      </w:r>
      <w:r w:rsidR="00284DFA" w:rsidRPr="0063171E">
        <w:t xml:space="preserve"> </w:t>
      </w:r>
      <w:r w:rsidR="00284DFA" w:rsidRPr="0063171E">
        <w:rPr>
          <w:lang w:val="en-GB"/>
        </w:rPr>
        <w:t>The TGA (</w:t>
      </w:r>
      <w:r w:rsidR="00147BAE" w:rsidRPr="0063171E">
        <w:rPr>
          <w:rFonts w:eastAsiaTheme="minorEastAsia" w:hint="eastAsia"/>
          <w:lang w:val="en-GB" w:eastAsia="zh-CN"/>
        </w:rPr>
        <w:t>H</w:t>
      </w:r>
      <w:r w:rsidR="00284DFA" w:rsidRPr="0063171E">
        <w:rPr>
          <w:lang w:val="en-GB"/>
        </w:rPr>
        <w:t>), UV (</w:t>
      </w:r>
      <w:r w:rsidR="00147BAE" w:rsidRPr="0063171E">
        <w:rPr>
          <w:rFonts w:eastAsiaTheme="minorEastAsia" w:hint="eastAsia"/>
          <w:lang w:val="en-GB" w:eastAsia="zh-CN"/>
        </w:rPr>
        <w:t>I</w:t>
      </w:r>
      <w:r w:rsidR="00284DFA" w:rsidRPr="0063171E">
        <w:rPr>
          <w:lang w:val="en-GB"/>
        </w:rPr>
        <w:t>), and FTIR (</w:t>
      </w:r>
      <w:r w:rsidR="00147BAE" w:rsidRPr="0063171E">
        <w:rPr>
          <w:rFonts w:eastAsiaTheme="minorEastAsia" w:hint="eastAsia"/>
          <w:lang w:val="en-GB" w:eastAsia="zh-CN"/>
        </w:rPr>
        <w:t>J</w:t>
      </w:r>
      <w:r w:rsidR="00284DFA" w:rsidRPr="0063171E">
        <w:rPr>
          <w:lang w:val="en-GB"/>
        </w:rPr>
        <w:t xml:space="preserve">) results of TSA and </w:t>
      </w:r>
      <w:proofErr w:type="gramStart"/>
      <w:r w:rsidR="00284DFA" w:rsidRPr="0063171E">
        <w:rPr>
          <w:lang w:val="en-GB"/>
        </w:rPr>
        <w:t>As</w:t>
      </w:r>
      <w:proofErr w:type="gramEnd"/>
      <w:r w:rsidR="00284DFA" w:rsidRPr="0063171E">
        <w:rPr>
          <w:lang w:val="en-GB"/>
        </w:rPr>
        <w:t xml:space="preserve"> </w:t>
      </w:r>
      <w:r w:rsidR="00284DFA" w:rsidRPr="0063171E">
        <w:rPr>
          <w:rFonts w:eastAsiaTheme="minorEastAsia"/>
          <w:szCs w:val="32"/>
          <w:lang w:val="en-GB"/>
        </w:rPr>
        <w:t>are shown.</w:t>
      </w:r>
    </w:p>
    <w:p w14:paraId="27E7DDD8" w14:textId="77777777" w:rsidR="007033ED" w:rsidRPr="0063171E" w:rsidRDefault="007033ED" w:rsidP="00013C2A">
      <w:pPr>
        <w:spacing w:line="360" w:lineRule="auto"/>
        <w:jc w:val="both"/>
        <w:rPr>
          <w:rFonts w:eastAsiaTheme="minorEastAsia"/>
          <w:lang w:eastAsia="zh-CN"/>
        </w:rPr>
      </w:pPr>
    </w:p>
    <w:p w14:paraId="4C83CEC3" w14:textId="7AC8BEA1" w:rsidR="004B539B" w:rsidRPr="0063171E" w:rsidRDefault="004B539B" w:rsidP="00013C2A">
      <w:pPr>
        <w:spacing w:line="360" w:lineRule="auto"/>
        <w:jc w:val="both"/>
        <w:rPr>
          <w:rFonts w:eastAsiaTheme="minorEastAsia"/>
          <w:lang w:eastAsia="zh-CN"/>
        </w:rPr>
      </w:pPr>
      <w:r w:rsidRPr="0063171E">
        <w:rPr>
          <w:noProof/>
        </w:rPr>
        <w:drawing>
          <wp:inline distT="0" distB="0" distL="0" distR="0" wp14:anchorId="02463348" wp14:editId="0C9D0A82">
            <wp:extent cx="5760720" cy="3408680"/>
            <wp:effectExtent l="0" t="0" r="0" b="1270"/>
            <wp:docPr id="14453019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019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11046" w14:textId="32188CED" w:rsidR="007033ED" w:rsidRPr="0063171E" w:rsidRDefault="007033ED" w:rsidP="007033ED">
      <w:pPr>
        <w:spacing w:line="360" w:lineRule="auto"/>
        <w:jc w:val="both"/>
        <w:rPr>
          <w:rFonts w:eastAsiaTheme="minorEastAsia"/>
          <w:lang w:eastAsia="zh-CN"/>
        </w:rPr>
      </w:pPr>
      <w:r w:rsidRPr="0063171E">
        <w:rPr>
          <w:b/>
          <w:bCs/>
        </w:rPr>
        <w:t>Figure S</w:t>
      </w:r>
      <w:r w:rsidRPr="0063171E">
        <w:rPr>
          <w:rFonts w:eastAsiaTheme="minorEastAsia" w:hint="eastAsia"/>
          <w:b/>
          <w:bCs/>
          <w:lang w:eastAsia="zh-CN"/>
        </w:rPr>
        <w:t>2</w:t>
      </w:r>
      <w:r w:rsidRPr="0063171E">
        <w:t>. The HPLC chromatograms of TAS</w:t>
      </w:r>
      <w:r w:rsidRPr="0063171E">
        <w:rPr>
          <w:rFonts w:eastAsiaTheme="minorEastAsia" w:hint="eastAsia"/>
          <w:lang w:eastAsia="zh-CN"/>
        </w:rPr>
        <w:t xml:space="preserve"> (A)</w:t>
      </w:r>
      <w:r w:rsidRPr="0063171E">
        <w:t xml:space="preserve"> and As</w:t>
      </w:r>
      <w:r w:rsidRPr="0063171E">
        <w:rPr>
          <w:rFonts w:eastAsiaTheme="minorEastAsia" w:hint="eastAsia"/>
          <w:lang w:eastAsia="zh-CN"/>
        </w:rPr>
        <w:t xml:space="preserve"> (B), and t</w:t>
      </w:r>
      <w:r w:rsidRPr="0063171E">
        <w:rPr>
          <w:rFonts w:eastAsiaTheme="minorEastAsia"/>
          <w:lang w:eastAsia="zh-CN"/>
        </w:rPr>
        <w:t>he standard curves of TAS</w:t>
      </w:r>
      <w:r w:rsidRPr="0063171E">
        <w:rPr>
          <w:rFonts w:eastAsiaTheme="minorEastAsia" w:hint="eastAsia"/>
          <w:lang w:eastAsia="zh-CN"/>
        </w:rPr>
        <w:t xml:space="preserve"> (C)</w:t>
      </w:r>
      <w:r w:rsidRPr="0063171E">
        <w:rPr>
          <w:rFonts w:eastAsiaTheme="minorEastAsia"/>
          <w:lang w:eastAsia="zh-CN"/>
        </w:rPr>
        <w:t xml:space="preserve"> and As</w:t>
      </w:r>
      <w:r w:rsidRPr="0063171E">
        <w:rPr>
          <w:rFonts w:eastAsiaTheme="minorEastAsia" w:hint="eastAsia"/>
          <w:lang w:eastAsia="zh-CN"/>
        </w:rPr>
        <w:t xml:space="preserve"> (D)</w:t>
      </w:r>
      <w:r w:rsidRPr="0063171E">
        <w:rPr>
          <w:rFonts w:eastAsiaTheme="minorEastAsia"/>
          <w:lang w:eastAsia="zh-CN"/>
        </w:rPr>
        <w:t>.</w:t>
      </w:r>
    </w:p>
    <w:p w14:paraId="1118D802" w14:textId="77777777" w:rsidR="007033ED" w:rsidRPr="0063171E" w:rsidRDefault="007033ED" w:rsidP="007033ED">
      <w:pPr>
        <w:spacing w:line="360" w:lineRule="auto"/>
        <w:jc w:val="both"/>
        <w:rPr>
          <w:rFonts w:eastAsiaTheme="minorEastAsia"/>
          <w:lang w:eastAsia="zh-CN"/>
        </w:rPr>
      </w:pPr>
    </w:p>
    <w:p w14:paraId="1E3DF427" w14:textId="256227DA" w:rsidR="00894D26" w:rsidRPr="0063171E" w:rsidRDefault="00147BAE" w:rsidP="00013C2A">
      <w:pPr>
        <w:jc w:val="both"/>
      </w:pPr>
      <w:r w:rsidRPr="0063171E">
        <w:rPr>
          <w:noProof/>
        </w:rPr>
        <w:drawing>
          <wp:inline distT="0" distB="0" distL="0" distR="0" wp14:anchorId="419FA552" wp14:editId="3388330A">
            <wp:extent cx="5760720" cy="2036445"/>
            <wp:effectExtent l="0" t="0" r="0" b="1905"/>
            <wp:docPr id="1266790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903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B1461" w14:textId="3D79DB91" w:rsidR="00894D26" w:rsidRPr="0063171E" w:rsidRDefault="00894D26" w:rsidP="00013C2A">
      <w:pPr>
        <w:spacing w:line="360" w:lineRule="auto"/>
        <w:jc w:val="both"/>
      </w:pPr>
      <w:r w:rsidRPr="0063171E">
        <w:rPr>
          <w:b/>
          <w:bCs/>
        </w:rPr>
        <w:t>Figure S</w:t>
      </w:r>
      <w:r w:rsidR="00147BAE" w:rsidRPr="0063171E">
        <w:rPr>
          <w:rFonts w:eastAsiaTheme="minorEastAsia" w:hint="eastAsia"/>
          <w:b/>
          <w:bCs/>
          <w:lang w:eastAsia="zh-CN"/>
        </w:rPr>
        <w:t>3</w:t>
      </w:r>
      <w:r w:rsidRPr="0063171E">
        <w:t>. Uptake analysis of free Free C6,</w:t>
      </w:r>
      <w:r w:rsidR="000246DA" w:rsidRPr="0063171E">
        <w:t xml:space="preserve"> C6-</w:t>
      </w:r>
      <w:r w:rsidRPr="0063171E">
        <w:t>MOF, and Hm@</w:t>
      </w:r>
      <w:r w:rsidR="000246DA" w:rsidRPr="0063171E">
        <w:t>C6-</w:t>
      </w:r>
      <w:r w:rsidRPr="0063171E">
        <w:t>MOF by bEnd.3 cells (A)</w:t>
      </w:r>
      <w:r w:rsidRPr="0063171E">
        <w:rPr>
          <w:rFonts w:hint="eastAsia"/>
        </w:rPr>
        <w:t>,</w:t>
      </w:r>
      <w:r w:rsidRPr="0063171E">
        <w:t xml:space="preserve"> TILs (B), and HCC cells</w:t>
      </w:r>
      <w:r w:rsidRPr="0063171E">
        <w:rPr>
          <w:rFonts w:hint="eastAsia"/>
        </w:rPr>
        <w:t xml:space="preserve"> </w:t>
      </w:r>
      <w:r w:rsidRPr="0063171E">
        <w:t xml:space="preserve">(C) </w:t>
      </w:r>
      <w:r w:rsidRPr="0063171E">
        <w:rPr>
          <w:i/>
          <w:iCs/>
        </w:rPr>
        <w:t>in vitro</w:t>
      </w:r>
      <w:r w:rsidRPr="0063171E">
        <w:t xml:space="preserve"> (n=3). </w:t>
      </w:r>
      <w:bookmarkStart w:id="0" w:name="_Hlk144133841"/>
      <w:r w:rsidRPr="0063171E">
        <w:t>Data represent the means ± SD.</w:t>
      </w:r>
      <w:bookmarkEnd w:id="0"/>
      <w:r w:rsidRPr="0063171E">
        <w:t xml:space="preserve"> (**, </w:t>
      </w:r>
      <w:r w:rsidRPr="0063171E">
        <w:rPr>
          <w:i/>
          <w:iCs/>
        </w:rPr>
        <w:t>p</w:t>
      </w:r>
      <w:r w:rsidRPr="0063171E">
        <w:t xml:space="preserve"> &lt; 0.01; ***, </w:t>
      </w:r>
      <w:r w:rsidRPr="0063171E">
        <w:rPr>
          <w:i/>
          <w:iCs/>
        </w:rPr>
        <w:t>p</w:t>
      </w:r>
      <w:r w:rsidRPr="0063171E">
        <w:t xml:space="preserve"> &lt; 0.001; two-tailed Student’s t-test).</w:t>
      </w:r>
    </w:p>
    <w:p w14:paraId="4769A953" w14:textId="1207682E" w:rsidR="00894D26" w:rsidRPr="0063171E" w:rsidRDefault="001D2C89" w:rsidP="00BD6C9B">
      <w:pPr>
        <w:jc w:val="center"/>
      </w:pPr>
      <w:r w:rsidRPr="0063171E">
        <w:rPr>
          <w:noProof/>
        </w:rPr>
        <w:lastRenderedPageBreak/>
        <w:drawing>
          <wp:inline distT="0" distB="0" distL="0" distR="0" wp14:anchorId="52FED1AB" wp14:editId="240A79A8">
            <wp:extent cx="1583195" cy="2061365"/>
            <wp:effectExtent l="0" t="0" r="0" b="0"/>
            <wp:docPr id="820508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50871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8211" cy="208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1B80F" w14:textId="5EF7F57A" w:rsidR="00894D26" w:rsidRPr="0063171E" w:rsidRDefault="00894D26" w:rsidP="00013C2A">
      <w:pPr>
        <w:spacing w:line="360" w:lineRule="auto"/>
        <w:jc w:val="both"/>
        <w:rPr>
          <w:rFonts w:eastAsiaTheme="minorEastAsia"/>
          <w:lang w:eastAsia="zh-CN"/>
        </w:rPr>
      </w:pPr>
      <w:r w:rsidRPr="0063171E">
        <w:rPr>
          <w:b/>
          <w:bCs/>
        </w:rPr>
        <w:t>Figure S</w:t>
      </w:r>
      <w:r w:rsidR="007033ED" w:rsidRPr="0063171E">
        <w:rPr>
          <w:rFonts w:eastAsiaTheme="minorEastAsia" w:hint="eastAsia"/>
          <w:b/>
          <w:bCs/>
          <w:lang w:eastAsia="zh-CN"/>
        </w:rPr>
        <w:t>4</w:t>
      </w:r>
      <w:r w:rsidRPr="0063171E">
        <w:t xml:space="preserve">. The extent of tumor bioluminescence in mice was measured and analyzed (n=6). Data represent the means ± SD. (***, </w:t>
      </w:r>
      <w:r w:rsidRPr="0063171E">
        <w:rPr>
          <w:i/>
          <w:iCs/>
        </w:rPr>
        <w:t>p</w:t>
      </w:r>
      <w:r w:rsidRPr="0063171E">
        <w:t xml:space="preserve"> &lt; 0.001; two-tailed Student’s t-test).</w:t>
      </w:r>
    </w:p>
    <w:p w14:paraId="4923306C" w14:textId="77777777" w:rsidR="007033ED" w:rsidRPr="0063171E" w:rsidRDefault="007033ED" w:rsidP="00013C2A">
      <w:pPr>
        <w:spacing w:line="360" w:lineRule="auto"/>
        <w:jc w:val="both"/>
        <w:rPr>
          <w:rFonts w:eastAsiaTheme="minorEastAsia"/>
          <w:lang w:eastAsia="zh-CN"/>
        </w:rPr>
      </w:pPr>
    </w:p>
    <w:p w14:paraId="604EE84C" w14:textId="5401447F" w:rsidR="00894D26" w:rsidRPr="0063171E" w:rsidRDefault="007033ED" w:rsidP="00BD6C9B">
      <w:pPr>
        <w:jc w:val="center"/>
      </w:pPr>
      <w:r w:rsidRPr="0063171E">
        <w:rPr>
          <w:noProof/>
        </w:rPr>
        <w:drawing>
          <wp:inline distT="0" distB="0" distL="0" distR="0" wp14:anchorId="4FADAFB9" wp14:editId="1692753D">
            <wp:extent cx="5712772" cy="2954622"/>
            <wp:effectExtent l="0" t="0" r="2540" b="0"/>
            <wp:docPr id="1143087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8771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7845" cy="296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28513" w14:textId="010721AC" w:rsidR="00894D26" w:rsidRDefault="00894D26" w:rsidP="00013C2A">
      <w:pPr>
        <w:spacing w:line="360" w:lineRule="auto"/>
        <w:jc w:val="both"/>
        <w:rPr>
          <w:rFonts w:eastAsiaTheme="minorEastAsia"/>
          <w:lang w:eastAsia="zh-CN"/>
        </w:rPr>
      </w:pPr>
      <w:r w:rsidRPr="0063171E">
        <w:rPr>
          <w:b/>
          <w:bCs/>
        </w:rPr>
        <w:t>Figure S</w:t>
      </w:r>
      <w:r w:rsidR="007033ED" w:rsidRPr="0063171E">
        <w:rPr>
          <w:rFonts w:eastAsiaTheme="minorEastAsia" w:hint="eastAsia"/>
          <w:b/>
          <w:bCs/>
          <w:lang w:eastAsia="zh-CN"/>
        </w:rPr>
        <w:t>5</w:t>
      </w:r>
      <w:r w:rsidRPr="0063171E">
        <w:t>. Tumor cell apoptosis was assessed by flow cytometry.</w:t>
      </w:r>
    </w:p>
    <w:p w14:paraId="7E2D4691" w14:textId="77777777" w:rsidR="007033ED" w:rsidRPr="007033ED" w:rsidRDefault="007033ED" w:rsidP="00013C2A">
      <w:pPr>
        <w:spacing w:line="360" w:lineRule="auto"/>
        <w:jc w:val="both"/>
        <w:rPr>
          <w:rFonts w:eastAsiaTheme="minorEastAsia"/>
          <w:lang w:eastAsia="zh-CN"/>
        </w:rPr>
      </w:pPr>
    </w:p>
    <w:p w14:paraId="0327FF1A" w14:textId="77777777" w:rsidR="00894D26" w:rsidRDefault="00894D26" w:rsidP="00BD6C9B">
      <w:pPr>
        <w:jc w:val="center"/>
      </w:pPr>
      <w:r w:rsidRPr="001F6B4D">
        <w:rPr>
          <w:noProof/>
        </w:rPr>
        <w:drawing>
          <wp:inline distT="0" distB="0" distL="0" distR="0" wp14:anchorId="1ADB5BC9" wp14:editId="61AE51E8">
            <wp:extent cx="4004984" cy="1643806"/>
            <wp:effectExtent l="0" t="0" r="0" b="0"/>
            <wp:docPr id="13259058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0585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3038" cy="165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71DD6" w14:textId="5FB2C60E" w:rsidR="00894D26" w:rsidRDefault="00894D26" w:rsidP="00013C2A">
      <w:pPr>
        <w:spacing w:line="360" w:lineRule="auto"/>
        <w:jc w:val="both"/>
      </w:pPr>
      <w:r w:rsidRPr="00894D26">
        <w:rPr>
          <w:b/>
          <w:bCs/>
        </w:rPr>
        <w:t>Figure S</w:t>
      </w:r>
      <w:r w:rsidR="007033ED">
        <w:rPr>
          <w:rFonts w:eastAsiaTheme="minorEastAsia" w:hint="eastAsia"/>
          <w:b/>
          <w:bCs/>
          <w:lang w:eastAsia="zh-CN"/>
        </w:rPr>
        <w:t>6</w:t>
      </w:r>
      <w:r>
        <w:t xml:space="preserve">. </w:t>
      </w:r>
      <w:r w:rsidRPr="00262CD9">
        <w:rPr>
          <w:i/>
          <w:iCs/>
        </w:rPr>
        <w:t>In vitro</w:t>
      </w:r>
      <w:r w:rsidRPr="00262CD9">
        <w:t xml:space="preserve"> assessment of the effects of </w:t>
      </w:r>
      <w:r>
        <w:t>Hm@TSA/As-MOF</w:t>
      </w:r>
      <w:r w:rsidRPr="00262CD9">
        <w:t xml:space="preserve"> on the activity of </w:t>
      </w:r>
      <w:r>
        <w:t>bEnd.3</w:t>
      </w:r>
      <w:r w:rsidRPr="00262CD9">
        <w:t xml:space="preserve"> (A)</w:t>
      </w:r>
      <w:r>
        <w:t xml:space="preserve"> and TILs</w:t>
      </w:r>
      <w:r w:rsidRPr="00262CD9">
        <w:t xml:space="preserve"> (B) using CCK-8 assay (n=6). Data were presented as means ± SD.</w:t>
      </w:r>
      <w:r>
        <w:t xml:space="preserve"> </w:t>
      </w:r>
      <w:r w:rsidRPr="00ED4BDF">
        <w:t>(</w:t>
      </w:r>
      <w:r w:rsidRPr="00262CD9">
        <w:t>inhibition of viability</w:t>
      </w:r>
      <w:r>
        <w:t xml:space="preserve">: </w:t>
      </w:r>
      <w:r w:rsidRPr="00ED4BDF">
        <w:t xml:space="preserve">*, </w:t>
      </w:r>
      <w:r w:rsidRPr="00ED4BDF">
        <w:rPr>
          <w:i/>
          <w:iCs/>
        </w:rPr>
        <w:t>p</w:t>
      </w:r>
      <w:r w:rsidRPr="00ED4BDF">
        <w:t xml:space="preserve"> &lt; 0.05; **, </w:t>
      </w:r>
      <w:r w:rsidRPr="00ED4BDF">
        <w:rPr>
          <w:i/>
          <w:iCs/>
        </w:rPr>
        <w:t>p</w:t>
      </w:r>
      <w:r w:rsidRPr="00ED4BDF">
        <w:t xml:space="preserve"> &lt; 0.01; ***, </w:t>
      </w:r>
      <w:r w:rsidRPr="00ED4BDF">
        <w:rPr>
          <w:i/>
          <w:iCs/>
        </w:rPr>
        <w:t>p</w:t>
      </w:r>
      <w:r w:rsidRPr="00ED4BDF">
        <w:t xml:space="preserve"> &lt; 0.001; </w:t>
      </w:r>
      <w:r w:rsidRPr="00262CD9">
        <w:t>enhancement of viability</w:t>
      </w:r>
      <w:r>
        <w:t xml:space="preserve">: </w:t>
      </w:r>
      <w:r w:rsidRPr="00ED4BDF">
        <w:rPr>
          <w:vertAlign w:val="superscript"/>
        </w:rPr>
        <w:t>#</w:t>
      </w:r>
      <w:r w:rsidRPr="00262CD9">
        <w:rPr>
          <w:i/>
          <w:iCs/>
        </w:rPr>
        <w:t>p</w:t>
      </w:r>
      <w:r w:rsidRPr="00262CD9">
        <w:t xml:space="preserve"> &lt; 0.0</w:t>
      </w:r>
      <w:r>
        <w:t>5,</w:t>
      </w:r>
      <w:r w:rsidRPr="00ED4BDF">
        <w:rPr>
          <w:vertAlign w:val="superscript"/>
        </w:rPr>
        <w:t xml:space="preserve"> ##</w:t>
      </w:r>
      <w:r w:rsidRPr="00262CD9">
        <w:rPr>
          <w:i/>
          <w:iCs/>
        </w:rPr>
        <w:t>p</w:t>
      </w:r>
      <w:r w:rsidRPr="00262CD9">
        <w:t xml:space="preserve"> &lt; 0.01</w:t>
      </w:r>
      <w:r>
        <w:t>; vs. PBS</w:t>
      </w:r>
      <w:r w:rsidRPr="00ED4BDF">
        <w:t xml:space="preserve"> two-tailed Student’s t-test)</w:t>
      </w:r>
      <w:r w:rsidR="001B11B2">
        <w:t>.</w:t>
      </w:r>
    </w:p>
    <w:p w14:paraId="3D8B87A4" w14:textId="71AC05DC" w:rsidR="00284DFA" w:rsidRDefault="00284DFA" w:rsidP="00BD6C9B">
      <w:pPr>
        <w:spacing w:line="360" w:lineRule="auto"/>
        <w:jc w:val="center"/>
      </w:pPr>
      <w:r w:rsidRPr="00284DFA">
        <w:rPr>
          <w:noProof/>
        </w:rPr>
        <w:lastRenderedPageBreak/>
        <w:drawing>
          <wp:inline distT="0" distB="0" distL="0" distR="0" wp14:anchorId="6F69B7D0" wp14:editId="479FFB36">
            <wp:extent cx="3325091" cy="1826029"/>
            <wp:effectExtent l="0" t="0" r="8890" b="3175"/>
            <wp:docPr id="1274817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1774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41235" cy="18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C1083" w14:textId="03E2E58B" w:rsidR="00284DFA" w:rsidRDefault="00284DFA" w:rsidP="00013C2A">
      <w:pPr>
        <w:spacing w:line="360" w:lineRule="auto"/>
        <w:jc w:val="both"/>
        <w:rPr>
          <w:rFonts w:eastAsiaTheme="minorEastAsia"/>
          <w:lang w:eastAsia="zh-CN"/>
        </w:rPr>
      </w:pPr>
      <w:r w:rsidRPr="00284DFA">
        <w:rPr>
          <w:b/>
          <w:bCs/>
        </w:rPr>
        <w:t>Figure S</w:t>
      </w:r>
      <w:r w:rsidR="007033ED">
        <w:rPr>
          <w:rFonts w:eastAsiaTheme="minorEastAsia" w:hint="eastAsia"/>
          <w:b/>
          <w:bCs/>
          <w:lang w:eastAsia="zh-CN"/>
        </w:rPr>
        <w:t>7</w:t>
      </w:r>
      <w:r w:rsidRPr="00284DFA">
        <w:t>. Tumour hypoxia was assessed using PIMO (scale bar = 10 μm)</w:t>
      </w:r>
      <w:r w:rsidR="001B11B2">
        <w:t>.</w:t>
      </w:r>
    </w:p>
    <w:p w14:paraId="57AA50DD" w14:textId="77777777" w:rsidR="007033ED" w:rsidRPr="007033ED" w:rsidRDefault="007033ED" w:rsidP="00013C2A">
      <w:pPr>
        <w:spacing w:line="360" w:lineRule="auto"/>
        <w:jc w:val="both"/>
        <w:rPr>
          <w:rFonts w:eastAsiaTheme="minorEastAsia"/>
          <w:lang w:eastAsia="zh-CN"/>
        </w:rPr>
      </w:pPr>
    </w:p>
    <w:p w14:paraId="5A0068BE" w14:textId="77777777" w:rsidR="00894D26" w:rsidRDefault="00894D26" w:rsidP="00013C2A">
      <w:pPr>
        <w:jc w:val="both"/>
      </w:pPr>
      <w:r w:rsidRPr="00CE63A3">
        <w:rPr>
          <w:noProof/>
        </w:rPr>
        <w:drawing>
          <wp:inline distT="0" distB="0" distL="0" distR="0" wp14:anchorId="44320091" wp14:editId="4D4C81EF">
            <wp:extent cx="5274310" cy="2185035"/>
            <wp:effectExtent l="0" t="0" r="2540" b="5715"/>
            <wp:docPr id="369507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50701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F45B1" w14:textId="5D3927C3" w:rsidR="004A7D3E" w:rsidRPr="00894D26" w:rsidRDefault="00894D26" w:rsidP="00013C2A">
      <w:pPr>
        <w:spacing w:line="360" w:lineRule="auto"/>
        <w:jc w:val="both"/>
      </w:pPr>
      <w:r w:rsidRPr="00284DFA">
        <w:rPr>
          <w:b/>
          <w:bCs/>
        </w:rPr>
        <w:t>Figure S</w:t>
      </w:r>
      <w:r w:rsidR="007033ED">
        <w:rPr>
          <w:rFonts w:eastAsiaTheme="minorEastAsia" w:hint="eastAsia"/>
          <w:b/>
          <w:bCs/>
          <w:lang w:eastAsia="zh-CN"/>
        </w:rPr>
        <w:t>8</w:t>
      </w:r>
      <w:r w:rsidRPr="00284DFA">
        <w:t>. Levels of CD4</w:t>
      </w:r>
      <w:r w:rsidRPr="00284DFA">
        <w:rPr>
          <w:vertAlign w:val="superscript"/>
        </w:rPr>
        <w:t>+</w:t>
      </w:r>
      <w:r w:rsidRPr="00284DFA">
        <w:t xml:space="preserve"> (A) were demonstrated by flow cytometry (n=3). CD4</w:t>
      </w:r>
      <w:r w:rsidRPr="00284DFA">
        <w:rPr>
          <w:vertAlign w:val="superscript"/>
        </w:rPr>
        <w:t>+</w:t>
      </w:r>
      <w:r w:rsidRPr="00284DFA">
        <w:t xml:space="preserve"> and CD8</w:t>
      </w:r>
      <w:r w:rsidRPr="005B45A8">
        <w:rPr>
          <w:vertAlign w:val="superscript"/>
        </w:rPr>
        <w:t>+</w:t>
      </w:r>
      <w:r w:rsidRPr="00284DFA">
        <w:t xml:space="preserve"> TILs (B) were labeled on tumor tissue sections by fluorescent staining (scale bar = 50 μm). Data represent the means ± SD. (*, </w:t>
      </w:r>
      <w:r w:rsidRPr="00284DFA">
        <w:rPr>
          <w:i/>
          <w:iCs/>
        </w:rPr>
        <w:t>p</w:t>
      </w:r>
      <w:r w:rsidRPr="00284DFA">
        <w:t xml:space="preserve"> &lt; 0.05; **, </w:t>
      </w:r>
      <w:r w:rsidRPr="00284DFA">
        <w:rPr>
          <w:i/>
          <w:iCs/>
        </w:rPr>
        <w:t>p</w:t>
      </w:r>
      <w:r w:rsidRPr="00284DFA">
        <w:t xml:space="preserve"> &lt; 0.01; two-tailed Student’s t-test)</w:t>
      </w:r>
      <w:r w:rsidR="001B11B2">
        <w:t>.</w:t>
      </w:r>
    </w:p>
    <w:sectPr w:rsidR="004A7D3E" w:rsidRPr="00894D26" w:rsidSect="00A05B62">
      <w:headerReference w:type="default" r:id="rId18"/>
      <w:footerReference w:type="default" r:id="rId19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E34C5" w14:textId="77777777" w:rsidR="00A05B62" w:rsidRDefault="00A05B62">
      <w:r>
        <w:separator/>
      </w:r>
    </w:p>
  </w:endnote>
  <w:endnote w:type="continuationSeparator" w:id="0">
    <w:p w14:paraId="06446EAE" w14:textId="77777777" w:rsidR="00A05B62" w:rsidRDefault="00A0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96A1" w14:textId="77777777" w:rsidR="007B7A09" w:rsidRDefault="007B7A0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02E7A">
      <w:rPr>
        <w:noProof/>
      </w:rPr>
      <w:t>2</w:t>
    </w:r>
    <w:r>
      <w:fldChar w:fldCharType="end"/>
    </w:r>
  </w:p>
  <w:p w14:paraId="76AE581B" w14:textId="77777777" w:rsidR="00562E2B" w:rsidRDefault="00562E2B" w:rsidP="008814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238A1" w14:textId="77777777" w:rsidR="00A05B62" w:rsidRDefault="00A05B62">
      <w:r>
        <w:separator/>
      </w:r>
    </w:p>
  </w:footnote>
  <w:footnote w:type="continuationSeparator" w:id="0">
    <w:p w14:paraId="51C1882C" w14:textId="77777777" w:rsidR="00A05B62" w:rsidRDefault="00A0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9236" w14:textId="55AC25FF" w:rsidR="00562E2B" w:rsidRPr="009B44CC" w:rsidRDefault="00562E2B" w:rsidP="009B44CC">
    <w:pPr>
      <w:pStyle w:val="a5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F40"/>
    <w:rsid w:val="00013C2A"/>
    <w:rsid w:val="0001454A"/>
    <w:rsid w:val="0001683C"/>
    <w:rsid w:val="000172E7"/>
    <w:rsid w:val="000214A8"/>
    <w:rsid w:val="00023F64"/>
    <w:rsid w:val="000246DA"/>
    <w:rsid w:val="00027FB5"/>
    <w:rsid w:val="000314D2"/>
    <w:rsid w:val="0003318F"/>
    <w:rsid w:val="0004094E"/>
    <w:rsid w:val="00040B7B"/>
    <w:rsid w:val="00041C1B"/>
    <w:rsid w:val="000437F7"/>
    <w:rsid w:val="00050985"/>
    <w:rsid w:val="0005501E"/>
    <w:rsid w:val="00055883"/>
    <w:rsid w:val="0006044D"/>
    <w:rsid w:val="00060D37"/>
    <w:rsid w:val="00062324"/>
    <w:rsid w:val="00063C0E"/>
    <w:rsid w:val="00072EA7"/>
    <w:rsid w:val="00076EAD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39B5"/>
    <w:rsid w:val="000E788B"/>
    <w:rsid w:val="000E7A5B"/>
    <w:rsid w:val="000E7BBA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3ADA"/>
    <w:rsid w:val="00125573"/>
    <w:rsid w:val="0012642A"/>
    <w:rsid w:val="00126D17"/>
    <w:rsid w:val="001305BF"/>
    <w:rsid w:val="00131D58"/>
    <w:rsid w:val="001370B1"/>
    <w:rsid w:val="001377CA"/>
    <w:rsid w:val="00140B94"/>
    <w:rsid w:val="001450FB"/>
    <w:rsid w:val="0014658A"/>
    <w:rsid w:val="00147BAE"/>
    <w:rsid w:val="00147DB8"/>
    <w:rsid w:val="00151683"/>
    <w:rsid w:val="0015392F"/>
    <w:rsid w:val="0015563E"/>
    <w:rsid w:val="0015564B"/>
    <w:rsid w:val="00155F66"/>
    <w:rsid w:val="0016390D"/>
    <w:rsid w:val="00164057"/>
    <w:rsid w:val="00165B37"/>
    <w:rsid w:val="00170369"/>
    <w:rsid w:val="00173757"/>
    <w:rsid w:val="00174176"/>
    <w:rsid w:val="00181D92"/>
    <w:rsid w:val="001823B6"/>
    <w:rsid w:val="001848EB"/>
    <w:rsid w:val="00187DB9"/>
    <w:rsid w:val="0019077D"/>
    <w:rsid w:val="0019194D"/>
    <w:rsid w:val="0019723B"/>
    <w:rsid w:val="001A4240"/>
    <w:rsid w:val="001A6821"/>
    <w:rsid w:val="001A734D"/>
    <w:rsid w:val="001B11B2"/>
    <w:rsid w:val="001B4224"/>
    <w:rsid w:val="001B7472"/>
    <w:rsid w:val="001C10AC"/>
    <w:rsid w:val="001C55FB"/>
    <w:rsid w:val="001D12BC"/>
    <w:rsid w:val="001D2C89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33C8A"/>
    <w:rsid w:val="00236036"/>
    <w:rsid w:val="00240D90"/>
    <w:rsid w:val="00253CB1"/>
    <w:rsid w:val="002543F9"/>
    <w:rsid w:val="00257ADD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4DFA"/>
    <w:rsid w:val="00285631"/>
    <w:rsid w:val="00290D94"/>
    <w:rsid w:val="0029203C"/>
    <w:rsid w:val="00294873"/>
    <w:rsid w:val="002A4A81"/>
    <w:rsid w:val="002A73A2"/>
    <w:rsid w:val="002A7CE8"/>
    <w:rsid w:val="002B0671"/>
    <w:rsid w:val="002B262F"/>
    <w:rsid w:val="002B3553"/>
    <w:rsid w:val="002B5E06"/>
    <w:rsid w:val="002C0CFF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10A6A"/>
    <w:rsid w:val="00317A57"/>
    <w:rsid w:val="00320A99"/>
    <w:rsid w:val="0032144B"/>
    <w:rsid w:val="00321E38"/>
    <w:rsid w:val="00322D5B"/>
    <w:rsid w:val="00325AC2"/>
    <w:rsid w:val="00326A1C"/>
    <w:rsid w:val="00327FDC"/>
    <w:rsid w:val="003360E3"/>
    <w:rsid w:val="003371D5"/>
    <w:rsid w:val="003376CD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C5F"/>
    <w:rsid w:val="00441EAC"/>
    <w:rsid w:val="004507E5"/>
    <w:rsid w:val="004519AD"/>
    <w:rsid w:val="0045459A"/>
    <w:rsid w:val="004545DB"/>
    <w:rsid w:val="0045786A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7211"/>
    <w:rsid w:val="0049075F"/>
    <w:rsid w:val="00492DA8"/>
    <w:rsid w:val="00494A1A"/>
    <w:rsid w:val="004A0888"/>
    <w:rsid w:val="004A43B6"/>
    <w:rsid w:val="004A70EE"/>
    <w:rsid w:val="004A774E"/>
    <w:rsid w:val="004A7D3E"/>
    <w:rsid w:val="004A7FF9"/>
    <w:rsid w:val="004B379D"/>
    <w:rsid w:val="004B539B"/>
    <w:rsid w:val="004B5F0C"/>
    <w:rsid w:val="004B6031"/>
    <w:rsid w:val="004C046E"/>
    <w:rsid w:val="004C1609"/>
    <w:rsid w:val="004C216B"/>
    <w:rsid w:val="004C5DD3"/>
    <w:rsid w:val="004D30F9"/>
    <w:rsid w:val="004D4A32"/>
    <w:rsid w:val="004D64AB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20C2"/>
    <w:rsid w:val="00522E88"/>
    <w:rsid w:val="00523369"/>
    <w:rsid w:val="0052398F"/>
    <w:rsid w:val="00532960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45A8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171E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E7BC8"/>
    <w:rsid w:val="006F39B2"/>
    <w:rsid w:val="006F5384"/>
    <w:rsid w:val="006F6604"/>
    <w:rsid w:val="006F6896"/>
    <w:rsid w:val="006F71D8"/>
    <w:rsid w:val="006F7D1A"/>
    <w:rsid w:val="00702F6F"/>
    <w:rsid w:val="007033ED"/>
    <w:rsid w:val="0070346C"/>
    <w:rsid w:val="007051A0"/>
    <w:rsid w:val="00706496"/>
    <w:rsid w:val="00711A12"/>
    <w:rsid w:val="00711F11"/>
    <w:rsid w:val="007154C4"/>
    <w:rsid w:val="00715DB9"/>
    <w:rsid w:val="007174BE"/>
    <w:rsid w:val="007218A0"/>
    <w:rsid w:val="007238AF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1EEE"/>
    <w:rsid w:val="007B249B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7E30"/>
    <w:rsid w:val="007E0A75"/>
    <w:rsid w:val="007E6419"/>
    <w:rsid w:val="007F6815"/>
    <w:rsid w:val="007F6BA8"/>
    <w:rsid w:val="0080681B"/>
    <w:rsid w:val="0080738C"/>
    <w:rsid w:val="00810B77"/>
    <w:rsid w:val="00817436"/>
    <w:rsid w:val="00822217"/>
    <w:rsid w:val="0082542D"/>
    <w:rsid w:val="00827834"/>
    <w:rsid w:val="00832835"/>
    <w:rsid w:val="00835110"/>
    <w:rsid w:val="008351FC"/>
    <w:rsid w:val="00841F50"/>
    <w:rsid w:val="00843A0E"/>
    <w:rsid w:val="00845DFE"/>
    <w:rsid w:val="00846E17"/>
    <w:rsid w:val="0085200A"/>
    <w:rsid w:val="00854283"/>
    <w:rsid w:val="008573E3"/>
    <w:rsid w:val="00861E81"/>
    <w:rsid w:val="008645FF"/>
    <w:rsid w:val="00866D42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4D26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2A7A"/>
    <w:rsid w:val="00953A02"/>
    <w:rsid w:val="0095444E"/>
    <w:rsid w:val="00955C67"/>
    <w:rsid w:val="00957B65"/>
    <w:rsid w:val="00960AFF"/>
    <w:rsid w:val="00963F62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B706A"/>
    <w:rsid w:val="009C4319"/>
    <w:rsid w:val="009C64AD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4AE"/>
    <w:rsid w:val="009F7888"/>
    <w:rsid w:val="00A02AC3"/>
    <w:rsid w:val="00A05B62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3FC3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65F04"/>
    <w:rsid w:val="00A65F2E"/>
    <w:rsid w:val="00A7086D"/>
    <w:rsid w:val="00A71AD5"/>
    <w:rsid w:val="00A8073E"/>
    <w:rsid w:val="00A80883"/>
    <w:rsid w:val="00A81BED"/>
    <w:rsid w:val="00A82E5C"/>
    <w:rsid w:val="00A82FC6"/>
    <w:rsid w:val="00A85A0D"/>
    <w:rsid w:val="00A8611A"/>
    <w:rsid w:val="00A92270"/>
    <w:rsid w:val="00AA10AE"/>
    <w:rsid w:val="00AA329F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6D93"/>
    <w:rsid w:val="00AE709C"/>
    <w:rsid w:val="00AE7DD9"/>
    <w:rsid w:val="00AF2B38"/>
    <w:rsid w:val="00B004C1"/>
    <w:rsid w:val="00B0168B"/>
    <w:rsid w:val="00B03458"/>
    <w:rsid w:val="00B04B8E"/>
    <w:rsid w:val="00B1072F"/>
    <w:rsid w:val="00B15820"/>
    <w:rsid w:val="00B215D8"/>
    <w:rsid w:val="00B2218A"/>
    <w:rsid w:val="00B246E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6638C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5572"/>
    <w:rsid w:val="00BC74C5"/>
    <w:rsid w:val="00BD497C"/>
    <w:rsid w:val="00BD57EE"/>
    <w:rsid w:val="00BD6C9B"/>
    <w:rsid w:val="00BE4E8A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90B62"/>
    <w:rsid w:val="00C91C08"/>
    <w:rsid w:val="00C959F3"/>
    <w:rsid w:val="00C97F0E"/>
    <w:rsid w:val="00CA06AC"/>
    <w:rsid w:val="00CA1D9E"/>
    <w:rsid w:val="00CA242A"/>
    <w:rsid w:val="00CA27BD"/>
    <w:rsid w:val="00CA292E"/>
    <w:rsid w:val="00CA2AB6"/>
    <w:rsid w:val="00CA36DE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D0614B"/>
    <w:rsid w:val="00D06AD1"/>
    <w:rsid w:val="00D17549"/>
    <w:rsid w:val="00D24D97"/>
    <w:rsid w:val="00D275F5"/>
    <w:rsid w:val="00D351E4"/>
    <w:rsid w:val="00D376F1"/>
    <w:rsid w:val="00D43CA8"/>
    <w:rsid w:val="00D4523D"/>
    <w:rsid w:val="00D4593F"/>
    <w:rsid w:val="00D45BD4"/>
    <w:rsid w:val="00D4775B"/>
    <w:rsid w:val="00D47AB8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9072A"/>
    <w:rsid w:val="00D94852"/>
    <w:rsid w:val="00DA039C"/>
    <w:rsid w:val="00DA10B4"/>
    <w:rsid w:val="00DA6EBE"/>
    <w:rsid w:val="00DB27CC"/>
    <w:rsid w:val="00DB2A54"/>
    <w:rsid w:val="00DB4EF9"/>
    <w:rsid w:val="00DC29FE"/>
    <w:rsid w:val="00DC430C"/>
    <w:rsid w:val="00DC60FB"/>
    <w:rsid w:val="00DC7319"/>
    <w:rsid w:val="00DC742E"/>
    <w:rsid w:val="00DD38DC"/>
    <w:rsid w:val="00DD63FF"/>
    <w:rsid w:val="00DF1BBF"/>
    <w:rsid w:val="00DF3145"/>
    <w:rsid w:val="00DF4B0E"/>
    <w:rsid w:val="00E01E4B"/>
    <w:rsid w:val="00E062B0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42D7"/>
    <w:rsid w:val="00E34D1F"/>
    <w:rsid w:val="00E35C26"/>
    <w:rsid w:val="00E410EA"/>
    <w:rsid w:val="00E41D5C"/>
    <w:rsid w:val="00E437F7"/>
    <w:rsid w:val="00E529F9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985"/>
    <w:rsid w:val="00F07DE8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4722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3597"/>
    <w:rsid w:val="00FB53CA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页眉 字符"/>
    <w:link w:val="a5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ab">
    <w:name w:val="批注文字 字符"/>
    <w:link w:val="aa"/>
    <w:uiPriority w:val="99"/>
    <w:semiHidden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批注主题 字符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页脚 字符"/>
    <w:link w:val="a7"/>
    <w:uiPriority w:val="99"/>
    <w:rsid w:val="007B7A09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2021-09-02T13:03:00Z</dcterms:created>
  <dcterms:modified xsi:type="dcterms:W3CDTF">2024-03-23T13:30:00Z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