
<file path=[Content_Types].xml><?xml version="1.0" encoding="utf-8"?>
<Types xmlns="http://schemas.openxmlformats.org/package/2006/content-types"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/>
        <w:rPr>
          <w:rFonts w:ascii="Times New Roman" w:hAnsi="Times New Roman" w:cs="Times New Roman"/>
          <w:b/>
          <w:sz w:val="30"/>
          <w:szCs w:val="30"/>
        </w:rPr>
      </w:pPr>
      <w:bookmarkStart w:id="0" w:name="_Hlk147999461"/>
      <w:bookmarkEnd w:id="0"/>
      <w:r>
        <w:rPr>
          <w:rFonts w:ascii="Times New Roman" w:hAnsi="Times New Roman" w:eastAsia="宋体" w:cs="Times New Roman"/>
          <w:b/>
          <w:bCs/>
          <w:sz w:val="30"/>
          <w:szCs w:val="30"/>
          <w:lang w:val="en-GB"/>
        </w:rPr>
        <w:t>Self-assembled copper-based nanoparticles</w:t>
      </w:r>
      <w:bookmarkStart w:id="1" w:name="_Hlk152084045"/>
      <w:bookmarkStart w:id="2" w:name="_Hlk152094610"/>
      <w:r>
        <w:rPr>
          <w:rFonts w:ascii="Times New Roman" w:hAnsi="Times New Roman" w:cs="Times New Roman"/>
          <w:b/>
          <w:sz w:val="30"/>
          <w:szCs w:val="30"/>
          <w:lang w:val="en-GB"/>
        </w:rPr>
        <w:t xml:space="preserve"> </w:t>
      </w:r>
      <w:r>
        <w:rPr>
          <w:rFonts w:ascii="Times New Roman" w:hAnsi="Times New Roman" w:eastAsia="宋体" w:cs="Times New Roman"/>
          <w:b/>
          <w:bCs/>
          <w:sz w:val="30"/>
          <w:szCs w:val="30"/>
          <w:lang w:val="en-GB"/>
        </w:rPr>
        <w:t>for enzyme catalysis</w:t>
      </w:r>
      <w:bookmarkEnd w:id="1"/>
      <w:r>
        <w:rPr>
          <w:rFonts w:ascii="Times New Roman" w:hAnsi="Times New Roman" w:eastAsia="宋体" w:cs="Times New Roman"/>
          <w:b/>
          <w:bCs/>
          <w:sz w:val="30"/>
          <w:szCs w:val="30"/>
          <w:lang w:val="en-GB"/>
        </w:rPr>
        <w:t xml:space="preserve">-enhanced </w:t>
      </w:r>
      <w:bookmarkEnd w:id="2"/>
      <w:r>
        <w:rPr>
          <w:rFonts w:ascii="Times New Roman" w:hAnsi="Times New Roman" w:cs="Times New Roman"/>
          <w:b/>
          <w:sz w:val="30"/>
          <w:szCs w:val="30"/>
          <w:lang w:val="en-GB"/>
        </w:rPr>
        <w:t>chemodynamic</w:t>
      </w:r>
      <w:r>
        <w:rPr>
          <w:rFonts w:ascii="Times New Roman" w:hAnsi="Times New Roman" w:eastAsia="宋体" w:cs="Times New Roman"/>
          <w:b/>
          <w:bCs/>
          <w:sz w:val="30"/>
          <w:szCs w:val="30"/>
          <w:lang w:val="en-GB"/>
        </w:rPr>
        <w:t>/</w:t>
      </w:r>
      <w:r>
        <w:rPr>
          <w:rFonts w:ascii="Times New Roman" w:hAnsi="Times New Roman" w:cs="Times New Roman"/>
          <w:b/>
          <w:sz w:val="30"/>
          <w:szCs w:val="30"/>
          <w:lang w:val="en-GB"/>
        </w:rPr>
        <w:t>photodynamic</w:t>
      </w:r>
      <w:r>
        <w:rPr>
          <w:rFonts w:ascii="Times New Roman" w:hAnsi="Times New Roman" w:eastAsia="宋体" w:cs="Times New Roman"/>
          <w:b/>
          <w:bCs/>
          <w:sz w:val="30"/>
          <w:szCs w:val="30"/>
          <w:lang w:val="en-GB"/>
        </w:rPr>
        <w:t>/antiangiogenic tritherapy against hepatocellular carcinoma</w:t>
      </w:r>
    </w:p>
    <w:p>
      <w:pPr>
        <w:jc w:val="center"/>
        <w:rPr>
          <w:rFonts w:ascii="Times New Roman" w:hAnsi="Times New Roman" w:cs="Times New Roman"/>
        </w:rPr>
      </w:pPr>
    </w:p>
    <w:p>
      <w:pPr>
        <w:pStyle w:val="14"/>
        <w:rPr>
          <w:rFonts w:hint="default" w:ascii="Times New Roman" w:hAnsi="Times New Roman" w:cs="Times New Roman"/>
          <w:b w:val="0"/>
        </w:rPr>
      </w:pPr>
      <w:r>
        <w:rPr>
          <w:rFonts w:hint="default" w:ascii="Times New Roman" w:hAnsi="Times New Roman" w:cs="Times New Roman"/>
          <w:lang w:val="en-GB"/>
        </w:rPr>
        <w:t>Supplementary Material</w:t>
      </w:r>
    </w:p>
    <w:p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355975" cy="2707640"/>
            <wp:effectExtent l="0" t="0" r="9525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597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Figure S1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UV-vis spectra of TMB solutions after incubation with </w:t>
      </w:r>
      <w:r>
        <w:rPr>
          <w:rFonts w:ascii="Times New Roman" w:hAnsi="Times New Roman" w:cs="Times New Roman"/>
          <w:sz w:val="24"/>
          <w:szCs w:val="24"/>
          <w:lang w:val="en-GB"/>
        </w:rPr>
        <w:t>pristine H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, TCCHA and H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/TCCHA mixed solutions.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167380" cy="270700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S2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. The relative GSH concentration after </w:t>
      </w:r>
      <w:r>
        <w:rPr>
          <w:rFonts w:ascii="Times New Roman" w:hAnsi="Times New Roman" w:eastAsia="等线" w:cs="Times New Roman"/>
          <w:color w:val="FF0000"/>
          <w:sz w:val="24"/>
          <w:szCs w:val="24"/>
          <w:lang w:val="en-GB"/>
        </w:rPr>
        <w:t xml:space="preserve">treatment with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different concentrations of TCCHA.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3, ***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0.001.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418715" cy="2537460"/>
            <wp:effectExtent l="0" t="0" r="698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715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OLE_LINK103"/>
      <w:bookmarkStart w:id="4" w:name="OLE_LINK104"/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S3</w:t>
      </w:r>
      <w:bookmarkEnd w:id="3"/>
      <w:bookmarkEnd w:id="4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Start w:id="5" w:name="OLE_LINK102"/>
      <w:r>
        <w:rPr>
          <w:rFonts w:ascii="Times New Roman" w:hAnsi="Times New Roman" w:cs="Times New Roman"/>
          <w:sz w:val="24"/>
          <w:szCs w:val="24"/>
          <w:lang w:val="en-GB"/>
        </w:rPr>
        <w:t xml:space="preserve">Photographs of TCCHA with or without 20 mM </w:t>
      </w:r>
      <w:bookmarkEnd w:id="5"/>
      <w:bookmarkStart w:id="6" w:name="OLE_LINK101"/>
      <w:r>
        <w:rPr>
          <w:rFonts w:ascii="Times New Roman" w:hAnsi="Times New Roman" w:cs="Times New Roman"/>
          <w:sz w:val="24"/>
          <w:szCs w:val="24"/>
          <w:lang w:val="en-GB"/>
        </w:rPr>
        <w:t>GSH incubation under UV light irradiation.</w:t>
      </w:r>
      <w:bookmarkEnd w:id="6"/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OLE_LINK4"/>
    </w:p>
    <w:p>
      <w:pPr>
        <w:spacing w:line="360" w:lineRule="auto"/>
        <w:jc w:val="center"/>
        <w:rPr>
          <w:rFonts w:ascii="Times New Roman" w:hAnsi="Times New Roman" w:cs="Times New Roman"/>
        </w:rPr>
      </w:pPr>
      <w:bookmarkStart w:id="8" w:name="OLE_LINK2"/>
      <w:r>
        <w:rPr>
          <w:rFonts w:ascii="Times New Roman" w:hAnsi="Times New Roman" w:cs="Times New Roman"/>
        </w:rPr>
        <w:drawing>
          <wp:inline distT="0" distB="0" distL="0" distR="0">
            <wp:extent cx="3044825" cy="2513330"/>
            <wp:effectExtent l="0" t="0" r="3175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825" cy="251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S4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Cumulative release profiles of Cu</w:t>
      </w:r>
      <w:r>
        <w:rPr>
          <w:rFonts w:ascii="Times New Roman" w:hAnsi="Times New Roman" w:cs="Times New Roman"/>
          <w:color w:val="FF0000"/>
          <w:sz w:val="24"/>
          <w:szCs w:val="24"/>
          <w:vertAlign w:val="superscript"/>
          <w:lang w:val="en-GB"/>
        </w:rPr>
        <w:t>2+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from TCCHA dispersed in in GSH solutions of varying concentrations.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3, 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0.05, ***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0.001.</w:t>
      </w:r>
    </w:p>
    <w:bookmarkEnd w:id="8"/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390900" cy="270700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2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S5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Start w:id="9" w:name="OLE_LINK107"/>
      <w:bookmarkStart w:id="10" w:name="OLE_LINK108"/>
      <w:r>
        <w:rPr>
          <w:rFonts w:ascii="Times New Roman" w:hAnsi="Times New Roman" w:cs="Times New Roman"/>
          <w:color w:val="242021"/>
          <w:sz w:val="24"/>
          <w:szCs w:val="24"/>
          <w:lang w:val="en-GB"/>
        </w:rPr>
        <w:t xml:space="preserve">Cumulative release profiles of Ce6 from TCCHA dispersed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GSH solutions of varying concentrations.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3, 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0.01, ***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0.001.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9"/>
    <w:bookmarkEnd w:id="10"/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268345" cy="2707005"/>
            <wp:effectExtent l="0" t="0" r="825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8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S6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color w:val="242021"/>
          <w:sz w:val="24"/>
          <w:szCs w:val="24"/>
          <w:lang w:val="en-GB"/>
        </w:rPr>
        <w:t xml:space="preserve">Cumulative release profiles of AL3818 from TCCHA dispersed in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GSH solutions of varying concentrations.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3, 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0.01, ***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0.001.</w:t>
      </w:r>
      <w:bookmarkEnd w:id="7"/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2858135" cy="270700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4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S7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bookmarkStart w:id="11" w:name="OLE_LINK135"/>
      <w:bookmarkStart w:id="12" w:name="OLE_LINK142"/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Quantitative analysis</w:t>
      </w:r>
      <w:bookmarkEnd w:id="11"/>
      <w:bookmarkEnd w:id="12"/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on the relative changes of intracellular Ce6 levels in HepG2 cells group or HA pretreatment HepG2 cells group (HepG2 + HA) for 1, 4, and 8 h. </w:t>
      </w:r>
      <w:bookmarkStart w:id="13" w:name="OLE_LINK144"/>
      <w:bookmarkStart w:id="14" w:name="OLE_LINK143"/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3, 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0.01, ***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0.001.</w:t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13"/>
    <w:bookmarkEnd w:id="14"/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131820" cy="270700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0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S8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. </w:t>
      </w:r>
      <w:r>
        <w:rPr>
          <w:rFonts w:ascii="Times New Roman" w:hAnsi="Times New Roman" w:eastAsia="等线" w:cs="Times New Roman"/>
          <w:color w:val="FF0000"/>
          <w:kern w:val="0"/>
          <w:sz w:val="24"/>
          <w:szCs w:val="24"/>
          <w:lang w:val="en-GB"/>
        </w:rPr>
        <w:t>The results of the quantitative</w:t>
      </w:r>
      <w:r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 xml:space="preserve"> analysis </w:t>
      </w:r>
      <w:r>
        <w:rPr>
          <w:rFonts w:ascii="Times New Roman" w:hAnsi="Times New Roman" w:eastAsia="等线" w:cs="Times New Roman"/>
          <w:color w:val="FF0000"/>
          <w:kern w:val="0"/>
          <w:sz w:val="24"/>
          <w:szCs w:val="24"/>
          <w:lang w:val="en-GB"/>
        </w:rPr>
        <w:t>of</w:t>
      </w:r>
      <w:r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 xml:space="preserve"> the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apoptosis rates </w:t>
      </w:r>
      <w:r>
        <w:rPr>
          <w:rFonts w:ascii="Times New Roman" w:hAnsi="Times New Roman" w:eastAsia="等线" w:cs="Times New Roman"/>
          <w:color w:val="FF0000"/>
          <w:sz w:val="24"/>
          <w:szCs w:val="24"/>
          <w:lang w:val="en-GB"/>
        </w:rPr>
        <w:t xml:space="preserve">are shown </w:t>
      </w:r>
      <w:r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 xml:space="preserve">in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Figure 3H</w:t>
      </w:r>
      <w:r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3, ***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0.001.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100070" cy="2511425"/>
            <wp:effectExtent l="0" t="0" r="1143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007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S9</w:t>
      </w:r>
      <w:bookmarkStart w:id="15" w:name="OLE_LINK145"/>
      <w:bookmarkStart w:id="16" w:name="OLE_LINK152"/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Quantitative analysis</w:t>
      </w:r>
      <w:bookmarkEnd w:id="15"/>
      <w:bookmarkEnd w:id="16"/>
      <w:r>
        <w:rPr>
          <w:rStyle w:val="12"/>
          <w:rFonts w:ascii="Times New Roman" w:hAnsi="Times New Roman" w:cs="Times New Roman"/>
          <w:kern w:val="0"/>
          <w:sz w:val="24"/>
          <w:szCs w:val="24"/>
          <w:lang w:val="en-GB"/>
        </w:rPr>
        <w:t xml:space="preserve"> of H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vertAlign w:val="subscript"/>
          <w:lang w:val="en-GB"/>
        </w:rPr>
        <w:t>2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lang w:val="en-GB"/>
        </w:rPr>
        <w:t>O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vertAlign w:val="subscript"/>
          <w:lang w:val="en-GB"/>
        </w:rPr>
        <w:t>2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lang w:val="en-GB"/>
        </w:rPr>
        <w:t xml:space="preserve"> levels in HepG2 cells after </w:t>
      </w:r>
      <w:r>
        <w:rPr>
          <w:rStyle w:val="12"/>
          <w:rFonts w:ascii="Times New Roman" w:hAnsi="Times New Roman" w:eastAsia="等线" w:cs="Times New Roman"/>
          <w:color w:val="000000"/>
          <w:kern w:val="0"/>
          <w:sz w:val="24"/>
          <w:szCs w:val="24"/>
          <w:lang w:val="en-GB"/>
        </w:rPr>
        <w:t xml:space="preserve">treatment with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various concentrations of TCCHA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lang w:val="en-GB"/>
        </w:rPr>
        <w:t xml:space="preserve"> with or without </w:t>
      </w:r>
      <w:r>
        <w:rPr>
          <w:rFonts w:ascii="Times New Roman" w:hAnsi="Times New Roman" w:cs="Times New Roman"/>
          <w:color w:val="242021"/>
          <w:kern w:val="0"/>
          <w:sz w:val="24"/>
          <w:szCs w:val="24"/>
          <w:lang w:val="en-GB"/>
        </w:rPr>
        <w:t>H</w:t>
      </w:r>
      <w:r>
        <w:rPr>
          <w:rFonts w:ascii="Times New Roman" w:hAnsi="Times New Roman" w:cs="Times New Roman"/>
          <w:color w:val="242021"/>
          <w:kern w:val="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242021"/>
          <w:kern w:val="0"/>
          <w:sz w:val="24"/>
          <w:szCs w:val="24"/>
          <w:lang w:val="en-GB"/>
        </w:rPr>
        <w:t>O</w:t>
      </w:r>
      <w:r>
        <w:rPr>
          <w:rFonts w:ascii="Times New Roman" w:hAnsi="Times New Roman" w:cs="Times New Roman"/>
          <w:color w:val="242021"/>
          <w:kern w:val="0"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color w:val="242021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eastAsia="等线" w:cs="Times New Roman"/>
          <w:color w:val="242021"/>
          <w:kern w:val="0"/>
          <w:sz w:val="24"/>
          <w:szCs w:val="24"/>
          <w:lang w:val="en-GB"/>
        </w:rPr>
        <w:t>pretreatment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= 3, **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&lt; 0.01.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288665" cy="2720975"/>
            <wp:effectExtent l="0" t="0" r="63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665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en-GB"/>
        </w:rPr>
        <w:t>Figure S10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Quantitative analysis</w:t>
      </w:r>
      <w:r>
        <w:rPr>
          <w:rStyle w:val="12"/>
          <w:rFonts w:ascii="Times New Roman" w:hAnsi="Times New Roman" w:cs="Times New Roman"/>
          <w:kern w:val="0"/>
          <w:sz w:val="24"/>
          <w:szCs w:val="24"/>
          <w:lang w:val="en-GB"/>
        </w:rPr>
        <w:t xml:space="preserve"> of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HIF-1α </w:t>
      </w:r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/>
        </w:rPr>
        <w:t xml:space="preserve">levels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after various concentrations of TCCHA treatment with or without hypoxia pre-treatment.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n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= 3, **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&lt; 0.01.</w:t>
      </w: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502660" cy="2894330"/>
            <wp:effectExtent l="0" t="0" r="254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7" w:name="OLE_LINK16"/>
      <w:bookmarkStart w:id="18" w:name="OLE_LINK15"/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>. The fluorescence intensity of DCF in Figure 4E</w:t>
      </w:r>
    </w:p>
    <w:bookmarkEnd w:id="17"/>
    <w:bookmarkEnd w:id="18"/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211195" cy="2707005"/>
            <wp:effectExtent l="0" t="0" r="825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12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S12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. Pharmacokinetic profile of TCCHA. The data were determined by ICP-MS analysis of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 xml:space="preserve">the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Cu content in blood and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 xml:space="preserve">are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presented as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>a percentage of the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injected dose (%ID).</w:t>
      </w:r>
    </w:p>
    <w:p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bookmarkStart w:id="19" w:name="OLE_LINK3"/>
      <w:r>
        <w:rPr>
          <w:rFonts w:ascii="Times New Roman" w:hAnsi="Times New Roman" w:cs="Times New Roman"/>
        </w:rPr>
        <w:drawing>
          <wp:inline distT="0" distB="0" distL="0" distR="0">
            <wp:extent cx="3225165" cy="270700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6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S13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. Quantitative biodistribution of TCCHA in major organs and tumors at 24 h postinjection, as determined by HPLC analysis of Ce6 content and presented as </w:t>
      </w:r>
      <w:r>
        <w:rPr>
          <w:rFonts w:ascii="Times New Roman" w:hAnsi="Times New Roman" w:eastAsia="等线" w:cs="Times New Roman"/>
          <w:bCs/>
          <w:color w:val="FF0000"/>
          <w:sz w:val="24"/>
          <w:szCs w:val="24"/>
          <w:lang w:val="en-GB"/>
        </w:rPr>
        <w:t>a percentage of the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injected dose (%ID).</w:t>
      </w:r>
    </w:p>
    <w:p>
      <w:pPr>
        <w:jc w:val="center"/>
        <w:rPr>
          <w:rFonts w:ascii="Times New Roman" w:hAnsi="Times New Roman" w:cs="Times New Roman"/>
          <w:lang w:val="en-US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225165" cy="270700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6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S14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. Quantitative biodistribution of TCCHA in major organs and tumors at 24 h postinjection, as determined by HPLC analysis of AL3818 content and presented as </w:t>
      </w:r>
      <w:r>
        <w:rPr>
          <w:rFonts w:ascii="Times New Roman" w:hAnsi="Times New Roman" w:eastAsia="等线" w:cs="Times New Roman"/>
          <w:bCs/>
          <w:color w:val="FF0000"/>
          <w:sz w:val="24"/>
          <w:szCs w:val="24"/>
          <w:lang w:val="en-GB"/>
        </w:rPr>
        <w:t>a percentage of the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injected dose (%ID).</w:t>
      </w:r>
      <w:bookmarkEnd w:id="19"/>
    </w:p>
    <w:p>
      <w:pPr>
        <w:spacing w:line="36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</w:p>
    <w:p>
      <w:pPr>
        <w:jc w:val="center"/>
        <w:rPr>
          <w:rFonts w:ascii="Times New Roman" w:hAnsi="Times New Roman" w:cs="Times New Roman"/>
          <w:lang w:val="en-US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bookmarkStart w:id="20" w:name="OLE_LINK1"/>
      <w:r>
        <w:rPr>
          <w:rFonts w:ascii="Times New Roman" w:hAnsi="Times New Roman" w:cs="Times New Roman"/>
        </w:rPr>
        <w:drawing>
          <wp:inline distT="0" distB="0" distL="0" distR="0">
            <wp:extent cx="5274310" cy="2486025"/>
            <wp:effectExtent l="0" t="0" r="254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S15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. Digital photographs of mice taken at 0 d, 2 d, 6 d, 10 d and 14 d after treatment with different formulations of Ce6 +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>laser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, AL3818, TCCH +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>laser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, TCCHA, or TCCHA +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>laser. The tumor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sites </w:t>
      </w:r>
      <w:r>
        <w:rPr>
          <w:rFonts w:ascii="Times New Roman" w:hAnsi="Times New Roman" w:eastAsia="等线" w:cs="Times New Roman"/>
          <w:bCs/>
          <w:color w:val="000000"/>
          <w:sz w:val="24"/>
          <w:szCs w:val="24"/>
          <w:lang w:val="en-GB"/>
        </w:rPr>
        <w:t>are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marked with red circles.</w:t>
      </w: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200400" cy="270700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S16</w:t>
      </w:r>
      <w:bookmarkStart w:id="21" w:name="OLE_LINK17"/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. Tumor growth curves of H22 tumor-bearing mice</w:t>
      </w:r>
      <w:bookmarkEnd w:id="21"/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in</w:t>
      </w:r>
      <w:r>
        <w:rPr>
          <w:rFonts w:hint="eastAsia" w:ascii="Times New Roman" w:hAnsi="Times New Roman" w:eastAsia="等线" w:cs="Times New Roman"/>
          <w:bCs/>
          <w:color w:val="FF000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different</w:t>
      </w:r>
      <w:r>
        <w:rPr>
          <w:rFonts w:hint="eastAsia" w:ascii="Times New Roman" w:hAnsi="Times New Roman" w:cs="Times New Roman"/>
          <w:bCs/>
          <w:color w:val="FF000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bCs/>
          <w:color w:val="FF0000"/>
          <w:sz w:val="24"/>
          <w:szCs w:val="24"/>
          <w:lang w:val="en-GB"/>
        </w:rPr>
        <w:t>treatment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groups. </w:t>
      </w:r>
      <w:r>
        <w:rPr>
          <w:rFonts w:ascii="Times New Roman" w:hAnsi="Times New Roman" w:cs="Times New Roman"/>
          <w:bCs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= 6, ***</w:t>
      </w:r>
      <w:r>
        <w:rPr>
          <w:rFonts w:ascii="Times New Roman" w:hAnsi="Times New Roman" w:cs="Times New Roman"/>
          <w:bCs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 xml:space="preserve"> &lt; 0.001.</w:t>
      </w:r>
    </w:p>
    <w:bookmarkEnd w:id="20"/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196590" cy="2707005"/>
            <wp:effectExtent l="0" t="0" r="381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8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S17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Body weight of H22 tumor-bearing mice received different treatments within 14 days.</w:t>
      </w: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4572000" cy="15481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5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S18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Immunofluorescence staining of HIF-1α </w:t>
      </w:r>
      <w:r>
        <w:rPr>
          <w:rFonts w:ascii="Times New Roman" w:hAnsi="Times New Roman" w:eastAsia="等线" w:cs="Times New Roman"/>
          <w:color w:val="FF0000"/>
          <w:sz w:val="24"/>
          <w:szCs w:val="24"/>
          <w:lang w:val="en-GB"/>
        </w:rPr>
        <w:t>in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tumor sections after </w:t>
      </w:r>
      <w:r>
        <w:rPr>
          <w:rFonts w:ascii="Times New Roman" w:hAnsi="Times New Roman" w:eastAsia="等线" w:cs="Times New Roman"/>
          <w:color w:val="FF0000"/>
          <w:sz w:val="24"/>
          <w:szCs w:val="24"/>
          <w:lang w:val="en-GB"/>
        </w:rPr>
        <w:t xml:space="preserve">treatment with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various concentrations of TCCHA for 14 days. </w:t>
      </w:r>
      <w:r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>(Blue: Hoechst</w:t>
      </w:r>
      <w:r>
        <w:rPr>
          <w:rFonts w:ascii="Times New Roman" w:hAnsi="Times New Roman" w:eastAsia="等线" w:cs="Times New Roman"/>
          <w:color w:val="FF0000"/>
          <w:kern w:val="0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color w:val="FF0000"/>
          <w:kern w:val="0"/>
          <w:sz w:val="24"/>
          <w:szCs w:val="24"/>
          <w:lang w:val="en-GB"/>
        </w:rPr>
        <w:t>stained nuclei. Green: HIF-1α)</w:t>
      </w: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bookmarkStart w:id="22" w:name="OLE_LINK5"/>
      <w:bookmarkStart w:id="25" w:name="_GoBack"/>
      <w:r>
        <w:rPr>
          <w:rFonts w:ascii="Times New Roman" w:hAnsi="Times New Roman" w:cs="Times New Roman"/>
        </w:rPr>
        <w:drawing>
          <wp:inline distT="0" distB="0" distL="0" distR="0">
            <wp:extent cx="4982845" cy="3126740"/>
            <wp:effectExtent l="0" t="0" r="825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3208" cy="3126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S19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>Representative photographs of lungs fixed by Bouin’s solution (upper panel) and H&amp;E images of lung tissues in different groups. The black dotted squares denote metastatic nodules.</w:t>
      </w: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hint="eastAsia"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333115" cy="2707005"/>
            <wp:effectExtent l="0" t="0" r="63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6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bookmarkStart w:id="23" w:name="OLE_LINK18"/>
      <w:bookmarkStart w:id="24" w:name="OLE_LINK19"/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S20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Numbers of lung metastatic nodules </w:t>
      </w:r>
      <w:r>
        <w:rPr>
          <w:rFonts w:ascii="Times New Roman" w:hAnsi="Times New Roman" w:eastAsia="等线" w:cs="Times New Roman"/>
          <w:color w:val="FF0000"/>
          <w:sz w:val="24"/>
          <w:szCs w:val="24"/>
          <w:lang w:val="en-GB"/>
        </w:rPr>
        <w:t>in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Hepa1-6 lung metastatic mice in different treatment groups.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5, 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0.05, 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0.01, “ns” represents no statistical significance.</w:t>
      </w:r>
    </w:p>
    <w:bookmarkEnd w:id="23"/>
    <w:bookmarkEnd w:id="24"/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156585" cy="2707005"/>
            <wp:effectExtent l="0" t="0" r="571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7200" cy="27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en-GB"/>
        </w:rPr>
        <w:t>Figure S21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en-GB"/>
        </w:rPr>
        <w:t>Relative lung metastasis inhibition rates in different treatment groups.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n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= 5, 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0.05, **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&lt; 0.01, “ns” represents no statistical significance.</w:t>
      </w:r>
      <w:bookmarkEnd w:id="25"/>
    </w:p>
    <w:bookmarkEnd w:id="22"/>
    <w:p>
      <w:p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wNGM3OTNjYjdjOTM2OTBhNTZhNWE2M2UxMjlmNmMifQ=="/>
  </w:docVars>
  <w:rsids>
    <w:rsidRoot w:val="001B6231"/>
    <w:rsid w:val="0002149E"/>
    <w:rsid w:val="00076850"/>
    <w:rsid w:val="000F216D"/>
    <w:rsid w:val="000F7E0D"/>
    <w:rsid w:val="00115349"/>
    <w:rsid w:val="00177C1F"/>
    <w:rsid w:val="001A7F45"/>
    <w:rsid w:val="001B6231"/>
    <w:rsid w:val="0023389D"/>
    <w:rsid w:val="00240D19"/>
    <w:rsid w:val="00250FD2"/>
    <w:rsid w:val="00296759"/>
    <w:rsid w:val="002B194D"/>
    <w:rsid w:val="002B2A5F"/>
    <w:rsid w:val="003003C6"/>
    <w:rsid w:val="00345689"/>
    <w:rsid w:val="00446D6B"/>
    <w:rsid w:val="004475C2"/>
    <w:rsid w:val="00456F12"/>
    <w:rsid w:val="00471FC1"/>
    <w:rsid w:val="00473940"/>
    <w:rsid w:val="004A478A"/>
    <w:rsid w:val="004C31C2"/>
    <w:rsid w:val="00512D9A"/>
    <w:rsid w:val="0051795E"/>
    <w:rsid w:val="00562694"/>
    <w:rsid w:val="005855A4"/>
    <w:rsid w:val="00637A53"/>
    <w:rsid w:val="00643DFE"/>
    <w:rsid w:val="00697D19"/>
    <w:rsid w:val="006C2519"/>
    <w:rsid w:val="006D0917"/>
    <w:rsid w:val="006D5FB3"/>
    <w:rsid w:val="006D74BC"/>
    <w:rsid w:val="007042D8"/>
    <w:rsid w:val="00793FA9"/>
    <w:rsid w:val="00807567"/>
    <w:rsid w:val="00810EE3"/>
    <w:rsid w:val="008118F0"/>
    <w:rsid w:val="008313DA"/>
    <w:rsid w:val="00850A09"/>
    <w:rsid w:val="008E70C4"/>
    <w:rsid w:val="00910C6E"/>
    <w:rsid w:val="00915C9B"/>
    <w:rsid w:val="00916455"/>
    <w:rsid w:val="00942CD7"/>
    <w:rsid w:val="009F006D"/>
    <w:rsid w:val="00A00391"/>
    <w:rsid w:val="00A062EE"/>
    <w:rsid w:val="00A20DAE"/>
    <w:rsid w:val="00A64C6C"/>
    <w:rsid w:val="00AA4078"/>
    <w:rsid w:val="00AE5CAB"/>
    <w:rsid w:val="00B92CB0"/>
    <w:rsid w:val="00BC3EDC"/>
    <w:rsid w:val="00BE2CE1"/>
    <w:rsid w:val="00BE31E8"/>
    <w:rsid w:val="00C354AA"/>
    <w:rsid w:val="00C6352E"/>
    <w:rsid w:val="00CB0DFA"/>
    <w:rsid w:val="00CB5AC3"/>
    <w:rsid w:val="00CF4C8F"/>
    <w:rsid w:val="00D10722"/>
    <w:rsid w:val="00D10D87"/>
    <w:rsid w:val="00D4481B"/>
    <w:rsid w:val="00D63928"/>
    <w:rsid w:val="00D826CC"/>
    <w:rsid w:val="00D914C8"/>
    <w:rsid w:val="00DB7AC0"/>
    <w:rsid w:val="00DF717A"/>
    <w:rsid w:val="00DF7B8F"/>
    <w:rsid w:val="00E162DC"/>
    <w:rsid w:val="00E30DE1"/>
    <w:rsid w:val="00E32ABB"/>
    <w:rsid w:val="00E9453E"/>
    <w:rsid w:val="00EA075E"/>
    <w:rsid w:val="00EA4DC3"/>
    <w:rsid w:val="00EB5539"/>
    <w:rsid w:val="00F02AD3"/>
    <w:rsid w:val="00F541C6"/>
    <w:rsid w:val="00FB1A64"/>
    <w:rsid w:val="00FB45CD"/>
    <w:rsid w:val="00FC4AB2"/>
    <w:rsid w:val="00FF2A4E"/>
    <w:rsid w:val="051452E9"/>
    <w:rsid w:val="20303E66"/>
    <w:rsid w:val="25887680"/>
    <w:rsid w:val="272B1F61"/>
    <w:rsid w:val="2DF70D0D"/>
    <w:rsid w:val="50C404CB"/>
    <w:rsid w:val="7064290E"/>
    <w:rsid w:val="73BE5832"/>
    <w:rsid w:val="759C7DD3"/>
    <w:rsid w:val="7B75611A"/>
    <w:rsid w:val="7CC8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/>
    </w:rPr>
  </w:style>
  <w:style w:type="paragraph" w:styleId="5">
    <w:name w:val="Title"/>
    <w:basedOn w:val="1"/>
    <w:next w:val="1"/>
    <w:autoRedefine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8">
    <w:name w:val="Hyperlink"/>
    <w:basedOn w:val="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annotation reference"/>
    <w:basedOn w:val="7"/>
    <w:autoRedefine/>
    <w:qFormat/>
    <w:uiPriority w:val="99"/>
    <w:rPr>
      <w:sz w:val="16"/>
      <w:szCs w:val="16"/>
    </w:rPr>
  </w:style>
  <w:style w:type="character" w:customStyle="1" w:styleId="10">
    <w:name w:val="页眉 字符"/>
    <w:basedOn w:val="7"/>
    <w:link w:val="3"/>
    <w:autoRedefine/>
    <w:qFormat/>
    <w:uiPriority w:val="99"/>
    <w:rPr>
      <w:sz w:val="18"/>
      <w:szCs w:val="18"/>
      <w:lang w:val="en-GB"/>
    </w:rPr>
  </w:style>
  <w:style w:type="character" w:customStyle="1" w:styleId="11">
    <w:name w:val="页脚 字符"/>
    <w:basedOn w:val="7"/>
    <w:link w:val="2"/>
    <w:autoRedefine/>
    <w:qFormat/>
    <w:uiPriority w:val="99"/>
    <w:rPr>
      <w:sz w:val="18"/>
      <w:szCs w:val="18"/>
      <w:lang w:val="en-GB"/>
    </w:rPr>
  </w:style>
  <w:style w:type="character" w:customStyle="1" w:styleId="12">
    <w:name w:val="fontstyle01"/>
    <w:basedOn w:val="7"/>
    <w:autoRedefine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character" w:customStyle="1" w:styleId="13">
    <w:name w:val="未处理的提及1"/>
    <w:basedOn w:val="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Supplementary Material"/>
    <w:basedOn w:val="5"/>
    <w:next w:val="5"/>
    <w:autoRedefine/>
    <w:qFormat/>
    <w:uiPriority w:val="0"/>
    <w:pPr>
      <w:spacing w:after="120"/>
    </w:pPr>
    <w:rPr>
      <w:i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jpeg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jpeg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516</Words>
  <Characters>2946</Characters>
  <Lines>24</Lines>
  <Paragraphs>6</Paragraphs>
  <TotalTime>13</TotalTime>
  <ScaleCrop>false</ScaleCrop>
  <LinksUpToDate>false</LinksUpToDate>
  <CharactersWithSpaces>3456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2024-04-24T22:04:00Z</dcterms:created>
  <dc:creator>Weijun Xu</dc:creator>
  <cp:lastModifiedBy>杨成成</cp:lastModifiedBy>
  <dcterms:modified xsi:type="dcterms:W3CDTF">2024-05-07T03:38:55Z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165990057F424707A2510729BD7B312E_12</vt:lpwstr>
  </property>
  <property fmtid="{D5CDD505-2E9C-101B-9397-08002B2CF9AE}" pid="3" name="KSOProductBuildVer">
    <vt:lpwstr>2052-12.1.0.16729</vt:lpwstr>
  </property>
  <property fmtid="{D5CDD505-2E9C-101B-9397-08002B2CF9AE}" pid="4" name="LE1">
    <vt:filetime>2024-05-06T03:23:51Z</vt:filetime>
  </property>
</Properties>
</file>