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rPr>
          <w:rFonts w:hint="eastAsia" w:ascii="Times New Roman" w:hAnsi="Times New Roman" w:cs="Times New Roman"/>
          <w:b/>
          <w:bCs/>
          <w:sz w:val="24"/>
        </w:rPr>
      </w:pPr>
      <w:bookmarkStart w:id="0" w:name="OLE_LINK5"/>
    </w:p>
    <w:p>
      <w:pPr>
        <w:widowControl/>
        <w:spacing w:line="480" w:lineRule="auto"/>
        <w:jc w:val="center"/>
        <w:rPr>
          <w:rFonts w:ascii="Times New Roman" w:hAnsi="Times New Roman" w:cs="Times New Roman" w:eastAsiaTheme="majorHAnsi"/>
          <w:b/>
          <w:bCs/>
          <w:sz w:val="24"/>
        </w:rPr>
      </w:pPr>
      <w:r>
        <w:rPr>
          <w:rFonts w:ascii="Times New Roman" w:hAnsi="Times New Roman" w:cs="Times New Roman" w:eastAsiaTheme="majorHAnsi"/>
          <w:b/>
          <w:bCs/>
          <w:sz w:val="24"/>
        </w:rPr>
        <w:t>Supporting Information</w:t>
      </w:r>
    </w:p>
    <w:p>
      <w:pPr>
        <w:widowControl/>
        <w:spacing w:line="480" w:lineRule="auto"/>
        <w:rPr>
          <w:rFonts w:ascii="Times New Roman" w:hAnsi="Times New Roman" w:cs="Times New Roman" w:eastAsiaTheme="majorHAnsi"/>
          <w:b/>
          <w:bCs/>
          <w:sz w:val="24"/>
        </w:rPr>
      </w:pPr>
    </w:p>
    <w:bookmarkEnd w:id="0"/>
    <w:p>
      <w:pPr>
        <w:widowControl/>
        <w:spacing w:line="480" w:lineRule="auto"/>
        <w:jc w:val="center"/>
        <w:rPr>
          <w:rFonts w:ascii="Times New Roman" w:hAnsi="Times New Roman" w:cs="Times New Roman" w:eastAsiaTheme="majorHAnsi"/>
          <w:b/>
          <w:bCs/>
          <w:sz w:val="24"/>
        </w:rPr>
      </w:pPr>
      <w:r>
        <w:rPr>
          <w:rFonts w:ascii="Times New Roman" w:hAnsi="Times New Roman" w:cs="Times New Roman" w:eastAsiaTheme="majorHAnsi"/>
          <w:b/>
          <w:bCs/>
          <w:sz w:val="24"/>
        </w:rPr>
        <w:t>Proangiogenic effect and underlying mechanism of holmium oxide nanoparticles: A new biomaterial for tissue engineering</w:t>
      </w:r>
    </w:p>
    <w:p>
      <w:pPr>
        <w:widowControl/>
        <w:spacing w:line="480" w:lineRule="auto"/>
        <w:jc w:val="center"/>
        <w:rPr>
          <w:rFonts w:ascii="Times New Roman" w:hAnsi="Times New Roman" w:cs="Times New Roman" w:eastAsiaTheme="majorHAnsi"/>
          <w:b/>
          <w:bCs/>
          <w:sz w:val="24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等线" w:cs="Times New Roman"/>
          <w:sz w:val="24"/>
          <w:lang w:bidi="ar"/>
        </w:rPr>
        <w:t xml:space="preserve">Yuxiao Luo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1</w:t>
      </w:r>
      <w:r>
        <w:rPr>
          <w:rFonts w:ascii="Times New Roman" w:hAnsi="Times New Roman" w:eastAsia="等线" w:cs="Times New Roman"/>
          <w:sz w:val="24"/>
          <w:lang w:bidi="ar"/>
        </w:rPr>
        <w:t xml:space="preserve">, Yifan Zheng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1</w:t>
      </w:r>
      <w:r>
        <w:rPr>
          <w:rFonts w:ascii="Times New Roman" w:hAnsi="Times New Roman" w:eastAsia="等线" w:cs="Times New Roman"/>
          <w:sz w:val="24"/>
          <w:lang w:bidi="ar"/>
        </w:rPr>
        <w:t xml:space="preserve">, Ziwei Chen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 xml:space="preserve">, Minhua Mo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 xml:space="preserve">, Jiling Xie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 xml:space="preserve">, Xiaohe Zhou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>, Yupeng Wu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>, Qiyuan Yang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>, Manjia Zheng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>, Xiaowen Hu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</w:t>
      </w:r>
      <w:r>
        <w:rPr>
          <w:rFonts w:ascii="Times New Roman" w:hAnsi="Times New Roman" w:eastAsia="等线" w:cs="Times New Roman"/>
          <w:sz w:val="24"/>
          <w:lang w:bidi="ar"/>
        </w:rPr>
        <w:t xml:space="preserve">, Liangjiao Chen 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>2, *</w:t>
      </w:r>
      <w:r>
        <w:rPr>
          <w:rFonts w:ascii="Times New Roman" w:hAnsi="Times New Roman" w:eastAsia="等线" w:cs="Times New Roman"/>
          <w:sz w:val="24"/>
          <w:lang w:bidi="ar"/>
        </w:rPr>
        <w:t>, Zedong Lan</w:t>
      </w:r>
      <w:r>
        <w:rPr>
          <w:rFonts w:ascii="Times New Roman" w:hAnsi="Times New Roman" w:eastAsia="等线" w:cs="Times New Roman"/>
          <w:sz w:val="24"/>
          <w:vertAlign w:val="superscript"/>
          <w:lang w:bidi="ar"/>
        </w:rPr>
        <w:t xml:space="preserve"> 1, *</w:t>
      </w:r>
      <w:r>
        <w:rPr>
          <w:rFonts w:ascii="Times New Roman" w:hAnsi="Times New Roman" w:eastAsia="等线" w:cs="Times New Roman"/>
          <w:sz w:val="24"/>
          <w:lang w:bidi="ar"/>
        </w:rPr>
        <w:t xml:space="preserve"> </w:t>
      </w:r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1.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Shenzhen Stomatological Hospital, Southern Medical University, Shenzhen, Guangdong 518001, People’s Republic of China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Department of Orthodontics, School and Hospital of Stomatology, Guangdong Engineering Research Center of Oral Restoration and Reconstruction &amp; Guangzhou Key Laboratory of Basic and Applied Research of Oral Regenerative Medicine, Guangzhou Medical University, Guangzhou, China.</w:t>
      </w:r>
      <w:bookmarkStart w:id="10" w:name="_GoBack"/>
      <w:bookmarkEnd w:id="10"/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bookmarkStart w:id="1" w:name="OLE_LINK6"/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* Corresponding author: </w:t>
      </w:r>
    </w:p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bookmarkStart w:id="2" w:name="OLE_LINK7"/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Zedong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L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an, </w:t>
      </w:r>
      <w:r>
        <w:fldChar w:fldCharType="begin"/>
      </w:r>
      <w:r>
        <w:instrText xml:space="preserve"> HYPERLINK "mailto:lanzedong@smu.edu.cn" </w:instrText>
      </w:r>
      <w:r>
        <w:fldChar w:fldCharType="separate"/>
      </w:r>
      <w:r>
        <w:rPr>
          <w:rStyle w:val="8"/>
          <w:rFonts w:ascii="Times New Roman" w:hAnsi="Times New Roman" w:eastAsia="宋体" w:cs="Times New Roman"/>
          <w:color w:val="000000"/>
          <w:kern w:val="0"/>
          <w:sz w:val="24"/>
          <w:lang w:bidi="ar"/>
        </w:rPr>
        <w:t>lanzedong@smu.edu.cn</w:t>
      </w:r>
      <w:r>
        <w:rPr>
          <w:rStyle w:val="8"/>
          <w:rFonts w:ascii="Times New Roman" w:hAnsi="Times New Roman" w:eastAsia="宋体" w:cs="Times New Roman"/>
          <w:color w:val="000000"/>
          <w:kern w:val="0"/>
          <w:sz w:val="24"/>
          <w:lang w:bidi="ar"/>
        </w:rPr>
        <w:fldChar w:fldCharType="end"/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</w:p>
    <w:bookmarkEnd w:id="2"/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Liangjiao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Chen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, </w:t>
      </w:r>
      <w:r>
        <w:fldChar w:fldCharType="begin"/>
      </w:r>
      <w:r>
        <w:instrText xml:space="preserve"> HYPERLINK "mailto:2010686017@gzhmu.edu.cn" </w:instrText>
      </w:r>
      <w:r>
        <w:fldChar w:fldCharType="separate"/>
      </w:r>
      <w:r>
        <w:rPr>
          <w:rStyle w:val="8"/>
          <w:rFonts w:ascii="Times New Roman" w:hAnsi="Times New Roman" w:eastAsia="宋体" w:cs="Times New Roman"/>
          <w:color w:val="000000"/>
          <w:kern w:val="0"/>
          <w:sz w:val="24"/>
          <w:lang w:bidi="ar"/>
        </w:rPr>
        <w:t>2010686017@gzhmu.edu.cn</w:t>
      </w:r>
      <w:r>
        <w:rPr>
          <w:rStyle w:val="8"/>
          <w:rFonts w:ascii="Times New Roman" w:hAnsi="Times New Roman" w:eastAsia="宋体" w:cs="Times New Roman"/>
          <w:color w:val="000000"/>
          <w:kern w:val="0"/>
          <w:sz w:val="24"/>
          <w:lang w:bidi="ar"/>
        </w:rPr>
        <w:fldChar w:fldCharType="end"/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 xml:space="preserve"> </w:t>
      </w:r>
    </w:p>
    <w:bookmarkEnd w:id="1"/>
    <w:p>
      <w:pPr>
        <w:widowControl/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widowControl/>
        <w:spacing w:line="480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widowControl/>
        <w:spacing w:line="480" w:lineRule="auto"/>
        <w:rPr>
          <w:rFonts w:hint="eastAsia" w:ascii="Times New Roman" w:hAnsi="Times New Roman" w:cs="Times New Roman"/>
          <w:b/>
          <w:bCs/>
          <w:sz w:val="24"/>
        </w:rPr>
      </w:pPr>
    </w:p>
    <w:p>
      <w:pPr>
        <w:spacing w:after="360" w:line="360" w:lineRule="auto"/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3" w:name="OLE_LINK4"/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igures</w:t>
      </w:r>
      <w:bookmarkEnd w:id="3"/>
    </w:p>
    <w:p/>
    <w:p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eastAsiaTheme="majorHAnsi"/>
          <w:b/>
          <w:bCs/>
          <w:sz w:val="24"/>
        </w:rPr>
        <w:drawing>
          <wp:inline distT="0" distB="0" distL="114300" distR="114300">
            <wp:extent cx="5259070" cy="4219575"/>
            <wp:effectExtent l="0" t="0" r="11430" b="9525"/>
            <wp:docPr id="5" name="图片 5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Fig. S1</w:t>
      </w:r>
      <w:r>
        <w:rPr>
          <w:rFonts w:hint="eastAsia" w:ascii="Times New Roman" w:hAnsi="Times New Roman" w:eastAsia="宋体" w:cs="Times New Roman"/>
          <w:b/>
          <w:bCs/>
          <w:sz w:val="24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A</w:t>
      </w:r>
      <w:r>
        <w:rPr>
          <w:rFonts w:ascii="Times New Roman" w:hAnsi="Times New Roman" w:eastAsia="宋体" w:cs="Times New Roman"/>
          <w:sz w:val="24"/>
        </w:rPr>
        <w:t xml:space="preserve">rea of </w:t>
      </w:r>
      <w:r>
        <w:rPr>
          <w:rFonts w:hint="eastAsia" w:ascii="Times New Roman" w:hAnsi="Times New Roman" w:eastAsia="宋体" w:cs="Times New Roman"/>
          <w:sz w:val="24"/>
        </w:rPr>
        <w:t>bone defect</w:t>
      </w:r>
      <w:r>
        <w:rPr>
          <w:rFonts w:ascii="Times New Roman" w:hAnsi="Times New Roman" w:eastAsia="宋体" w:cs="Times New Roman"/>
          <w:sz w:val="24"/>
        </w:rPr>
        <w:t xml:space="preserve"> model after 2 weeks of treatment.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A. </w:t>
      </w:r>
      <w:r>
        <w:rPr>
          <w:rFonts w:ascii="Times New Roman" w:hAnsi="Times New Roman" w:eastAsia="宋体" w:cs="Times New Roman"/>
          <w:sz w:val="24"/>
        </w:rPr>
        <w:t>HE staining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B. </w:t>
      </w:r>
      <w:r>
        <w:rPr>
          <w:rFonts w:ascii="Times New Roman" w:hAnsi="Times New Roman" w:eastAsia="宋体" w:cs="Times New Roman"/>
          <w:sz w:val="24"/>
        </w:rPr>
        <w:t>CD31 immunohistochemical staining.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C. </w:t>
      </w:r>
      <w:r>
        <w:rPr>
          <w:rFonts w:ascii="Times New Roman" w:hAnsi="Times New Roman" w:eastAsia="宋体" w:cs="Times New Roman"/>
          <w:sz w:val="24"/>
        </w:rPr>
        <w:t>Quantitative analysis of CD31-positive areas, showing a significant increase in neovascularization in the 0.001wt% HNPs group compared to other groups.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D. </w:t>
      </w:r>
      <w:r>
        <w:rPr>
          <w:rFonts w:ascii="Times New Roman" w:hAnsi="Times New Roman" w:cs="Times New Roman"/>
          <w:sz w:val="24"/>
        </w:rPr>
        <w:t>Body weight change in operative period (*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0.05; 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0.01; ***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0.001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inline distT="0" distB="0" distL="114300" distR="114300">
            <wp:extent cx="5271770" cy="3497580"/>
            <wp:effectExtent l="0" t="0" r="11430" b="7620"/>
            <wp:docPr id="6" name="图片 6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2. </w:t>
      </w:r>
      <w:r>
        <w:rPr>
          <w:rFonts w:hint="eastAsia" w:ascii="Times New Roman" w:hAnsi="Times New Roman" w:eastAsia="宋体" w:cs="Times New Roman"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>he rat cranial bone defect</w:t>
      </w:r>
      <w:r>
        <w:rPr>
          <w:rFonts w:hint="eastAsia" w:ascii="Times New Roman" w:hAnsi="Times New Roman" w:eastAsia="宋体" w:cs="Times New Roman"/>
          <w:sz w:val="24"/>
        </w:rPr>
        <w:t xml:space="preserve"> stained with Sirius Red. </w:t>
      </w:r>
      <w:r>
        <w:rPr>
          <w:rFonts w:hint="eastAsia" w:ascii="Times New Roman" w:hAnsi="Times New Roman" w:eastAsia="宋体" w:cs="Times New Roman"/>
          <w:b/>
          <w:bCs/>
          <w:sz w:val="24"/>
        </w:rPr>
        <w:t>A</w:t>
      </w:r>
      <w:r>
        <w:rPr>
          <w:rFonts w:hint="eastAsia"/>
          <w:b/>
          <w:bCs/>
        </w:rPr>
        <w:t>.</w:t>
      </w:r>
      <w:r>
        <w:rPr>
          <w:rFonts w:hint="eastAsia" w:ascii="Times New Roman" w:hAnsi="Times New Roman" w:eastAsia="宋体" w:cs="Times New Roman"/>
          <w:sz w:val="24"/>
        </w:rPr>
        <w:t xml:space="preserve"> Sirius red staining images and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B. </w:t>
      </w:r>
      <w:r>
        <w:rPr>
          <w:rFonts w:hint="eastAsia" w:ascii="Times New Roman" w:hAnsi="Times New Roman" w:eastAsia="宋体" w:cs="Times New Roman"/>
          <w:sz w:val="24"/>
        </w:rPr>
        <w:t>Polarized light images both showed there were more type I collagens and their arrangement was more regular in HNPs-GelMA group.</w:t>
      </w:r>
    </w:p>
    <w:p>
      <w:pPr>
        <w:spacing w:line="480" w:lineRule="auto"/>
        <w:rPr>
          <w:rFonts w:hint="eastAsia" w:ascii="Times New Roman" w:hAnsi="Times New Roman" w:eastAsia="宋体" w:cs="Times New Roman"/>
          <w:b/>
          <w:bCs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drawing>
          <wp:inline distT="0" distB="0" distL="114300" distR="114300">
            <wp:extent cx="5060950" cy="1423670"/>
            <wp:effectExtent l="0" t="0" r="6350" b="5080"/>
            <wp:docPr id="1" name="图片 1" descr="C:/Users/83822/Desktop/返修后投稿/补充材料图片/240413-组图-09(1).png240413-组图-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83822/Desktop/返修后投稿/补充材料图片/240413-组图-09(1).png240413-组图-09(1)"/>
                    <pic:cNvPicPr>
                      <a:picLocks noChangeAspect="1"/>
                    </pic:cNvPicPr>
                  </pic:nvPicPr>
                  <pic:blipFill>
                    <a:blip r:embed="rId6"/>
                    <a:srcRect l="2294" t="4877" r="1486" b="4877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14236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3. </w:t>
      </w:r>
      <w:r>
        <w:rPr>
          <w:rFonts w:hint="eastAsia" w:ascii="Times New Roman" w:hAnsi="Times New Roman" w:eastAsia="宋体" w:cs="Times New Roman"/>
          <w:sz w:val="24"/>
        </w:rPr>
        <w:t>Quantitative analysis of gene expression related to angiogenesis.</w:t>
      </w:r>
      <w:r>
        <w:rPr>
          <w:rFonts w:ascii="Times New Roman" w:hAnsi="Times New Roman" w:eastAsia="宋体" w:cs="Times New Roman"/>
          <w:sz w:val="24"/>
        </w:rPr>
        <w:t xml:space="preserve"> VEGF and CD31 mRNA after treatment with 0, 5, 10, or 15 ng/mL HNPs for 12 and 24 hours. Compared to other groups, the 10 ng/mL group showed the highest expression levels of VEGF and CD31 </w:t>
      </w:r>
      <w:bookmarkStart w:id="4" w:name="OLE_LINK8"/>
      <w:r>
        <w:rPr>
          <w:rFonts w:ascii="Times New Roman" w:hAnsi="Times New Roman" w:eastAsia="宋体" w:cs="Times New Roman"/>
          <w:sz w:val="24"/>
        </w:rPr>
        <w:t>mRNA (*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0.05</w:t>
      </w:r>
      <w:r>
        <w:rPr>
          <w:rFonts w:hint="eastAsia" w:ascii="Times New Roman" w:hAnsi="Times New Roman" w:eastAsia="宋体" w:cs="Times New Roman"/>
          <w:sz w:val="24"/>
        </w:rPr>
        <w:t>;</w:t>
      </w:r>
      <w:r>
        <w:rPr>
          <w:rFonts w:ascii="Times New Roman" w:hAnsi="Times New Roman" w:eastAsia="宋体" w:cs="Times New Roman"/>
          <w:sz w:val="24"/>
        </w:rPr>
        <w:t xml:space="preserve"> 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0.01</w:t>
      </w:r>
      <w:bookmarkEnd w:id="4"/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宋体" w:cs="Times New Roman"/>
          <w:color w:val="0000FF"/>
          <w:sz w:val="24"/>
        </w:rPr>
        <w:t>***</w:t>
      </w:r>
      <w:r>
        <w:rPr>
          <w:rFonts w:ascii="Times New Roman" w:hAnsi="Times New Roman" w:eastAsia="宋体" w:cs="Times New Roman"/>
          <w:i/>
          <w:iCs/>
          <w:color w:val="0000FF"/>
          <w:sz w:val="24"/>
        </w:rPr>
        <w:t>P</w:t>
      </w:r>
      <w:r>
        <w:rPr>
          <w:rFonts w:ascii="Times New Roman" w:hAnsi="Times New Roman" w:eastAsia="宋体" w:cs="Times New Roman"/>
          <w:color w:val="0000FF"/>
          <w:sz w:val="24"/>
        </w:rPr>
        <w:t xml:space="preserve"> &lt; 0.</w:t>
      </w:r>
      <w:r>
        <w:rPr>
          <w:rFonts w:hint="eastAsia" w:ascii="Times New Roman" w:hAnsi="Times New Roman" w:eastAsia="宋体" w:cs="Times New Roman"/>
          <w:color w:val="0000FF"/>
          <w:sz w:val="24"/>
        </w:rPr>
        <w:t>0</w:t>
      </w:r>
      <w:r>
        <w:rPr>
          <w:rFonts w:ascii="Times New Roman" w:hAnsi="Times New Roman" w:eastAsia="宋体" w:cs="Times New Roman"/>
          <w:color w:val="0000FF"/>
          <w:sz w:val="24"/>
        </w:rPr>
        <w:t>01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drawing>
          <wp:inline distT="0" distB="0" distL="114300" distR="114300">
            <wp:extent cx="5273675" cy="1888490"/>
            <wp:effectExtent l="0" t="0" r="9525" b="3810"/>
            <wp:docPr id="8" name="图片 8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4. </w:t>
      </w:r>
      <w:r>
        <w:rPr>
          <w:rFonts w:ascii="Times New Roman" w:hAnsi="Times New Roman" w:eastAsia="宋体" w:cs="Times New Roman"/>
          <w:sz w:val="24"/>
        </w:rPr>
        <w:t xml:space="preserve">ROS detection in HUVECs treated with </w:t>
      </w:r>
      <w:r>
        <w:rPr>
          <w:rFonts w:hint="eastAsia" w:ascii="Times New Roman" w:hAnsi="Times New Roman" w:eastAsia="宋体" w:cs="Times New Roman"/>
          <w:sz w:val="24"/>
        </w:rPr>
        <w:t>HNPs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A. </w:t>
      </w:r>
      <w:r>
        <w:rPr>
          <w:rFonts w:ascii="Times New Roman" w:hAnsi="Times New Roman" w:eastAsia="宋体" w:cs="Times New Roman"/>
          <w:sz w:val="24"/>
        </w:rPr>
        <w:t xml:space="preserve">Images of intracellular ROS in HUVECs captured using laser confocal microscopy. </w:t>
      </w:r>
      <w:r>
        <w:rPr>
          <w:rFonts w:ascii="Times New Roman" w:hAnsi="Times New Roman" w:eastAsia="宋体" w:cs="Times New Roman"/>
          <w:b/>
          <w:bCs/>
          <w:sz w:val="24"/>
        </w:rPr>
        <w:t>B.</w:t>
      </w:r>
      <w:r>
        <w:rPr>
          <w:rFonts w:ascii="Times New Roman" w:hAnsi="Times New Roman" w:eastAsia="宋体" w:cs="Times New Roman"/>
          <w:sz w:val="24"/>
        </w:rPr>
        <w:t xml:space="preserve"> Detection of ROS in HUVECs using flow cytometry.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            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     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z w:val="24"/>
        </w:rPr>
        <w:drawing>
          <wp:inline distT="0" distB="0" distL="114300" distR="114300">
            <wp:extent cx="4807585" cy="2611120"/>
            <wp:effectExtent l="0" t="0" r="5715" b="5080"/>
            <wp:docPr id="9" name="图片 9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5. </w:t>
      </w:r>
      <w:r>
        <w:rPr>
          <w:rFonts w:ascii="Times New Roman" w:hAnsi="Times New Roman" w:eastAsia="等线" w:cs="Times New Roman"/>
          <w:sz w:val="24"/>
          <w:lang w:bidi="ar"/>
        </w:rPr>
        <w:t xml:space="preserve">The role of CDC42 in HNPs-promoted vascular regeneration.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A. </w:t>
      </w:r>
      <w:r>
        <w:rPr>
          <w:rFonts w:ascii="Times New Roman" w:hAnsi="Times New Roman" w:eastAsia="等线" w:cs="Times New Roman"/>
          <w:sz w:val="24"/>
          <w:lang w:bidi="ar"/>
        </w:rPr>
        <w:t>Quantitative analysis of positive areas after CD31 immunohistochemical staining.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>B.</w:t>
      </w:r>
      <w:r>
        <w:rPr>
          <w:rFonts w:hint="eastAsia" w:ascii="Times New Roman" w:hAnsi="Times New Roman" w:eastAsia="等线" w:cs="Times New Roman"/>
          <w:sz w:val="24"/>
          <w:lang w:bidi="ar"/>
        </w:rPr>
        <w:t xml:space="preserve"> </w:t>
      </w:r>
      <w:r>
        <w:rPr>
          <w:rFonts w:ascii="Times New Roman" w:hAnsi="Times New Roman" w:eastAsia="等线" w:cs="Times New Roman"/>
          <w:sz w:val="24"/>
          <w:lang w:bidi="ar"/>
        </w:rPr>
        <w:t>Quantitative analysis of H-type vascular volume (</w:t>
      </w: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eastAsia="宋体" w:cs="Times New Roman"/>
          <w:sz w:val="24"/>
        </w:rPr>
        <w:t>**</w:t>
      </w:r>
      <w:r>
        <w:rPr>
          <w:rFonts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0.001</w:t>
      </w:r>
      <w:r>
        <w:rPr>
          <w:rFonts w:hint="eastAsia" w:ascii="Times New Roman" w:hAnsi="Times New Roman" w:eastAsia="宋体" w:cs="Times New Roman"/>
          <w:sz w:val="24"/>
        </w:rPr>
        <w:t>).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  </w:t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    </w:t>
      </w:r>
      <w:r>
        <w:rPr>
          <w:rFonts w:ascii="Times New Roman" w:hAnsi="Times New Roman" w:eastAsia="宋体" w:cs="Times New Roman"/>
          <w:b/>
          <w:bCs/>
          <w:sz w:val="24"/>
        </w:rPr>
        <w:drawing>
          <wp:inline distT="0" distB="0" distL="114300" distR="114300">
            <wp:extent cx="5260340" cy="5131435"/>
            <wp:effectExtent l="0" t="0" r="10160" b="12065"/>
            <wp:docPr id="10" name="图片 10" descr="Fig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softHyphen/>
      </w:r>
      <w:r>
        <w:rPr>
          <w:rFonts w:ascii="Times New Roman" w:hAnsi="Times New Roman" w:eastAsia="宋体" w:cs="Times New Roman"/>
          <w:b/>
          <w:bCs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sz w:val="24"/>
        </w:rPr>
        <w:t>6.</w:t>
      </w:r>
      <w:r>
        <w:rPr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HNPs promote endothelial cell migration through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Ephrin B2/VAV2/CDC42</w:t>
      </w:r>
      <w:r>
        <w:rPr>
          <w:rFonts w:hint="eastAsia" w:ascii="Times New Roman" w:hAnsi="Times New Roman" w:eastAsia="宋体" w:cs="Times New Roman"/>
          <w:sz w:val="24"/>
        </w:rPr>
        <w:t xml:space="preserve">. </w:t>
      </w:r>
      <w:r>
        <w:rPr>
          <w:rFonts w:ascii="Times New Roman" w:hAnsi="Times New Roman" w:eastAsia="宋体" w:cs="Times New Roman"/>
          <w:sz w:val="24"/>
        </w:rPr>
        <w:t>Immunofluorescence images of cellular cytoskeletons captured using laser confocal microscopy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</w:rPr>
        <w:t>the arrows represent filopodia)</w:t>
      </w:r>
      <w:r>
        <w:rPr>
          <w:rFonts w:ascii="Times New Roman" w:hAnsi="Times New Roman" w:eastAsia="宋体" w:cs="Times New Roman"/>
          <w:sz w:val="24"/>
        </w:rPr>
        <w:t xml:space="preserve">. </w:t>
      </w: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szCs w:val="21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szCs w:val="21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szCs w:val="21"/>
        </w:rPr>
      </w:pPr>
    </w:p>
    <w:p>
      <w:pPr>
        <w:spacing w:after="3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Tables</w:t>
      </w:r>
    </w:p>
    <w:p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>
      <w:pPr>
        <w:widowControl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Table S1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bookmarkStart w:id="5" w:name="OLE_LINK1"/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Pri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mers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used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for RT-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q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PCR</w:t>
      </w:r>
      <w:bookmarkEnd w:id="5"/>
      <w:r>
        <w:rPr>
          <w:rFonts w:ascii="Times New Roman" w:hAnsi="Times New Roman" w:eastAsia="宋体" w:cs="Times New Roman"/>
          <w:sz w:val="24"/>
        </w:rPr>
        <w:t xml:space="preserve"> (F: forward primer R: reverse primer)</w:t>
      </w:r>
    </w:p>
    <w:p>
      <w:pPr>
        <w:widowControl/>
        <w:jc w:val="center"/>
        <w:rPr>
          <w:rFonts w:ascii="Times New Roman" w:hAnsi="Times New Roman" w:eastAsia="宋体" w:cs="Times New Roman"/>
          <w:sz w:val="24"/>
        </w:rPr>
      </w:pPr>
    </w:p>
    <w:tbl>
      <w:tblPr>
        <w:tblStyle w:val="10"/>
        <w:tblW w:w="7627" w:type="dxa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590"/>
        <w:gridCol w:w="4547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9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bookmarkStart w:id="6" w:name="_Hlk69264875"/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Gene</w:t>
            </w:r>
          </w:p>
        </w:tc>
        <w:tc>
          <w:tcPr>
            <w:tcW w:w="159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Primer</w:t>
            </w:r>
          </w:p>
        </w:tc>
        <w:tc>
          <w:tcPr>
            <w:tcW w:w="4547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Primer nucleotide sequence (5’-3’)</w:t>
            </w:r>
          </w:p>
        </w:tc>
      </w:tr>
      <w:bookmarkEnd w:id="6"/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GAPDH</w:t>
            </w: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AATTCCATGGCACCGTCAAGG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GAGGGATCTCGCTCCTGG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CD31</w:t>
            </w: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GACGATGTCAGAAACCATGCAA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GTCCTTCTTTCCTAGATCTTTGTGA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VEGF</w:t>
            </w: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ACAAATGTGAATGCAGACCAAA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54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ACCAACGTACACGCTCCAG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EFNB2</w:t>
            </w: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547" w:type="dxa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AAGGACTGGTACTATACCCACAG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547" w:type="dxa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TGTCTGCTTGGTCTTTATCAACC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Pri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mers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used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transfection</w:t>
      </w:r>
      <w:r>
        <w:rPr>
          <w:rFonts w:ascii="Times New Roman" w:hAnsi="Times New Roman" w:eastAsia="宋体" w:cs="Times New Roman"/>
          <w:sz w:val="24"/>
        </w:rPr>
        <w:t xml:space="preserve"> (F: forward primer R: reverse primer)</w:t>
      </w:r>
    </w:p>
    <w:p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10"/>
        <w:tblW w:w="7627" w:type="dxa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730"/>
        <w:gridCol w:w="4407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9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Gene</w:t>
            </w:r>
          </w:p>
        </w:tc>
        <w:tc>
          <w:tcPr>
            <w:tcW w:w="173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Primer</w:t>
            </w:r>
          </w:p>
        </w:tc>
        <w:tc>
          <w:tcPr>
            <w:tcW w:w="4407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Primer nucleotide sequence (5’-3’)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si EFNB2-1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GGUACUAUACCCACAGAUAGGTT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CCUAUCUGUGGGUAUAGUACCTT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si EFNB2-2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GCAGACAGAUGCACUAUUAAGTT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CUUAAUAGUGCAUCUGUCUGCTT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si EFNB2-3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AGAAGAACAAAGAUUAUUACATT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UGUAAUAAUCUUUGUUCUUCUTT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 xml:space="preserve">si </w:t>
            </w:r>
            <w:bookmarkStart w:id="7" w:name="OLE_LINK2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VAV2</w:t>
            </w:r>
            <w:bookmarkEnd w:id="7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-1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GGUACUUGUUCCUGUUUGACATT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UGUCAAACAGGAACAAGUACCTT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si VAV2-2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AGGUCUUCCUCGAUUUCAAGGTT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CCUUGAAAUCGAGGAAGACCUTT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bookmarkStart w:id="8" w:name="OLE_LINK3" w:colFirst="1" w:colLast="1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si VAV2-3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CAGAGGAGACCACAGAGAAUGTT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CAUUCUCUGUGGUCUCCUCUGTT</w:t>
            </w:r>
          </w:p>
        </w:tc>
      </w:tr>
      <w:bookmarkEnd w:id="8"/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Negative control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UUCUCCGAACGUGUCACGUTT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490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73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</w:p>
        </w:tc>
        <w:tc>
          <w:tcPr>
            <w:tcW w:w="4407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ACGUGACACGUUCGGAGAATT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widowControl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</w:rPr>
        <w:t>3</w:t>
      </w:r>
      <w:r>
        <w:rPr>
          <w:rFonts w:ascii="Times New Roman" w:hAnsi="Times New Roman" w:eastAsia="宋体" w:cs="Times New Roman"/>
          <w:sz w:val="24"/>
        </w:rPr>
        <w:t>.</w:t>
      </w:r>
      <w:bookmarkStart w:id="9" w:name="OLE_LINK9"/>
      <w:r>
        <w:rPr>
          <w:rFonts w:ascii="Times New Roman" w:hAnsi="Times New Roman" w:eastAsia="宋体" w:cs="Times New Roman"/>
          <w:sz w:val="24"/>
        </w:rPr>
        <w:t xml:space="preserve"> Free energy of binding of Ephrin B2 to VAV2</w:t>
      </w:r>
    </w:p>
    <w:bookmarkEnd w:id="9"/>
    <w:tbl>
      <w:tblPr>
        <w:tblStyle w:val="6"/>
        <w:tblpPr w:leftFromText="180" w:rightFromText="180" w:vertAnchor="text" w:horzAnchor="margin" w:tblpXSpec="center" w:tblpY="168"/>
        <w:tblW w:w="7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022"/>
        <w:gridCol w:w="1162"/>
        <w:gridCol w:w="1021"/>
        <w:gridCol w:w="1021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RESIDUE_ID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VDW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ELE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GB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lig-rec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-71.37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-170.49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228.32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-10.44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R-A-ASN-107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R-A-PRO-17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-1.67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-0.41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R-A-GLY-108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-0.62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R-A-GLU-111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-34.67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34.11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R-A-ARG-124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-47.5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48.28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-0.41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R-A-LYS-41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-2.25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-29.32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R-A-VAL-43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27.91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-26.64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R-A-SER-40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R-A-ASN-115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-0.64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-5.48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5.1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R-A-SER-109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4.35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L-B-ARG-45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-0.66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-40.19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36.24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L-B-PRO-46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-3.79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L-B-ASN-22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8.45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L-B-SER-117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3.42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L-B-PHE-19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0.06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L-B-GLY-118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-1.46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-0.17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0.99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-0.35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-0.99</w:t>
            </w:r>
          </w:p>
        </w:tc>
      </w:tr>
    </w:tbl>
    <w:p>
      <w:pPr>
        <w:widowControl/>
        <w:jc w:val="center"/>
        <w:rPr>
          <w:rFonts w:ascii="Times New Roman" w:hAnsi="Times New Roman" w:eastAsia="宋体" w:cs="Times New Roman"/>
          <w:sz w:val="16"/>
          <w:szCs w:val="16"/>
        </w:rPr>
      </w:pPr>
    </w:p>
    <w:p>
      <w:pPr>
        <w:widowControl/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Note: Units are in kcal/mol, where residues with a binding energy of &lt;-1 kcal/mol are defined as binding hotspots. Lig </w:t>
      </w:r>
      <w:r>
        <w:rPr>
          <w:rFonts w:hint="eastAsia" w:ascii="Times New Roman" w:hAnsi="Times New Roman" w:eastAsia="宋体" w:cs="Times New Roman"/>
          <w:szCs w:val="21"/>
        </w:rPr>
        <w:t>i</w:t>
      </w:r>
      <w:r>
        <w:rPr>
          <w:rFonts w:ascii="Times New Roman" w:hAnsi="Times New Roman" w:eastAsia="宋体" w:cs="Times New Roman"/>
          <w:szCs w:val="21"/>
        </w:rPr>
        <w:t>s ligand</w:t>
      </w:r>
      <w:r>
        <w:rPr>
          <w:rFonts w:hint="eastAsia" w:ascii="Times New Roman" w:hAnsi="Times New Roman" w:eastAsia="宋体" w:cs="Times New Roman"/>
          <w:szCs w:val="21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rec is receptor</w:t>
      </w:r>
      <w:r>
        <w:rPr>
          <w:rFonts w:hint="eastAsia" w:ascii="Times New Roman" w:hAnsi="Times New Roman" w:eastAsia="宋体" w:cs="Times New Roman"/>
          <w:szCs w:val="21"/>
        </w:rPr>
        <w:t xml:space="preserve">. </w:t>
      </w:r>
      <w:r>
        <w:rPr>
          <w:rFonts w:ascii="Times New Roman" w:hAnsi="Times New Roman" w:eastAsia="宋体" w:cs="Times New Roman"/>
          <w:szCs w:val="21"/>
        </w:rPr>
        <w:t>∆Eelectrostatic (electrostatic), and ∆Evdw (van der Waals) energies. ∆Gsolv is the sum of electrostatic solvation energy (polar contribution), ∆GPB/GB, and the nonelectrostatic solvation component (nonpolar contribution), ∆GSA.</w:t>
      </w:r>
    </w:p>
    <w:p>
      <w:pPr>
        <w:widowControl/>
        <w:jc w:val="center"/>
        <w:rPr>
          <w:rFonts w:ascii="Times New Roman" w:hAnsi="Times New Roman" w:eastAsia="宋体" w:cs="Times New Roman"/>
          <w:sz w:val="16"/>
          <w:szCs w:val="16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YTlkYjk3YjEzZmIzY2UwNjBhY2M0M2JiNTkyNjAifQ=="/>
  </w:docVars>
  <w:rsids>
    <w:rsidRoot w:val="0D770E29"/>
    <w:rsid w:val="003A52F3"/>
    <w:rsid w:val="00810390"/>
    <w:rsid w:val="009C6ED9"/>
    <w:rsid w:val="009D625D"/>
    <w:rsid w:val="00AB7C41"/>
    <w:rsid w:val="00B24BB6"/>
    <w:rsid w:val="01543C35"/>
    <w:rsid w:val="04A812AF"/>
    <w:rsid w:val="05BA1FB0"/>
    <w:rsid w:val="07524795"/>
    <w:rsid w:val="07CC09EB"/>
    <w:rsid w:val="09016E4E"/>
    <w:rsid w:val="09360B57"/>
    <w:rsid w:val="09B23AB9"/>
    <w:rsid w:val="0C4D19CF"/>
    <w:rsid w:val="0CCB0574"/>
    <w:rsid w:val="0D770E29"/>
    <w:rsid w:val="0DE545B5"/>
    <w:rsid w:val="0DF90060"/>
    <w:rsid w:val="0EED507D"/>
    <w:rsid w:val="0F4C41C0"/>
    <w:rsid w:val="1025513D"/>
    <w:rsid w:val="118C679D"/>
    <w:rsid w:val="12103BCB"/>
    <w:rsid w:val="15001C97"/>
    <w:rsid w:val="16F75552"/>
    <w:rsid w:val="1A0C111B"/>
    <w:rsid w:val="1AFE2903"/>
    <w:rsid w:val="22C407E5"/>
    <w:rsid w:val="246C4A50"/>
    <w:rsid w:val="25BF7042"/>
    <w:rsid w:val="276E0D20"/>
    <w:rsid w:val="293168CB"/>
    <w:rsid w:val="2A375D41"/>
    <w:rsid w:val="2D2A6B27"/>
    <w:rsid w:val="2E354C29"/>
    <w:rsid w:val="309D4529"/>
    <w:rsid w:val="30FD19EB"/>
    <w:rsid w:val="328C532D"/>
    <w:rsid w:val="33C817B8"/>
    <w:rsid w:val="33EA74EE"/>
    <w:rsid w:val="34B65AB4"/>
    <w:rsid w:val="355C2AFF"/>
    <w:rsid w:val="35BA3E6A"/>
    <w:rsid w:val="374416F1"/>
    <w:rsid w:val="396A50BF"/>
    <w:rsid w:val="3A1E1441"/>
    <w:rsid w:val="3AA72680"/>
    <w:rsid w:val="3AFB55D6"/>
    <w:rsid w:val="3D0D6D25"/>
    <w:rsid w:val="3DD35929"/>
    <w:rsid w:val="4012098A"/>
    <w:rsid w:val="425B21D5"/>
    <w:rsid w:val="42ED4847"/>
    <w:rsid w:val="4B2A1627"/>
    <w:rsid w:val="4ED27537"/>
    <w:rsid w:val="585F62DF"/>
    <w:rsid w:val="586236D9"/>
    <w:rsid w:val="58C93758"/>
    <w:rsid w:val="59232E69"/>
    <w:rsid w:val="59376914"/>
    <w:rsid w:val="5A4679E7"/>
    <w:rsid w:val="5A751DEA"/>
    <w:rsid w:val="5C7562EE"/>
    <w:rsid w:val="5D3E2967"/>
    <w:rsid w:val="5DA864D1"/>
    <w:rsid w:val="5FE5356E"/>
    <w:rsid w:val="604C539B"/>
    <w:rsid w:val="61CD7267"/>
    <w:rsid w:val="648D5C88"/>
    <w:rsid w:val="65EB4F6C"/>
    <w:rsid w:val="66142D1F"/>
    <w:rsid w:val="67B253C7"/>
    <w:rsid w:val="68B910F3"/>
    <w:rsid w:val="6AD246EE"/>
    <w:rsid w:val="6B4D0219"/>
    <w:rsid w:val="6D1C7EA3"/>
    <w:rsid w:val="6E6E0BD2"/>
    <w:rsid w:val="70A628A5"/>
    <w:rsid w:val="7137174F"/>
    <w:rsid w:val="734E4B2E"/>
    <w:rsid w:val="74C4779E"/>
    <w:rsid w:val="773C52AC"/>
    <w:rsid w:val="78113FBA"/>
    <w:rsid w:val="7AE54191"/>
    <w:rsid w:val="7B1E699E"/>
    <w:rsid w:val="7B6770D5"/>
    <w:rsid w:val="7B706B4C"/>
    <w:rsid w:val="7D9D0B8C"/>
    <w:rsid w:val="7EB05338"/>
    <w:rsid w:val="7F8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6" w:lineRule="auto"/>
      <w:ind w:firstLine="360" w:firstLineChars="150"/>
      <w:outlineLvl w:val="0"/>
    </w:pPr>
    <w:rPr>
      <w:rFonts w:ascii="Times New Roman" w:hAnsi="Times New Roman" w:eastAsia="等线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标题 1 字符"/>
    <w:basedOn w:val="7"/>
    <w:link w:val="2"/>
    <w:autoRedefine/>
    <w:qFormat/>
    <w:uiPriority w:val="0"/>
    <w:rPr>
      <w:rFonts w:hint="eastAsia" w:ascii="等线" w:hAnsi="等线" w:eastAsia="等线" w:cs="等线"/>
      <w:b/>
      <w:bCs/>
      <w:kern w:val="44"/>
      <w:sz w:val="44"/>
      <w:szCs w:val="44"/>
    </w:rPr>
  </w:style>
  <w:style w:type="table" w:customStyle="1" w:styleId="10">
    <w:name w:val="无格式表格 21"/>
    <w:basedOn w:val="6"/>
    <w:autoRedefine/>
    <w:qFormat/>
    <w:uiPriority w:val="42"/>
    <w:pPr>
      <w:jc w:val="both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11">
    <w:name w:val="页眉 字符"/>
    <w:basedOn w:val="7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693</Words>
  <Characters>3952</Characters>
  <Lines>32</Lines>
  <Paragraphs>9</Paragraphs>
  <TotalTime>131</TotalTime>
  <ScaleCrop>false</ScaleCrop>
  <LinksUpToDate>false</LinksUpToDate>
  <CharactersWithSpaces>4636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2024-03-13T03:01:00Z</dcterms:created>
  <dc:creator>Nefelibata</dc:creator>
  <cp:lastModifiedBy>Lyx</cp:lastModifiedBy>
  <dcterms:modified xsi:type="dcterms:W3CDTF">2024-05-29T15:39:51Z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DF672197A034427D9AD0548E5F3005C6_13</vt:lpwstr>
  </property>
</Properties>
</file>