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D822C">
      <w:pPr>
        <w:pStyle w:val="7"/>
        <w:spacing w:line="360" w:lineRule="auto"/>
        <w:jc w:val="center"/>
        <w:rPr>
          <w:bCs/>
          <w:sz w:val="36"/>
          <w:szCs w:val="36"/>
        </w:rPr>
      </w:pPr>
      <w:bookmarkStart w:id="4" w:name="_GoBack"/>
      <w:bookmarkEnd w:id="4"/>
      <w:bookmarkStart w:id="0" w:name="_Hlk162269316"/>
      <w:bookmarkEnd w:id="0"/>
      <w:r>
        <w:rPr>
          <w:bCs/>
          <w:sz w:val="36"/>
          <w:szCs w:val="36"/>
        </w:rPr>
        <w:t>Supporting Information</w:t>
      </w:r>
    </w:p>
    <w:p w14:paraId="5287C958">
      <w:pPr>
        <w:spacing w:line="360" w:lineRule="auto"/>
        <w:rPr>
          <w:rFonts w:ascii="Times New Roman" w:hAnsi="Times New Roman" w:eastAsia="MS Mincho" w:cs="Times New Roman"/>
          <w:b/>
          <w:sz w:val="28"/>
          <w:szCs w:val="28"/>
          <w:lang w:eastAsia="ja-JP"/>
        </w:rPr>
      </w:pPr>
    </w:p>
    <w:p w14:paraId="3E441C5F">
      <w:pPr>
        <w:spacing w:line="360" w:lineRule="auto"/>
        <w:rPr>
          <w:rFonts w:ascii="Times New Roman" w:hAnsi="Times New Roman" w:eastAsia="MS Mincho" w:cs="Times New Roman"/>
          <w:sz w:val="28"/>
          <w:szCs w:val="28"/>
          <w:lang w:eastAsia="ja-JP"/>
        </w:rPr>
      </w:pPr>
      <w:r>
        <w:rPr>
          <w:rFonts w:hint="eastAsia" w:ascii="Times New Roman" w:hAnsi="Times New Roman" w:eastAsia="MS Mincho" w:cs="Times New Roman"/>
          <w:b/>
          <w:sz w:val="28"/>
          <w:szCs w:val="28"/>
          <w:lang w:eastAsia="ja-JP"/>
        </w:rPr>
        <w:t>Injectable hybrid hydrogels enable enhanced combination chemotherapy and roused anti-tumor immunity in the synergistic treatment of pancreatic ductal adenocarcinoma</w:t>
      </w:r>
      <w:r>
        <w:rPr>
          <w:rFonts w:hint="eastAsia" w:ascii="Times New Roman" w:hAnsi="Times New Roman" w:eastAsia="等线" w:cs="Times New Roman"/>
          <w:b/>
          <w:sz w:val="28"/>
          <w:szCs w:val="28"/>
        </w:rPr>
        <w:t xml:space="preserve"> </w:t>
      </w:r>
    </w:p>
    <w:p w14:paraId="56013576">
      <w:pPr>
        <w:widowControl/>
        <w:spacing w:line="360" w:lineRule="auto"/>
        <w:jc w:val="left"/>
        <w:rPr>
          <w:rFonts w:ascii="Times New Roman" w:hAnsi="Times New Roman" w:eastAsia="等线" w:cs="Times New Roman"/>
          <w:kern w:val="0"/>
          <w:sz w:val="24"/>
          <w:szCs w:val="24"/>
          <w14:ligatures w14:val="none"/>
        </w:rPr>
      </w:pPr>
    </w:p>
    <w:p w14:paraId="076CDE9D">
      <w:pPr>
        <w:widowControl/>
        <w:spacing w:line="360" w:lineRule="auto"/>
        <w:jc w:val="left"/>
        <w:rPr>
          <w:rFonts w:ascii="Times New Roman" w:hAnsi="Times New Roman" w:eastAsia="宋体" w:cs="Times New Roman"/>
          <w:bCs/>
          <w:i/>
          <w:iCs/>
          <w:kern w:val="0"/>
          <w:sz w:val="24"/>
          <w:szCs w:val="24"/>
          <w:vertAlign w:val="superscript"/>
          <w:lang w:eastAsia="ja-JP"/>
          <w14:ligatures w14:val="none"/>
        </w:rPr>
      </w:pPr>
      <w:r>
        <w:rPr>
          <w:rFonts w:ascii="Times New Roman" w:hAnsi="Times New Roman" w:eastAsia="宋体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Hao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 xml:space="preserve"> </w:t>
      </w:r>
      <w:r>
        <w:rPr>
          <w:rFonts w:ascii="Times New Roman" w:hAnsi="Times New Roman" w:eastAsia="宋体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Zhou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>,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 xml:space="preserve"> Wei Wang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>,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 xml:space="preserve"> </w:t>
      </w:r>
      <w:r>
        <w:rPr>
          <w:rFonts w:hint="eastAsia"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Zedong Cai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hint="eastAsia"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,</w:t>
      </w:r>
      <w:r>
        <w:rPr>
          <w:rFonts w:hint="eastAsia" w:ascii="Times New Roman" w:hAnsi="Times New Roman" w:eastAsia="宋体" w:cs="Times New Roman"/>
          <w:bCs/>
          <w:i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>Zhou-Yan Jia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 xml:space="preserve">, </w:t>
      </w:r>
      <w:r>
        <w:rPr>
          <w:rFonts w:hint="eastAsia"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Yu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>-Ya</w:t>
      </w:r>
      <w:r>
        <w:rPr>
          <w:rFonts w:hint="eastAsia"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o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 xml:space="preserve"> </w:t>
      </w:r>
      <w:r>
        <w:rPr>
          <w:rFonts w:hint="eastAsia"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Li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,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 xml:space="preserve"> </w:t>
      </w:r>
      <w:r>
        <w:rPr>
          <w:rFonts w:ascii="Times New Roman" w:hAnsi="Times New Roman" w:eastAsia="MS Mincho" w:cs="Times New Roman"/>
          <w:i/>
          <w:iCs/>
          <w:kern w:val="0"/>
          <w:sz w:val="24"/>
          <w:szCs w:val="24"/>
          <w:lang w:eastAsia="ja-JP"/>
          <w14:ligatures w14:val="none"/>
        </w:rPr>
        <w:t>Wei He</w:t>
      </w:r>
      <w:r>
        <w:rPr>
          <w:rFonts w:ascii="Times New Roman" w:hAnsi="Times New Roman" w:eastAsia="MS Mincho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b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, c,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*</w:t>
      </w:r>
      <w:r>
        <w:rPr>
          <w:rFonts w:ascii="Times New Roman" w:hAnsi="Times New Roman" w:eastAsia="MS Mincho" w:cs="Times New Roman"/>
          <w:i/>
          <w:iCs/>
          <w:kern w:val="0"/>
          <w:sz w:val="24"/>
          <w:szCs w:val="24"/>
          <w:lang w:eastAsia="ja-JP"/>
          <w14:ligatures w14:val="none"/>
        </w:rPr>
        <w:t>,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ja-JP"/>
          <w14:ligatures w14:val="none"/>
        </w:rPr>
        <w:t xml:space="preserve"> 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Chen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val="en-GB" w:eastAsia="ja-JP"/>
          <w14:ligatures w14:val="none"/>
        </w:rPr>
        <w:t xml:space="preserve"> 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>Li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b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lang w:eastAsia="ja-JP"/>
          <w14:ligatures w14:val="none"/>
        </w:rPr>
        <w:t xml:space="preserve"> and Bang-Le Zhang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 xml:space="preserve">a, b, </w:t>
      </w:r>
      <w:r>
        <w:rPr>
          <w:rFonts w:ascii="Times New Roman" w:hAnsi="Times New Roman" w:eastAsia="MS Mincho" w:cs="Times New Roman"/>
          <w:bCs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>*</w:t>
      </w:r>
      <w:r>
        <w:rPr>
          <w:rFonts w:ascii="Times New Roman" w:hAnsi="Times New Roman" w:eastAsia="宋体" w:cs="Times New Roman"/>
          <w:bCs/>
          <w:i/>
          <w:iCs/>
          <w:kern w:val="0"/>
          <w:sz w:val="24"/>
          <w:szCs w:val="24"/>
          <w:vertAlign w:val="superscript"/>
          <w:lang w:eastAsia="ja-JP"/>
          <w14:ligatures w14:val="none"/>
        </w:rPr>
        <w:t xml:space="preserve"> </w:t>
      </w:r>
    </w:p>
    <w:p w14:paraId="76A4F257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eastAsia="ja-JP"/>
          <w14:ligatures w14:val="none"/>
        </w:rPr>
        <w:t>a</w:t>
      </w:r>
      <w:r>
        <w:rPr>
          <w:rFonts w:ascii="Times New Roman" w:hAnsi="Times New Roman" w:eastAsia="MS Mincho" w:cs="Times New Roman"/>
          <w:kern w:val="0"/>
          <w:sz w:val="24"/>
          <w:szCs w:val="24"/>
          <w:lang w:eastAsia="ja-JP"/>
          <w14:ligatures w14:val="none"/>
        </w:rPr>
        <w:t xml:space="preserve"> Department of Pharmaceutics, School of Pharmacy, Fourth Military Medical University, Xi’an, 710032, China; 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eastAsia="ja-JP"/>
          <w14:ligatures w14:val="none"/>
        </w:rPr>
        <w:t xml:space="preserve">b </w:t>
      </w:r>
      <w:r>
        <w:rPr>
          <w:rFonts w:ascii="Times New Roman" w:hAnsi="Times New Roman" w:eastAsia="MS Mincho" w:cs="Times New Roman"/>
          <w:kern w:val="0"/>
          <w:sz w:val="24"/>
          <w:szCs w:val="24"/>
          <w:lang w:eastAsia="ja-JP"/>
          <w14:ligatures w14:val="none"/>
        </w:rPr>
        <w:t>Key Laboratory of Pharmacology of the State Administration of Traditional Chinese Medicine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 xml:space="preserve">, </w:t>
      </w:r>
      <w:bookmarkStart w:id="1" w:name="OLE_LINK21"/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>Fourth Military Medical University</w:t>
      </w:r>
      <w:bookmarkEnd w:id="1"/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 xml:space="preserve">, </w:t>
      </w:r>
      <w:r>
        <w:rPr>
          <w:rFonts w:ascii="Times New Roman" w:hAnsi="Times New Roman" w:eastAsia="MS Mincho" w:cs="Times New Roman"/>
          <w:kern w:val="0"/>
          <w:sz w:val="24"/>
          <w:szCs w:val="24"/>
          <w:lang w:eastAsia="ja-JP"/>
          <w14:ligatures w14:val="none"/>
        </w:rPr>
        <w:t>Xi’an, 710032, China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 xml:space="preserve">; 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eastAsia="ja-JP"/>
          <w14:ligatures w14:val="none"/>
        </w:rPr>
        <w:t>c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 xml:space="preserve"> Department of Chemistry, School of Pharmacy, Fourth Military Medical University, </w:t>
      </w:r>
      <w:r>
        <w:rPr>
          <w:rFonts w:ascii="Times New Roman" w:hAnsi="Times New Roman" w:eastAsia="MS Mincho" w:cs="Times New Roman"/>
          <w:kern w:val="0"/>
          <w:sz w:val="24"/>
          <w:szCs w:val="24"/>
          <w:lang w:eastAsia="ja-JP"/>
          <w14:ligatures w14:val="none"/>
        </w:rPr>
        <w:t>Xi’an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ja-JP"/>
          <w14:ligatures w14:val="none"/>
        </w:rPr>
        <w:t>, 710032, Chin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14:ligatures w14:val="none"/>
        </w:rPr>
        <w:t>a</w:t>
      </w:r>
    </w:p>
    <w:p w14:paraId="30F1F47C">
      <w:pPr>
        <w:spacing w:line="360" w:lineRule="auto"/>
        <w:rPr>
          <w:rFonts w:ascii="Times New Roman" w:hAnsi="Times New Roman" w:eastAsia="等线" w:cs="Times New Roman"/>
          <w:sz w:val="24"/>
          <w:szCs w:val="24"/>
          <w14:ligatures w14:val="none"/>
        </w:rPr>
      </w:pPr>
      <w:r>
        <w:rPr>
          <w:rFonts w:hint="eastAsia" w:ascii="Times New Roman" w:hAnsi="Times New Roman" w:eastAsia="等线" w:cs="Times New Roman"/>
          <w:sz w:val="24"/>
          <w:szCs w:val="24"/>
          <w14:ligatures w14:val="none"/>
        </w:rPr>
        <w:t>*Corresponding authors: blezhang@fmmu.edu.cn (BL Zhang); weihechem@fmmu.edu.cn (W He).</w:t>
      </w:r>
    </w:p>
    <w:p w14:paraId="4D3CFCB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7B7866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6AC887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3FC36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DB109C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BD1C8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A16029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96D3FD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F3688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A31941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B0B3C4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705350" cy="1162050"/>
            <wp:effectExtent l="0" t="0" r="1270" b="3810"/>
            <wp:docPr id="1233236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3699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8444" t="11090" r="8321" b="18982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162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53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>
        <w:rPr>
          <w:rFonts w:ascii="Times New Roman" w:hAnsi="Times New Roman" w:cs="Times New Roman"/>
          <w:sz w:val="24"/>
          <w:szCs w:val="24"/>
        </w:rPr>
        <w:t xml:space="preserve"> Fluorescence IVIS imaging depicting the in vivo degradation of Cy5.5@CS/β-GP</w:t>
      </w:r>
    </w:p>
    <w:p w14:paraId="758265F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582795" cy="1307465"/>
            <wp:effectExtent l="0" t="0" r="5080" b="9525"/>
            <wp:docPr id="9041636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6360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t="12311" b="18354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1307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939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Fluorescence IVIS imaging of </w:t>
      </w:r>
      <w:bookmarkStart w:id="2" w:name="_Hlk160868086"/>
      <w:r>
        <w:rPr>
          <w:rFonts w:ascii="Times New Roman" w:hAnsi="Times New Roman" w:cs="Times New Roman"/>
          <w:sz w:val="24"/>
          <w:szCs w:val="24"/>
        </w:rPr>
        <w:t>Cy5.5@CS/MC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hydrogel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vivo and the change of hydrogel volume in vivo (n = 3)</w:t>
      </w:r>
    </w:p>
    <w:p w14:paraId="6D1F063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359275" cy="1395095"/>
            <wp:effectExtent l="0" t="0" r="1905" b="8255"/>
            <wp:docPr id="9016312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3126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t="1480" r="11640" b="77606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13950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E427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OLE_LINK9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cumulative </w:t>
      </w:r>
      <w:r>
        <w:rPr>
          <w:rFonts w:hint="eastAsia" w:ascii="Times New Roman" w:hAnsi="Times New Roman" w:cs="Times New Roman"/>
          <w:sz w:val="24"/>
          <w:szCs w:val="24"/>
        </w:rPr>
        <w:t xml:space="preserve">release </w:t>
      </w:r>
      <w:r>
        <w:rPr>
          <w:rFonts w:ascii="Times New Roman" w:hAnsi="Times New Roman" w:cs="Times New Roman"/>
          <w:sz w:val="24"/>
          <w:szCs w:val="24"/>
        </w:rPr>
        <w:t>profiles of the Cy3-M@CS/MC hydrogel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vivo (n = 3)</w:t>
      </w:r>
    </w:p>
    <w:p w14:paraId="218800E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037965" cy="1425575"/>
            <wp:effectExtent l="0" t="0" r="10160" b="10160"/>
            <wp:docPr id="21117728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7285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88B6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degradation of M@CS/MC hydrogel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vivo</w:t>
      </w:r>
      <w:r>
        <w:rPr>
          <w:rFonts w:hint="eastAsia" w:ascii="Times New Roman" w:hAnsi="Times New Roman" w:cs="Times New Roman"/>
          <w:sz w:val="24"/>
          <w:szCs w:val="24"/>
        </w:rPr>
        <w:t xml:space="preserve"> by testing </w:t>
      </w:r>
      <w:r>
        <w:rPr>
          <w:rFonts w:ascii="Times New Roman" w:hAnsi="Times New Roman" w:cs="Times New Roman"/>
          <w:sz w:val="24"/>
          <w:szCs w:val="24"/>
        </w:rPr>
        <w:t xml:space="preserve">the change of </w:t>
      </w:r>
      <w:r>
        <w:rPr>
          <w:rFonts w:hint="eastAsia"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volume and weight (n = 3)</w:t>
      </w:r>
    </w:p>
    <w:p w14:paraId="6C29635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drawing>
          <wp:inline distT="0" distB="0" distL="0" distR="0">
            <wp:extent cx="3956050" cy="1471930"/>
            <wp:effectExtent l="0" t="0" r="0" b="0"/>
            <wp:docPr id="14353252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2524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rcRect r="15468" b="76752"/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1471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592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H&amp;E staining analysis of major organs from the C57BL/6 mice </w:t>
      </w:r>
      <w:r>
        <w:rPr>
          <w:rFonts w:hint="eastAsia"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 xml:space="preserve">treated </w:t>
      </w:r>
      <w:r>
        <w:rPr>
          <w:rFonts w:hint="eastAsia"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M@CS/MC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Scale bar: 50 μm.</w:t>
      </w:r>
    </w:p>
    <w:p w14:paraId="3E4F9C5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059555" cy="2148840"/>
            <wp:effectExtent l="0" t="0" r="4445" b="10160"/>
            <wp:docPr id="20040224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2246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955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C826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Tumor bioluminescence images and bioluminescence intensity </w:t>
      </w:r>
      <w:r>
        <w:rPr>
          <w:rFonts w:hint="eastAsia" w:ascii="Times New Roman" w:hAnsi="Times New Roman" w:cs="Times New Roman"/>
          <w:sz w:val="24"/>
          <w:szCs w:val="24"/>
        </w:rPr>
        <w:t>after different treatments</w:t>
      </w:r>
      <w:r>
        <w:rPr>
          <w:rFonts w:ascii="Times New Roman" w:hAnsi="Times New Roman" w:cs="Times New Roman"/>
          <w:sz w:val="24"/>
          <w:szCs w:val="24"/>
        </w:rPr>
        <w:t xml:space="preserve"> (n = 5, Mean ± SD, 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0.01)</w:t>
      </w:r>
    </w:p>
    <w:p w14:paraId="39928A7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4310" cy="1613535"/>
            <wp:effectExtent l="0" t="0" r="2540" b="5715"/>
            <wp:docPr id="6567502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5026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FA0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Body weight change curve after</w:t>
      </w:r>
      <w:r>
        <w:rPr>
          <w:rFonts w:hint="eastAsia" w:ascii="Times New Roman" w:hAnsi="Times New Roman" w:cs="Times New Roman"/>
          <w:sz w:val="24"/>
          <w:szCs w:val="24"/>
        </w:rPr>
        <w:t xml:space="preserve"> different treatments</w:t>
      </w:r>
      <w:r>
        <w:rPr>
          <w:rFonts w:ascii="Times New Roman" w:hAnsi="Times New Roman" w:cs="Times New Roman"/>
          <w:sz w:val="24"/>
          <w:szCs w:val="24"/>
        </w:rPr>
        <w:t xml:space="preserve"> (n = 5)</w:t>
      </w:r>
    </w:p>
    <w:p w14:paraId="099F10B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drawing>
          <wp:inline distT="0" distB="0" distL="0" distR="0">
            <wp:extent cx="4499610" cy="1967230"/>
            <wp:effectExtent l="0" t="0" r="0" b="0"/>
            <wp:docPr id="6254820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82020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rcRect l="8244" t="13733" r="6927" b="12084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9676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3AB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H&amp;E staining analysis of </w:t>
      </w:r>
      <w:r>
        <w:rPr>
          <w:rFonts w:hint="eastAsia"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major organs </w:t>
      </w:r>
      <w:r>
        <w:rPr>
          <w:rFonts w:hint="eastAsia" w:ascii="Times New Roman" w:hAnsi="Times New Roman" w:cs="Times New Roman"/>
          <w:sz w:val="24"/>
          <w:szCs w:val="24"/>
        </w:rPr>
        <w:t>after different treatments</w:t>
      </w:r>
      <w:r>
        <w:rPr>
          <w:rFonts w:ascii="Times New Roman" w:hAnsi="Times New Roman" w:cs="Times New Roman"/>
          <w:sz w:val="24"/>
          <w:szCs w:val="24"/>
        </w:rPr>
        <w:t>. Scale bar: 50 μm.</w:t>
      </w:r>
    </w:p>
    <w:p w14:paraId="3EE8F48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038600" cy="2849880"/>
            <wp:effectExtent l="0" t="0" r="0" b="7620"/>
            <wp:docPr id="5825585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58509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93F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serum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concentrations </w:t>
      </w:r>
      <w:r>
        <w:rPr>
          <w:rFonts w:hint="eastAsia"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ALT, AST, BUN and CREA </w:t>
      </w:r>
      <w:r>
        <w:rPr>
          <w:rFonts w:hint="eastAsia" w:ascii="Times New Roman" w:hAnsi="Times New Roman" w:cs="Times New Roman"/>
          <w:sz w:val="24"/>
          <w:szCs w:val="24"/>
        </w:rPr>
        <w:t>after different treatments</w:t>
      </w:r>
      <w:r>
        <w:rPr>
          <w:rFonts w:ascii="Times New Roman" w:hAnsi="Times New Roman" w:cs="Times New Roman"/>
          <w:sz w:val="24"/>
          <w:szCs w:val="24"/>
        </w:rPr>
        <w:t xml:space="preserve"> in the xenograft </w:t>
      </w:r>
      <w:r>
        <w:rPr>
          <w:rFonts w:hint="eastAsia" w:ascii="Times New Roman" w:hAnsi="Times New Roman" w:cs="Times New Roman"/>
          <w:sz w:val="24"/>
          <w:szCs w:val="24"/>
        </w:rPr>
        <w:t>mice</w:t>
      </w:r>
      <w:r>
        <w:rPr>
          <w:rFonts w:ascii="Times New Roman" w:hAnsi="Times New Roman" w:cs="Times New Roman"/>
          <w:sz w:val="24"/>
          <w:szCs w:val="24"/>
        </w:rPr>
        <w:t xml:space="preserve"> (n = 5, Mean ± SD).</w:t>
      </w:r>
    </w:p>
    <w:p w14:paraId="3A0E78E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3756025" cy="3025140"/>
            <wp:effectExtent l="0" t="0" r="3175" b="10160"/>
            <wp:docPr id="18475558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5588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rcRect t="4032" b="4682"/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3025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0B71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Representative immunofluorescence staining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images of FAK and p-FAK in tumor </w:t>
      </w:r>
      <w:r>
        <w:rPr>
          <w:rFonts w:hint="eastAsia" w:ascii="Times New Roman" w:hAnsi="Times New Roman" w:cs="Times New Roman"/>
          <w:sz w:val="24"/>
          <w:szCs w:val="24"/>
        </w:rPr>
        <w:t>tissue</w:t>
      </w:r>
      <w:r>
        <w:rPr>
          <w:rFonts w:ascii="Times New Roman" w:hAnsi="Times New Roman" w:cs="Times New Roman"/>
          <w:sz w:val="24"/>
          <w:szCs w:val="24"/>
        </w:rPr>
        <w:t xml:space="preserve"> after different treatments. Scale bar: 50 μm.</w:t>
      </w:r>
    </w:p>
    <w:p w14:paraId="45BDD024">
      <w:pPr>
        <w:autoSpaceDE w:val="0"/>
        <w:autoSpaceDN w:val="0"/>
        <w:adjustRightInd w:val="0"/>
        <w:spacing w:line="360" w:lineRule="auto"/>
        <w:ind w:firstLine="1440" w:firstLineChars="6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1367790" cy="1450975"/>
            <wp:effectExtent l="0" t="0" r="0" b="0"/>
            <wp:docPr id="208844519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45196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4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1331595" cy="1428750"/>
            <wp:effectExtent l="0" t="0" r="0" b="0"/>
            <wp:docPr id="14321635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63541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42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D18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CRT and HMGB1</w:t>
      </w:r>
      <w:r>
        <w:rPr>
          <w:rFonts w:ascii="Times New Roman" w:hAnsi="Times New Roman" w:cs="Times New Roman"/>
          <w:sz w:val="24"/>
          <w:szCs w:val="24"/>
        </w:rPr>
        <w:t xml:space="preserve"> in tumor </w:t>
      </w:r>
      <w:r>
        <w:rPr>
          <w:rFonts w:hint="eastAsia" w:ascii="Times New Roman" w:hAnsi="Times New Roman" w:cs="Times New Roman"/>
          <w:sz w:val="24"/>
          <w:szCs w:val="24"/>
        </w:rPr>
        <w:t>tissue</w:t>
      </w:r>
      <w:r>
        <w:rPr>
          <w:rFonts w:ascii="Times New Roman" w:hAnsi="Times New Roman" w:cs="Times New Roman"/>
          <w:sz w:val="24"/>
          <w:szCs w:val="24"/>
        </w:rPr>
        <w:t xml:space="preserve"> after different treatments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analyzed by ImageJ (n = 3, 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 0.05)</w:t>
      </w:r>
    </w:p>
    <w:p w14:paraId="3B017A8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1441450" cy="1575435"/>
            <wp:effectExtent l="0" t="0" r="0" b="0"/>
            <wp:docPr id="128711127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11270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5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1441450" cy="1572260"/>
            <wp:effectExtent l="0" t="0" r="0" b="8890"/>
            <wp:docPr id="9763541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54136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1441450" cy="1532890"/>
            <wp:effectExtent l="0" t="0" r="0" b="0"/>
            <wp:docPr id="19436404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40422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53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5FC8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proportion of M2 macrophages was analyzed by ImageJ (n = 3, 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0.05,</w:t>
      </w:r>
      <w:r>
        <w:rPr>
          <w:rFonts w:hint="eastAsia"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hint="eastAsia"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ns, not significant)</w:t>
      </w:r>
    </w:p>
    <w:p w14:paraId="4076D54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3040" cy="1495425"/>
            <wp:effectExtent l="0" t="0" r="3810" b="9525"/>
            <wp:docPr id="18950585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5853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rcRect t="8291" b="113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2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13B7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flowcharts of CD3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and FCM analysis of CD3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in the tumor tissue (n = 3, 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 0.05,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 0.01)</w:t>
      </w:r>
    </w:p>
    <w:p w14:paraId="40B33E4A">
      <w:pPr>
        <w:autoSpaceDE w:val="0"/>
        <w:autoSpaceDN w:val="0"/>
        <w:adjustRightInd w:val="0"/>
        <w:spacing w:line="360" w:lineRule="auto"/>
        <w:jc w:val="center"/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3876040" cy="1981835"/>
            <wp:effectExtent l="0" t="0" r="10160" b="12065"/>
            <wp:docPr id="16460662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66267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rcRect l="5958" t="23196" r="11788" b="45717"/>
                    <a:stretch>
                      <a:fillRect/>
                    </a:stretch>
                  </pic:blipFill>
                  <pic:spPr>
                    <a:xfrm>
                      <a:off x="0" y="0"/>
                      <a:ext cx="3876040" cy="1981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729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immunofluorescence staining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hint="eastAsia" w:ascii="Times New Roman" w:hAnsi="Times New Roman" w:cs="Times New Roman"/>
          <w:sz w:val="24"/>
          <w:szCs w:val="24"/>
        </w:rPr>
        <w:t xml:space="preserve"> of Treg (</w:t>
      </w:r>
      <w:r>
        <w:rPr>
          <w:rFonts w:ascii="Times New Roman" w:hAnsi="Times New Roman" w:cs="Times New Roman"/>
          <w:sz w:val="24"/>
          <w:szCs w:val="24"/>
        </w:rPr>
        <w:t>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Foxp3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Scale bar: </w:t>
      </w:r>
      <w:r>
        <w:rPr>
          <w:rFonts w:hint="eastAsia"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μm.</w:t>
      </w:r>
    </w:p>
    <w:p w14:paraId="635E4FFD">
      <w:pPr>
        <w:autoSpaceDE w:val="0"/>
        <w:autoSpaceDN w:val="0"/>
        <w:adjustRightInd w:val="0"/>
        <w:spacing w:line="360" w:lineRule="auto"/>
        <w:jc w:val="center"/>
      </w:pPr>
      <w:r>
        <w:rPr>
          <w14:ligatures w14:val="none"/>
        </w:rPr>
        <w:drawing>
          <wp:inline distT="0" distB="0" distL="0" distR="0">
            <wp:extent cx="4906010" cy="1905000"/>
            <wp:effectExtent l="0" t="0" r="8890" b="0"/>
            <wp:docPr id="153793478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934781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rcRect l="6983" t="13002" b="14761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190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992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H&amp;E staining of </w:t>
      </w:r>
      <w:r>
        <w:rPr>
          <w:rFonts w:hint="eastAsia"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major organs from the </w:t>
      </w:r>
      <w:r>
        <w:rPr>
          <w:rFonts w:hint="eastAsia" w:ascii="Times New Roman" w:hAnsi="Times New Roman" w:cs="Times New Roman"/>
          <w:sz w:val="24"/>
          <w:szCs w:val="24"/>
        </w:rPr>
        <w:t>Kras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G12D</w:t>
      </w:r>
      <w:r>
        <w:rPr>
          <w:rFonts w:hint="eastAsia" w:ascii="Times New Roman" w:hAnsi="Times New Roman" w:cs="Times New Roman"/>
          <w:sz w:val="24"/>
          <w:szCs w:val="24"/>
        </w:rPr>
        <w:t xml:space="preserve">-engineering </w:t>
      </w:r>
      <w:r>
        <w:rPr>
          <w:rFonts w:ascii="Times New Roman" w:hAnsi="Times New Roman" w:cs="Times New Roman"/>
          <w:sz w:val="24"/>
          <w:szCs w:val="24"/>
        </w:rPr>
        <w:t xml:space="preserve">mice after </w:t>
      </w:r>
      <w:r>
        <w:rPr>
          <w:rFonts w:hint="eastAsia" w:ascii="Times New Roman" w:hAnsi="Times New Roman" w:cs="Times New Roman"/>
          <w:sz w:val="24"/>
          <w:szCs w:val="24"/>
        </w:rPr>
        <w:t>different treatments</w:t>
      </w:r>
      <w:r>
        <w:rPr>
          <w:rFonts w:ascii="Times New Roman" w:hAnsi="Times New Roman" w:cs="Times New Roman"/>
          <w:sz w:val="24"/>
          <w:szCs w:val="24"/>
        </w:rPr>
        <w:t>. Scale bar: 100 μm.</w:t>
      </w:r>
    </w:p>
    <w:p w14:paraId="2112DA1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3644900" cy="2804160"/>
            <wp:effectExtent l="0" t="0" r="0" b="0"/>
            <wp:docPr id="17661809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80925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rcRect l="10667" r="6598" b="9791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804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657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serum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concentrations of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ALT, AST, BUN, and CREA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Kras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G12D</w:t>
      </w:r>
      <w:r>
        <w:rPr>
          <w:rFonts w:hint="eastAsia" w:ascii="Times New Roman" w:hAnsi="Times New Roman" w:cs="Times New Roman"/>
          <w:sz w:val="24"/>
          <w:szCs w:val="24"/>
        </w:rPr>
        <w:t xml:space="preserve">-engineering </w:t>
      </w:r>
      <w:r>
        <w:rPr>
          <w:rFonts w:ascii="Times New Roman" w:hAnsi="Times New Roman" w:cs="Times New Roman"/>
          <w:sz w:val="24"/>
          <w:szCs w:val="24"/>
        </w:rPr>
        <w:t xml:space="preserve">mice after </w:t>
      </w:r>
      <w:r>
        <w:rPr>
          <w:rFonts w:hint="eastAsia" w:ascii="Times New Roman" w:hAnsi="Times New Roman" w:cs="Times New Roman"/>
          <w:sz w:val="24"/>
          <w:szCs w:val="24"/>
        </w:rPr>
        <w:t>different treatments</w:t>
      </w:r>
      <w:r>
        <w:rPr>
          <w:rFonts w:ascii="Times New Roman" w:hAnsi="Times New Roman" w:cs="Times New Roman"/>
          <w:sz w:val="24"/>
          <w:szCs w:val="24"/>
        </w:rPr>
        <w:t xml:space="preserve"> (n = 5, Mean ± SD).</w:t>
      </w:r>
    </w:p>
    <w:p w14:paraId="39F45A6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drawing>
          <wp:inline distT="0" distB="0" distL="0" distR="0">
            <wp:extent cx="1441450" cy="1529715"/>
            <wp:effectExtent l="0" t="0" r="0" b="0"/>
            <wp:docPr id="164781937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19370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DA7E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proportion of M2 macrophages was analyzed by ImageJ (n = 3,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0.05,</w:t>
      </w:r>
      <w:r>
        <w:rPr>
          <w:rFonts w:hint="eastAsia"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</w:t>
      </w:r>
      <w:r>
        <w:rPr>
          <w:rFonts w:hint="eastAsia"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ns, not significant).</w:t>
      </w:r>
    </w:p>
    <w:p w14:paraId="4E5EBAA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14:ligatures w14:val="none"/>
        </w:rPr>
        <w:drawing>
          <wp:inline distT="0" distB="0" distL="0" distR="0">
            <wp:extent cx="1441450" cy="1688465"/>
            <wp:effectExtent l="0" t="0" r="0" b="0"/>
            <wp:docPr id="77052218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22182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91E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proportion of M2 macrophages was analyzed by ImageJ (n = 3, 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0.05,</w:t>
      </w:r>
      <w:r>
        <w:rPr>
          <w:rFonts w:hint="eastAsia"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&lt; 0.0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FE746C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3675" cy="1400810"/>
            <wp:effectExtent l="0" t="0" r="3175" b="8890"/>
            <wp:docPr id="10186835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83519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rcRect t="14028" b="107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12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238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Representative flowcharts of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 and FCM analysis of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 in the tumor tissue (n = 3, Mean ± SD, *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0.05, **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0.01).</w:t>
      </w:r>
    </w:p>
    <w:p w14:paraId="5C23D20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527550" cy="2165350"/>
            <wp:effectExtent l="0" t="0" r="6350" b="6350"/>
            <wp:docPr id="15930275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27584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rcRect t="46810" r="5851" b="19908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2165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D242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S20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immunofluorescence staining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images of</w:t>
      </w:r>
      <w:r>
        <w:rPr>
          <w:rFonts w:hint="eastAsia" w:ascii="Times New Roman" w:hAnsi="Times New Roman" w:cs="Times New Roman"/>
          <w:sz w:val="24"/>
          <w:szCs w:val="24"/>
        </w:rPr>
        <w:t xml:space="preserve"> Treg (</w:t>
      </w:r>
      <w:r>
        <w:rPr>
          <w:rFonts w:ascii="Times New Roman" w:hAnsi="Times New Roman" w:cs="Times New Roman"/>
          <w:sz w:val="24"/>
          <w:szCs w:val="24"/>
        </w:rPr>
        <w:t>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Foxp3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Scale bar: </w:t>
      </w:r>
      <w:r>
        <w:rPr>
          <w:rFonts w:hint="eastAsia"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μm.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3169"/>
        <w:gridCol w:w="2579"/>
      </w:tblGrid>
      <w:tr w14:paraId="4BE07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00" w:type="pct"/>
            <w:gridSpan w:val="3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A16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gelation time of the CS/β-GP solution at 37°C</w:t>
            </w:r>
          </w:p>
        </w:tc>
      </w:tr>
      <w:tr w14:paraId="296E6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1548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5AA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Chitosan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03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9CD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el-GR"/>
              </w:rPr>
              <w:t>β-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GP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548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95F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t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de-DE"/>
              </w:rPr>
              <w:t>gel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min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</w:tr>
      <w:tr w14:paraId="71135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B6C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A9B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548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E72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 20</w:t>
            </w:r>
          </w:p>
        </w:tc>
      </w:tr>
      <w:tr w14:paraId="65517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DA9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B59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7F4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 20</w:t>
            </w:r>
          </w:p>
        </w:tc>
      </w:tr>
      <w:tr w14:paraId="34CE0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BBC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1FC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5.0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396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 20</w:t>
            </w:r>
          </w:p>
        </w:tc>
      </w:tr>
      <w:tr w14:paraId="4CDF6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FDC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E77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334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14:paraId="255EE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8AF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7FE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5C6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14:paraId="76F11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176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DD3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DED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14:paraId="5088E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FF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03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1E9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1548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BBA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</w:tbl>
    <w:p w14:paraId="2E2A7117">
      <w:pPr>
        <w:spacing w:line="240" w:lineRule="auto"/>
        <w:rPr>
          <w:szCs w:val="21"/>
        </w:rPr>
      </w:pPr>
    </w:p>
    <w:p w14:paraId="2D415CA5"/>
    <w:p w14:paraId="3F8BDEE3"/>
    <w:p w14:paraId="73F28619"/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58"/>
        <w:gridCol w:w="3202"/>
        <w:gridCol w:w="2288"/>
      </w:tblGrid>
      <w:tr w14:paraId="7DB7F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000" w:type="pct"/>
            <w:gridSpan w:val="3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60" w:type="dxa"/>
              <w:left w:w="121" w:type="dxa"/>
              <w:bottom w:w="60" w:type="dxa"/>
              <w:right w:w="121" w:type="dxa"/>
            </w:tcMar>
            <w:vAlign w:val="center"/>
          </w:tcPr>
          <w:p w14:paraId="3A0F7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S2.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gelation time of CS/MC solution at 37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°C</w:t>
            </w:r>
          </w:p>
        </w:tc>
      </w:tr>
      <w:tr w14:paraId="6247D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789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BE05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CS/</w:t>
            </w:r>
            <w:r>
              <w:rPr>
                <w:rFonts w:ascii="Times New Roman" w:hAnsi="Times New Roman" w:cs="Times New Roman"/>
                <w:szCs w:val="21"/>
                <w:lang w:val="el-GR"/>
              </w:rPr>
              <w:t>β-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GP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87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EEB9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MC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338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60" w:type="dxa"/>
              <w:left w:w="121" w:type="dxa"/>
              <w:bottom w:w="60" w:type="dxa"/>
              <w:right w:w="121" w:type="dxa"/>
            </w:tcMar>
            <w:vAlign w:val="center"/>
          </w:tcPr>
          <w:p w14:paraId="59425F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t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de-DE"/>
              </w:rPr>
              <w:t>gel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min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</w:tr>
      <w:tr w14:paraId="42B81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789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8676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/5.6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87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7083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2.50</w:t>
            </w:r>
          </w:p>
        </w:tc>
        <w:tc>
          <w:tcPr>
            <w:tcW w:w="1338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7849E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14:paraId="56C2F1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789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33D8E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/5.6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87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15DA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3.75</w:t>
            </w:r>
          </w:p>
        </w:tc>
        <w:tc>
          <w:tcPr>
            <w:tcW w:w="133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6C81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14:paraId="2169B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789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BD05A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/5.6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873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8ED9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338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2D35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0.5</w:t>
            </w:r>
          </w:p>
        </w:tc>
      </w:tr>
    </w:tbl>
    <w:p w14:paraId="6F7BFE66">
      <w:pPr>
        <w:rPr>
          <w:b/>
          <w:bCs/>
        </w:rPr>
      </w:pPr>
    </w:p>
    <w:p w14:paraId="02DB9209">
      <w:pPr>
        <w:rPr>
          <w:b/>
          <w:bCs/>
        </w:rPr>
      </w:pPr>
    </w:p>
    <w:p w14:paraId="3C7E03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composition of </w:t>
      </w:r>
      <w:r>
        <w:rPr>
          <w:rFonts w:hint="eastAsia" w:ascii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hAnsi="Times New Roman" w:cs="Times New Roman"/>
          <w:sz w:val="24"/>
          <w:szCs w:val="24"/>
        </w:rPr>
        <w:t>formulation</w:t>
      </w:r>
    </w:p>
    <w:tbl>
      <w:tblPr>
        <w:tblStyle w:val="4"/>
        <w:tblW w:w="512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018"/>
        <w:gridCol w:w="1309"/>
        <w:gridCol w:w="1456"/>
        <w:gridCol w:w="1019"/>
        <w:gridCol w:w="25"/>
        <w:gridCol w:w="954"/>
        <w:gridCol w:w="38"/>
        <w:gridCol w:w="1163"/>
      </w:tblGrid>
      <w:tr w14:paraId="1538E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9670FA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Formulation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D0466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rastin</w:t>
            </w:r>
          </w:p>
          <w:p w14:paraId="7E296A8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E8B51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Defactinib</w:t>
            </w:r>
          </w:p>
          <w:p w14:paraId="1B7799C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544FF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mPEG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-b-PDLLA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bscript"/>
                <w14:ligatures w14:val="none"/>
              </w:rPr>
              <w:t>2000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8DD38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CS</w:t>
            </w:r>
          </w:p>
          <w:p w14:paraId="0AF8155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  <w:tc>
          <w:tcPr>
            <w:tcW w:w="5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569E4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β-GP</w:t>
            </w:r>
          </w:p>
          <w:p w14:paraId="1802686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  <w:tc>
          <w:tcPr>
            <w:tcW w:w="6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6B044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MC</w:t>
            </w:r>
          </w:p>
          <w:p w14:paraId="378F72E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>/v)</w:t>
            </w:r>
          </w:p>
        </w:tc>
      </w:tr>
      <w:tr w14:paraId="1775D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69F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E-M@CS/MC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3BCE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24F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AD3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0.625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FBE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C0B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5.60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7F2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</w:tr>
      <w:tr w14:paraId="186C5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3EE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D-M@CS/MC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C24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73D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970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0.625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FF6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8D1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5.60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D5F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</w:tr>
      <w:tr w14:paraId="63352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16085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ED-M@CS/MC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4AF85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25789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9137E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0.625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19EE4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.00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D732C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5.60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C4928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</w:tr>
    </w:tbl>
    <w:p w14:paraId="0888A8B3">
      <w:pPr>
        <w:jc w:val="center"/>
        <w:rPr>
          <w:b/>
          <w:bCs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9F3A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3F80E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3F80E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MGQyM2I4YmE2NTYzOTlkMjA4ODk5N2EyMzYwMjMifQ=="/>
    <w:docVar w:name="KSO_WPS_MARK_KEY" w:val="70a0d1d1-73b5-4892-a5a5-58cd85b123b1"/>
  </w:docVars>
  <w:rsids>
    <w:rsidRoot w:val="00143E46"/>
    <w:rsid w:val="00025C86"/>
    <w:rsid w:val="000278EF"/>
    <w:rsid w:val="00037301"/>
    <w:rsid w:val="00043AD1"/>
    <w:rsid w:val="000A0710"/>
    <w:rsid w:val="000B7AE3"/>
    <w:rsid w:val="00131810"/>
    <w:rsid w:val="00143CD0"/>
    <w:rsid w:val="00143E46"/>
    <w:rsid w:val="001507A9"/>
    <w:rsid w:val="00156514"/>
    <w:rsid w:val="00201269"/>
    <w:rsid w:val="00212CB4"/>
    <w:rsid w:val="002153E9"/>
    <w:rsid w:val="00220918"/>
    <w:rsid w:val="00224A8F"/>
    <w:rsid w:val="00243204"/>
    <w:rsid w:val="002565C1"/>
    <w:rsid w:val="002E304C"/>
    <w:rsid w:val="003012D8"/>
    <w:rsid w:val="00304D9F"/>
    <w:rsid w:val="00321CC5"/>
    <w:rsid w:val="00325D6B"/>
    <w:rsid w:val="00337715"/>
    <w:rsid w:val="00393650"/>
    <w:rsid w:val="0040297C"/>
    <w:rsid w:val="0041785E"/>
    <w:rsid w:val="004549BA"/>
    <w:rsid w:val="004623C2"/>
    <w:rsid w:val="004A3AC8"/>
    <w:rsid w:val="004B044F"/>
    <w:rsid w:val="004C6641"/>
    <w:rsid w:val="004E0B17"/>
    <w:rsid w:val="005050A9"/>
    <w:rsid w:val="0051309D"/>
    <w:rsid w:val="0051697A"/>
    <w:rsid w:val="005178E8"/>
    <w:rsid w:val="005203F2"/>
    <w:rsid w:val="005612D7"/>
    <w:rsid w:val="005623E5"/>
    <w:rsid w:val="005C125D"/>
    <w:rsid w:val="005C255E"/>
    <w:rsid w:val="005D4049"/>
    <w:rsid w:val="00601146"/>
    <w:rsid w:val="00631C6D"/>
    <w:rsid w:val="0068514B"/>
    <w:rsid w:val="006961C9"/>
    <w:rsid w:val="006A3F9A"/>
    <w:rsid w:val="00742618"/>
    <w:rsid w:val="007625B4"/>
    <w:rsid w:val="00782CDB"/>
    <w:rsid w:val="00787DC2"/>
    <w:rsid w:val="00791576"/>
    <w:rsid w:val="007D2F3D"/>
    <w:rsid w:val="008061FD"/>
    <w:rsid w:val="0083119D"/>
    <w:rsid w:val="00851E2D"/>
    <w:rsid w:val="00864D45"/>
    <w:rsid w:val="00865363"/>
    <w:rsid w:val="008A1E36"/>
    <w:rsid w:val="008C2B3A"/>
    <w:rsid w:val="009200FB"/>
    <w:rsid w:val="00974E52"/>
    <w:rsid w:val="00984054"/>
    <w:rsid w:val="00985BBA"/>
    <w:rsid w:val="009B1929"/>
    <w:rsid w:val="009F16EA"/>
    <w:rsid w:val="00A0776E"/>
    <w:rsid w:val="00A11421"/>
    <w:rsid w:val="00A53323"/>
    <w:rsid w:val="00A67E11"/>
    <w:rsid w:val="00AA6D72"/>
    <w:rsid w:val="00AB7432"/>
    <w:rsid w:val="00B12961"/>
    <w:rsid w:val="00B310A9"/>
    <w:rsid w:val="00BA13F4"/>
    <w:rsid w:val="00BB2BA4"/>
    <w:rsid w:val="00BB65F7"/>
    <w:rsid w:val="00BC417B"/>
    <w:rsid w:val="00BE353D"/>
    <w:rsid w:val="00C138F6"/>
    <w:rsid w:val="00C367C3"/>
    <w:rsid w:val="00C4132B"/>
    <w:rsid w:val="00C462F4"/>
    <w:rsid w:val="00C83845"/>
    <w:rsid w:val="00C96655"/>
    <w:rsid w:val="00C96DA3"/>
    <w:rsid w:val="00CA0294"/>
    <w:rsid w:val="00CD41E2"/>
    <w:rsid w:val="00CF2787"/>
    <w:rsid w:val="00CF5D1C"/>
    <w:rsid w:val="00D2276F"/>
    <w:rsid w:val="00D241BB"/>
    <w:rsid w:val="00D35C1E"/>
    <w:rsid w:val="00D429BD"/>
    <w:rsid w:val="00D455A2"/>
    <w:rsid w:val="00D54EFA"/>
    <w:rsid w:val="00D750AB"/>
    <w:rsid w:val="00DA45AD"/>
    <w:rsid w:val="00E05BD3"/>
    <w:rsid w:val="00E80419"/>
    <w:rsid w:val="00EA43C6"/>
    <w:rsid w:val="00EB2B54"/>
    <w:rsid w:val="00EC4CE5"/>
    <w:rsid w:val="00ED36E3"/>
    <w:rsid w:val="00EE3C0E"/>
    <w:rsid w:val="00EE68BD"/>
    <w:rsid w:val="00EF4B94"/>
    <w:rsid w:val="00F0593F"/>
    <w:rsid w:val="00F2335C"/>
    <w:rsid w:val="00F5315D"/>
    <w:rsid w:val="00F773DD"/>
    <w:rsid w:val="00F92790"/>
    <w:rsid w:val="00FA03B2"/>
    <w:rsid w:val="00FE6DE1"/>
    <w:rsid w:val="02501D6C"/>
    <w:rsid w:val="0658003C"/>
    <w:rsid w:val="06CE0FE6"/>
    <w:rsid w:val="0E350F42"/>
    <w:rsid w:val="0FC87153"/>
    <w:rsid w:val="11A87CC6"/>
    <w:rsid w:val="13434057"/>
    <w:rsid w:val="1C9C022E"/>
    <w:rsid w:val="25FB3584"/>
    <w:rsid w:val="261734F5"/>
    <w:rsid w:val="2C6C45E5"/>
    <w:rsid w:val="2D55565B"/>
    <w:rsid w:val="2FC413F4"/>
    <w:rsid w:val="385250B6"/>
    <w:rsid w:val="3A67246B"/>
    <w:rsid w:val="3FB01AE7"/>
    <w:rsid w:val="43361F79"/>
    <w:rsid w:val="439C066F"/>
    <w:rsid w:val="45747FF2"/>
    <w:rsid w:val="46426905"/>
    <w:rsid w:val="498E1B86"/>
    <w:rsid w:val="4D71719E"/>
    <w:rsid w:val="5BED7935"/>
    <w:rsid w:val="5D7C6FEB"/>
    <w:rsid w:val="5DB30E77"/>
    <w:rsid w:val="677166D1"/>
    <w:rsid w:val="6E6B44A6"/>
    <w:rsid w:val="72BB5320"/>
    <w:rsid w:val="7D3A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7">
    <w:name w:val="Title2"/>
    <w:basedOn w:val="1"/>
    <w:qFormat/>
    <w:uiPriority w:val="0"/>
    <w:pPr>
      <w:widowControl/>
      <w:jc w:val="left"/>
    </w:pPr>
    <w:rPr>
      <w:rFonts w:ascii="Times New Roman" w:hAnsi="Times New Roman" w:eastAsia="MS Mincho" w:cs="Times New Roman"/>
      <w:b/>
      <w:kern w:val="0"/>
      <w:sz w:val="24"/>
      <w:szCs w:val="24"/>
      <w:lang w:eastAsia="ja-JP"/>
    </w:rPr>
  </w:style>
  <w:style w:type="paragraph" w:customStyle="1" w:styleId="8">
    <w:name w:val="TA_Main_Text"/>
    <w:basedOn w:val="1"/>
    <w:link w:val="9"/>
    <w:autoRedefine/>
    <w:qFormat/>
    <w:uiPriority w:val="0"/>
    <w:pPr>
      <w:widowControl/>
      <w:spacing w:line="480" w:lineRule="auto"/>
      <w:ind w:firstLine="202"/>
    </w:pPr>
    <w:rPr>
      <w:rFonts w:ascii="Times" w:hAnsi="Times" w:eastAsia="Malgun Gothic" w:cs="Times New Roman"/>
      <w:kern w:val="0"/>
      <w:sz w:val="24"/>
      <w:szCs w:val="20"/>
      <w:lang w:eastAsia="en-US"/>
    </w:rPr>
  </w:style>
  <w:style w:type="character" w:customStyle="1" w:styleId="9">
    <w:name w:val="TA_Main_Text Char"/>
    <w:link w:val="8"/>
    <w:qFormat/>
    <w:uiPriority w:val="0"/>
    <w:rPr>
      <w:rFonts w:ascii="Times" w:hAnsi="Times" w:eastAsia="Malgun Gothic" w:cs="Times New Roman"/>
      <w:kern w:val="0"/>
      <w:sz w:val="24"/>
      <w:szCs w:val="20"/>
      <w:lang w:eastAsia="en-US"/>
    </w:rPr>
  </w:style>
  <w:style w:type="paragraph" w:customStyle="1" w:styleId="10">
    <w:name w:val="修订2"/>
    <w:autoRedefine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1">
    <w:name w:val="修订3"/>
    <w:autoRedefine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2">
    <w:name w:val="修订4"/>
    <w:hidden/>
    <w:unhideWhenUsed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styleId="13">
    <w:name w:val="Placeholder Text"/>
    <w:basedOn w:val="5"/>
    <w:autoRedefine/>
    <w:unhideWhenUsed/>
    <w:qFormat/>
    <w:uiPriority w:val="99"/>
    <w:rPr>
      <w:color w:val="666666"/>
    </w:rPr>
  </w:style>
  <w:style w:type="paragraph" w:customStyle="1" w:styleId="14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tiff"/><Relationship Id="rId26" Type="http://schemas.openxmlformats.org/officeDocument/2006/relationships/image" Target="media/image20.tiff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tiff"/><Relationship Id="rId20" Type="http://schemas.openxmlformats.org/officeDocument/2006/relationships/image" Target="media/image14.tiff"/><Relationship Id="rId2" Type="http://schemas.openxmlformats.org/officeDocument/2006/relationships/settings" Target="settings.xml"/><Relationship Id="rId19" Type="http://schemas.openxmlformats.org/officeDocument/2006/relationships/image" Target="media/image13.tiff"/><Relationship Id="rId18" Type="http://schemas.openxmlformats.org/officeDocument/2006/relationships/image" Target="media/image12.tiff"/><Relationship Id="rId17" Type="http://schemas.openxmlformats.org/officeDocument/2006/relationships/image" Target="media/image11.tiff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tiff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623</Words>
  <Characters>3099</Characters>
  <Lines>164</Lines>
  <Paragraphs>97</Paragraphs>
  <TotalTime>11</TotalTime>
  <ScaleCrop>false</ScaleCrop>
  <LinksUpToDate>false</LinksUpToDate>
  <CharactersWithSpaces>3641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2024-06-11T04:53:00Z</dcterms:created>
  <dc:creator>浩 周</dc:creator>
  <cp:lastModifiedBy>张邦乐</cp:lastModifiedBy>
  <dcterms:modified xsi:type="dcterms:W3CDTF">2024-06-13T01:51:06Z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C5AB60C203744FD9A241DEA7F35C95B4_12</vt:lpwstr>
  </property>
  <property fmtid="{D5CDD505-2E9C-101B-9397-08002B2CF9AE}" pid="4" name="GrammarlyDocumentId">
    <vt:lpwstr>70c0a1b72b16317b6090e8ec0db4d484bc845b483c591b7e4b97f29d2645f4f2</vt:lpwstr>
  </property>
</Properties>
</file>