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0E136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DA313C">
        <w:rPr>
          <w:rFonts w:ascii="Times New Roman" w:hAnsi="Times New Roman" w:cs="Times New Roman"/>
          <w:b/>
          <w:bCs/>
          <w:sz w:val="28"/>
          <w:szCs w:val="32"/>
        </w:rPr>
        <w:t>Supplementary Figures and Figure Legends</w:t>
      </w:r>
    </w:p>
    <w:p w14:paraId="771CCF1F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rFonts w:hint="eastAsia"/>
          <w:noProof/>
        </w:rPr>
        <w:drawing>
          <wp:inline distT="0" distB="0" distL="0" distR="0" wp14:anchorId="3174FEB3" wp14:editId="705BD3C5">
            <wp:extent cx="5220000" cy="4274645"/>
            <wp:effectExtent l="19050" t="19050" r="1905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274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42D7CB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1. </w:t>
      </w:r>
      <w:r w:rsidRPr="00DA313C">
        <w:rPr>
          <w:rFonts w:ascii="Times New Roman" w:hAnsi="Times New Roman" w:cs="Times New Roman"/>
          <w:iCs/>
          <w:sz w:val="24"/>
          <w:szCs w:val="24"/>
        </w:rPr>
        <w:t>Preparation flow of (A) PU and (B) PDA.</w:t>
      </w:r>
    </w:p>
    <w:p w14:paraId="4A5D4037" w14:textId="77777777" w:rsidR="000915C0" w:rsidRPr="00DA313C" w:rsidRDefault="000915C0" w:rsidP="000915C0">
      <w:pPr>
        <w:spacing w:beforeLines="50" w:before="120" w:line="360" w:lineRule="auto"/>
        <w:rPr>
          <w:iCs/>
          <w:sz w:val="24"/>
          <w:szCs w:val="24"/>
        </w:rPr>
      </w:pPr>
      <w:r w:rsidRPr="00DA313C">
        <w:rPr>
          <w:rFonts w:hint="eastAsia"/>
          <w:noProof/>
        </w:rPr>
        <w:lastRenderedPageBreak/>
        <w:drawing>
          <wp:inline distT="0" distB="0" distL="0" distR="0" wp14:anchorId="0DD815FE" wp14:editId="35D07AA1">
            <wp:extent cx="5220000" cy="3736686"/>
            <wp:effectExtent l="19050" t="19050" r="19050" b="165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366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756408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2. </w:t>
      </w:r>
      <w:r w:rsidRPr="00DA313C">
        <w:rPr>
          <w:rFonts w:ascii="Times New Roman" w:hAnsi="Times New Roman" w:cs="Times New Roman" w:hint="eastAsia"/>
          <w:iCs/>
          <w:sz w:val="24"/>
          <w:szCs w:val="24"/>
        </w:rPr>
        <w:t>P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hotograph of </w:t>
      </w:r>
      <w:r w:rsidRPr="00DA313C">
        <w:rPr>
          <w:rFonts w:ascii="Times New Roman" w:eastAsia="SimSun" w:hAnsi="Times New Roman"/>
          <w:sz w:val="24"/>
        </w:rPr>
        <w:t>PVFT, PVFT/PU and PDA@PVFT/PU</w:t>
      </w:r>
      <w:r w:rsidRPr="00DA313C">
        <w:rPr>
          <w:rFonts w:ascii="Times New Roman" w:hAnsi="Times New Roman" w:cs="Times New Roman"/>
          <w:sz w:val="24"/>
          <w:szCs w:val="24"/>
        </w:rPr>
        <w:t xml:space="preserve"> nanocomposite membranes.</w:t>
      </w:r>
    </w:p>
    <w:p w14:paraId="108B6FE2" w14:textId="77777777" w:rsidR="000915C0" w:rsidRPr="00DA313C" w:rsidRDefault="000915C0" w:rsidP="000915C0">
      <w:pPr>
        <w:spacing w:beforeLines="50" w:before="120" w:line="360" w:lineRule="auto"/>
        <w:rPr>
          <w:iCs/>
          <w:sz w:val="24"/>
          <w:szCs w:val="24"/>
        </w:rPr>
      </w:pPr>
    </w:p>
    <w:p w14:paraId="504FF702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rFonts w:hint="eastAsia"/>
          <w:noProof/>
        </w:rPr>
        <w:drawing>
          <wp:inline distT="0" distB="0" distL="0" distR="0" wp14:anchorId="19FD45A9" wp14:editId="24662FB3">
            <wp:extent cx="5220000" cy="3732173"/>
            <wp:effectExtent l="19050" t="19050" r="19050" b="209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321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6C3F3A0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>upplementary Figure 3.</w:t>
      </w:r>
      <w:r w:rsidRPr="00DA313C">
        <w:rPr>
          <w:rFonts w:ascii="Times New Roman" w:eastAsia="SimSun" w:hAnsi="Times New Roman"/>
          <w:sz w:val="24"/>
        </w:rPr>
        <w:t xml:space="preserve"> ATR spectrum of PVFT, PVFT/PU and PDA@PVFT/PU nanocomposite membranes.</w:t>
      </w:r>
    </w:p>
    <w:p w14:paraId="46660A2E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7F40AE8E" wp14:editId="6F757731">
            <wp:extent cx="5216607" cy="5760110"/>
            <wp:effectExtent l="19050" t="19050" r="22225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07" cy="57601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A1645F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4.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Images and analysis </w:t>
      </w:r>
      <w:r w:rsidRPr="00DA313C">
        <w:rPr>
          <w:rFonts w:ascii="Times New Roman" w:hAnsi="Times New Roman" w:cs="Times New Roman"/>
          <w:sz w:val="24"/>
          <w:szCs w:val="24"/>
        </w:rPr>
        <w:t xml:space="preserve">of the water contact angles on the surface of </w:t>
      </w:r>
      <w:r w:rsidRPr="00DA313C">
        <w:rPr>
          <w:rFonts w:ascii="Times New Roman" w:eastAsia="SimSun" w:hAnsi="Times New Roman"/>
          <w:sz w:val="24"/>
        </w:rPr>
        <w:t>PVFT, PVFT/PU and PDA@PVFT/PU</w:t>
      </w:r>
      <w:r w:rsidRPr="00DA313C">
        <w:rPr>
          <w:rFonts w:ascii="Times New Roman" w:hAnsi="Times New Roman" w:cs="Times New Roman"/>
          <w:sz w:val="24"/>
          <w:szCs w:val="24"/>
        </w:rPr>
        <w:t xml:space="preserve"> nanocomposite membranes.</w:t>
      </w:r>
    </w:p>
    <w:p w14:paraId="71946C4C" w14:textId="77777777" w:rsidR="000915C0" w:rsidRPr="00DA313C" w:rsidRDefault="000915C0" w:rsidP="000915C0">
      <w:pPr>
        <w:spacing w:beforeLines="50" w:before="120" w:line="360" w:lineRule="auto"/>
        <w:rPr>
          <w:b/>
          <w:bCs/>
        </w:rPr>
      </w:pPr>
    </w:p>
    <w:p w14:paraId="660B8D01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086A8B84" wp14:editId="7A76EC0A">
            <wp:extent cx="5220000" cy="2179294"/>
            <wp:effectExtent l="19050" t="19050" r="19050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1792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2D40B1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5. </w:t>
      </w:r>
      <w:r w:rsidRPr="00DA313C">
        <w:rPr>
          <w:rFonts w:ascii="Times New Roman" w:hAnsi="Times New Roman"/>
          <w:sz w:val="24"/>
        </w:rPr>
        <w:t xml:space="preserve">Mechanical properties of </w:t>
      </w:r>
      <w:r w:rsidRPr="00DA313C">
        <w:rPr>
          <w:rFonts w:ascii="Times New Roman" w:eastAsia="SimSun" w:hAnsi="Times New Roman"/>
          <w:sz w:val="24"/>
        </w:rPr>
        <w:t>PVFT, PVFT/PU and PDA@PVFT/PU</w:t>
      </w:r>
      <w:r w:rsidRPr="00DA313C">
        <w:rPr>
          <w:rFonts w:ascii="Times New Roman" w:hAnsi="Times New Roman" w:cs="Times New Roman"/>
          <w:sz w:val="24"/>
          <w:szCs w:val="24"/>
        </w:rPr>
        <w:t xml:space="preserve"> nanocomposite membrane.</w:t>
      </w:r>
    </w:p>
    <w:p w14:paraId="3717C4A1" w14:textId="77777777" w:rsidR="000915C0" w:rsidRPr="00DA313C" w:rsidRDefault="000915C0" w:rsidP="000915C0">
      <w:pPr>
        <w:spacing w:beforeLines="50" w:before="120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F37C5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3F4A3877" wp14:editId="1D64F863">
            <wp:extent cx="5215116" cy="3722384"/>
            <wp:effectExtent l="19050" t="19050" r="24130" b="1143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16" cy="3722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6B4DE4" w14:textId="77777777" w:rsidR="000915C0" w:rsidRPr="00DA313C" w:rsidRDefault="000915C0" w:rsidP="000915C0">
      <w:pPr>
        <w:spacing w:beforeLines="50" w:before="120" w:line="360" w:lineRule="auto"/>
        <w:rPr>
          <w:b/>
          <w:bCs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6.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Analysis of Minimum phase transition temperature in </w:t>
      </w:r>
      <w:r w:rsidRPr="00DA313C">
        <w:rPr>
          <w:rFonts w:ascii="Times New Roman" w:eastAsia="SimSun" w:hAnsi="Times New Roman"/>
          <w:sz w:val="24"/>
        </w:rPr>
        <w:t>DSC curves of PU within 10 heating-cooling cycles.</w:t>
      </w:r>
    </w:p>
    <w:p w14:paraId="52980F0D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4599A88F" wp14:editId="32E45170">
            <wp:extent cx="5215116" cy="3722384"/>
            <wp:effectExtent l="19050" t="19050" r="24130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116" cy="3722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E863CDE" w14:textId="77777777" w:rsidR="000915C0" w:rsidRPr="00DA313C" w:rsidRDefault="000915C0" w:rsidP="000915C0">
      <w:pPr>
        <w:spacing w:beforeLines="50" w:before="120" w:line="360" w:lineRule="auto"/>
        <w:rPr>
          <w:b/>
          <w:bCs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7. </w:t>
      </w:r>
      <w:r w:rsidRPr="00DA313C">
        <w:rPr>
          <w:rFonts w:ascii="Times New Roman" w:eastAsia="SimSun" w:hAnsi="Times New Roman"/>
          <w:sz w:val="24"/>
        </w:rPr>
        <w:t>DSC curves of PDA@PVFT/PU nanocomposite membranes during NIR irradiation.</w:t>
      </w:r>
    </w:p>
    <w:p w14:paraId="6ED9CDA3" w14:textId="77777777" w:rsidR="000915C0" w:rsidRPr="00DA313C" w:rsidRDefault="000915C0" w:rsidP="000915C0">
      <w:pPr>
        <w:spacing w:beforeLines="50" w:before="120" w:line="360" w:lineRule="auto"/>
      </w:pPr>
    </w:p>
    <w:p w14:paraId="34B2E0E0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7C150735" wp14:editId="4DC26E12">
            <wp:extent cx="5220000" cy="2173212"/>
            <wp:effectExtent l="19050" t="19050" r="19050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17321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69B230" w14:textId="77777777" w:rsidR="000915C0" w:rsidRPr="00DA313C" w:rsidRDefault="000915C0" w:rsidP="000915C0">
      <w:pPr>
        <w:spacing w:beforeLines="50" w:before="120" w:line="360" w:lineRule="auto"/>
        <w:rPr>
          <w:b/>
          <w:bCs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>upplementary Figure 8.</w:t>
      </w:r>
      <w:r w:rsidRPr="00DA313C">
        <w:rPr>
          <w:rFonts w:ascii="Times New Roman" w:eastAsia="SimSun" w:hAnsi="Times New Roman"/>
          <w:sz w:val="24"/>
        </w:rPr>
        <w:t xml:space="preserve"> Temperature variations of PDA@PVFT/PU nanocomposite</w:t>
      </w:r>
      <w:r w:rsidRPr="00DA313C">
        <w:rPr>
          <w:noProof/>
        </w:rPr>
        <w:t xml:space="preserve"> </w:t>
      </w:r>
      <w:r w:rsidRPr="00DA313C">
        <w:rPr>
          <w:rFonts w:ascii="Times New Roman" w:eastAsia="SimSun" w:hAnsi="Times New Roman"/>
          <w:sz w:val="24"/>
        </w:rPr>
        <w:t>membranes within 5s and 30s NIR irradiation cycles respectively.</w:t>
      </w:r>
    </w:p>
    <w:p w14:paraId="6AE5B9D8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37057F15" wp14:editId="68E91A99">
            <wp:extent cx="5220000" cy="3722384"/>
            <wp:effectExtent l="19050" t="19050" r="19050" b="1143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22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178E94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9.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Amplitude errors and Phase images </w:t>
      </w:r>
      <w:r w:rsidRPr="00DA313C">
        <w:rPr>
          <w:rFonts w:ascii="Times New Roman" w:eastAsia="SimSun" w:hAnsi="Times New Roman"/>
          <w:sz w:val="24"/>
        </w:rPr>
        <w:t>of the PVFT NFs of PDA@PVFT/PU nanocomposite</w:t>
      </w:r>
      <w:r w:rsidRPr="00DA313C">
        <w:rPr>
          <w:noProof/>
        </w:rPr>
        <w:t xml:space="preserve"> </w:t>
      </w:r>
      <w:r w:rsidRPr="00DA313C">
        <w:rPr>
          <w:rFonts w:ascii="Times New Roman" w:eastAsia="SimSun" w:hAnsi="Times New Roman"/>
          <w:sz w:val="24"/>
        </w:rPr>
        <w:t>membranes under NIR irradiation cycling</w:t>
      </w:r>
      <w:r w:rsidRPr="00DA313C">
        <w:rPr>
          <w:rFonts w:ascii="Times New Roman" w:eastAsia="SimSun" w:hAnsi="Times New Roman" w:cs="Times New Roman"/>
          <w:sz w:val="24"/>
        </w:rPr>
        <w:t xml:space="preserve"> (Scale bar = 2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eastAsia="SimSun" w:hAnsi="Times New Roman"/>
          <w:sz w:val="24"/>
        </w:rPr>
        <w:t>.</w:t>
      </w:r>
    </w:p>
    <w:p w14:paraId="44C58806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51AE54D8" wp14:editId="27F9C693">
            <wp:extent cx="5211856" cy="5205562"/>
            <wp:effectExtent l="19050" t="19050" r="27305" b="146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856" cy="52055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003A39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10.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(A) Schematic diagram and (B) experimental device for detection of piezoelectric property of nanocomposite membranes </w:t>
      </w:r>
      <w:r w:rsidRPr="00DA313C">
        <w:rPr>
          <w:rFonts w:ascii="Times New Roman" w:eastAsia="SimSun" w:hAnsi="Times New Roman" w:cs="Times New Roman"/>
          <w:sz w:val="24"/>
        </w:rPr>
        <w:t>(Scale bar = 1 cm)</w:t>
      </w:r>
      <w:r w:rsidRPr="00DA313C">
        <w:rPr>
          <w:rFonts w:ascii="Times New Roman" w:hAnsi="Times New Roman" w:cs="Times New Roman"/>
          <w:iCs/>
          <w:sz w:val="24"/>
          <w:szCs w:val="24"/>
        </w:rPr>
        <w:t>.</w:t>
      </w:r>
    </w:p>
    <w:p w14:paraId="48C69A10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3443C2A8" wp14:editId="268F64ED">
            <wp:extent cx="5220000" cy="3722384"/>
            <wp:effectExtent l="19050" t="19050" r="19050" b="1143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722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112D3C" w14:textId="77777777" w:rsidR="000915C0" w:rsidRPr="00DA313C" w:rsidRDefault="000915C0" w:rsidP="000915C0">
      <w:pPr>
        <w:spacing w:beforeLines="50" w:before="120" w:line="360" w:lineRule="auto"/>
        <w:rPr>
          <w:iCs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11. </w:t>
      </w:r>
      <w:r w:rsidRPr="00DA313C">
        <w:rPr>
          <w:rFonts w:ascii="Times New Roman" w:hAnsi="Times New Roman" w:cs="Times New Roman"/>
          <w:iCs/>
          <w:sz w:val="24"/>
          <w:szCs w:val="24"/>
        </w:rPr>
        <w:t>The piezoelectric output of PVFT, PVFT/PU and PDA@PVFT/PU nanocomposite membrane induced by a constant mechanical force of 5 N, 0.5 Hz from the vertical direction.</w:t>
      </w:r>
    </w:p>
    <w:p w14:paraId="5C010CF8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661F8CEC" wp14:editId="636E15BF">
            <wp:extent cx="5220000" cy="6208859"/>
            <wp:effectExtent l="19050" t="19050" r="19050" b="209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62088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5B6C72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>upplementary Figure 12.</w:t>
      </w:r>
      <w:r w:rsidRPr="00DA313C">
        <w:rPr>
          <w:rFonts w:ascii="Times New Roman" w:hAnsi="Times New Roman" w:cs="Times New Roman"/>
          <w:b/>
          <w:bCs/>
          <w:sz w:val="24"/>
          <w:szCs w:val="24"/>
        </w:rPr>
        <w:t xml:space="preserve"> Biocompatibility of nanocomposite membranes.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(A) CCK8 assay showing the cell proliferation status of BMSCs after culturing for 1, 3, and 5 days (n = 3). (B) </w:t>
      </w:r>
      <w:r w:rsidRPr="00DA313C">
        <w:rPr>
          <w:rFonts w:ascii="Times New Roman" w:hAnsi="Times New Roman" w:cs="Times New Roman"/>
          <w:sz w:val="24"/>
          <w:szCs w:val="24"/>
        </w:rPr>
        <w:t xml:space="preserve">Fluorescence images showing live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-stained (green) and dead propidium iodide-labeled (red) BMSCs after culturing for 5 days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200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sz w:val="24"/>
          <w:szCs w:val="24"/>
        </w:rPr>
        <w:t>.</w:t>
      </w:r>
    </w:p>
    <w:p w14:paraId="615C2FE6" w14:textId="77777777" w:rsidR="000915C0" w:rsidRPr="00DA313C" w:rsidRDefault="000915C0" w:rsidP="000915C0">
      <w:pPr>
        <w:spacing w:beforeLines="50" w:before="120" w:line="360" w:lineRule="auto"/>
      </w:pPr>
    </w:p>
    <w:p w14:paraId="28A66645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A313C">
        <w:rPr>
          <w:noProof/>
        </w:rPr>
        <w:lastRenderedPageBreak/>
        <w:drawing>
          <wp:inline distT="0" distB="0" distL="0" distR="0" wp14:anchorId="11451C54" wp14:editId="235C7120">
            <wp:extent cx="5220000" cy="3190409"/>
            <wp:effectExtent l="19050" t="19050" r="1905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1904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A313C">
        <w:br/>
      </w: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13.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Representative immunostaining images and quantitative analysis of </w:t>
      </w:r>
      <w:bookmarkStart w:id="0" w:name="_Hlk159915948"/>
      <w:r w:rsidRPr="00DA313C">
        <w:rPr>
          <w:rFonts w:ascii="Times New Roman" w:hAnsi="Times New Roman" w:cs="Times New Roman"/>
          <w:iCs/>
          <w:sz w:val="24"/>
          <w:szCs w:val="24"/>
        </w:rPr>
        <w:t>COL1A1 (green), Phalloidin (red) and cell nuclei (DAPI, blue) of BMSCs</w:t>
      </w:r>
      <w:bookmarkEnd w:id="0"/>
      <w:r w:rsidRPr="00DA313C">
        <w:rPr>
          <w:rFonts w:ascii="Times New Roman" w:hAnsi="Times New Roman" w:cs="Times New Roman"/>
          <w:iCs/>
          <w:sz w:val="24"/>
          <w:szCs w:val="24"/>
        </w:rPr>
        <w:t xml:space="preserve"> cultured in osteogenic differentiation medium for 7 and 14 days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50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iCs/>
          <w:sz w:val="24"/>
          <w:szCs w:val="24"/>
        </w:rPr>
        <w:t>. *p &lt; 0.05, **p &lt; 0.01, ***p &lt; 0.001 and ****p &lt;0.0001 (n ≥ 3 per group).</w:t>
      </w:r>
    </w:p>
    <w:p w14:paraId="12AE2522" w14:textId="77777777" w:rsidR="000915C0" w:rsidRPr="00DA313C" w:rsidRDefault="000915C0" w:rsidP="000915C0">
      <w:pPr>
        <w:spacing w:beforeLines="50" w:before="120" w:line="360" w:lineRule="auto"/>
      </w:pPr>
    </w:p>
    <w:p w14:paraId="3DD34871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2C6C8B5A" wp14:editId="5B2AD469">
            <wp:extent cx="5220000" cy="3192862"/>
            <wp:effectExtent l="19050" t="19050" r="19050" b="266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1928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8EEEA4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14. </w:t>
      </w:r>
      <w:r w:rsidRPr="00DA313C">
        <w:rPr>
          <w:rFonts w:ascii="Times New Roman" w:hAnsi="Times New Roman" w:cs="Times New Roman"/>
          <w:iCs/>
          <w:sz w:val="24"/>
          <w:szCs w:val="24"/>
        </w:rPr>
        <w:t>Representative immunostaining images and quantitative analysis of OCN (green), Phalloidin (red) and cell nuclei (DAPI, blue) of BMSCs cultured in osteogenic differentiation medium for 7 and 14 days</w:t>
      </w:r>
      <w:r w:rsidRPr="00DA313C">
        <w:rPr>
          <w:rFonts w:ascii="Times New Roman" w:eastAsia="SimSun" w:hAnsi="Times New Roman" w:cs="Times New Roman"/>
          <w:sz w:val="24"/>
        </w:rPr>
        <w:t xml:space="preserve"> (Scale bar = 50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. *p &lt; 0.05, **p &lt; 0.01, ***p &lt; </w:t>
      </w:r>
      <w:r w:rsidRPr="00DA313C">
        <w:rPr>
          <w:rFonts w:ascii="Times New Roman" w:hAnsi="Times New Roman" w:cs="Times New Roman"/>
          <w:iCs/>
          <w:sz w:val="24"/>
          <w:szCs w:val="24"/>
        </w:rPr>
        <w:lastRenderedPageBreak/>
        <w:t>0.001 and ****p &lt;0.0001 (n ≥ 3 per group).</w:t>
      </w:r>
    </w:p>
    <w:p w14:paraId="1F65F062" w14:textId="77777777" w:rsidR="000915C0" w:rsidRPr="00DA313C" w:rsidRDefault="000915C0" w:rsidP="000915C0">
      <w:pPr>
        <w:spacing w:beforeLines="50" w:before="120" w:line="360" w:lineRule="auto"/>
      </w:pPr>
    </w:p>
    <w:p w14:paraId="24C39B2C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15239C62" wp14:editId="12332615">
            <wp:extent cx="5220000" cy="2053317"/>
            <wp:effectExtent l="19050" t="19050" r="19050" b="2349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0533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24A9F7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15.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DA313C">
        <w:rPr>
          <w:rFonts w:ascii="Times New Roman" w:hAnsi="Times New Roman" w:cs="Times New Roman"/>
          <w:sz w:val="24"/>
          <w:szCs w:val="24"/>
        </w:rPr>
        <w:t xml:space="preserve">mRNA expression levels of osteo-related genes including </w:t>
      </w:r>
      <w:r w:rsidRPr="00DA313C">
        <w:rPr>
          <w:rFonts w:ascii="Times New Roman" w:hAnsi="Times New Roman" w:cs="Times New Roman"/>
          <w:i/>
          <w:iCs/>
          <w:sz w:val="24"/>
          <w:szCs w:val="24"/>
        </w:rPr>
        <w:t>Alp</w:t>
      </w:r>
      <w:r w:rsidRPr="00DA313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A313C">
        <w:rPr>
          <w:rFonts w:ascii="Times New Roman" w:hAnsi="Times New Roman" w:cs="Times New Roman"/>
          <w:i/>
          <w:iCs/>
          <w:sz w:val="24"/>
          <w:szCs w:val="24"/>
        </w:rPr>
        <w:t>Osx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after 3 and 7 days. *p &lt; 0.05, **p &lt; 0.01, ***p &lt; 0.001 and ****p &lt;0.0001 (n ≥ 3 per group).</w:t>
      </w:r>
    </w:p>
    <w:p w14:paraId="3C9977C5" w14:textId="77777777" w:rsidR="000915C0" w:rsidRPr="00DA313C" w:rsidRDefault="000915C0" w:rsidP="000915C0">
      <w:pPr>
        <w:spacing w:beforeLines="50" w:before="120" w:line="360" w:lineRule="auto"/>
      </w:pPr>
    </w:p>
    <w:p w14:paraId="669490F6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4F48BC3C" wp14:editId="346A2403">
            <wp:extent cx="5220000" cy="2503984"/>
            <wp:effectExtent l="19050" t="19050" r="19050" b="1079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503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8A29BF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16.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Representative </w:t>
      </w:r>
      <w:r w:rsidRPr="00DA313C">
        <w:rPr>
          <w:rFonts w:ascii="Times New Roman" w:hAnsi="Times New Roman" w:cs="Times New Roman" w:hint="eastAsia"/>
          <w:iCs/>
          <w:sz w:val="24"/>
          <w:szCs w:val="24"/>
        </w:rPr>
        <w:t>western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 blot images and quantitative analysis of osteogenic differentiation-related markers (ALP and RUNX2) of BMSCs cultured for 7 days. *p &lt; 0.05, **p &lt; 0.01, ***p &lt; 0.001 and ****p &lt;0.0001 (n ≥ 3 per group).</w:t>
      </w:r>
    </w:p>
    <w:p w14:paraId="0B70724F" w14:textId="77777777" w:rsidR="000915C0" w:rsidRPr="00DA313C" w:rsidRDefault="000915C0" w:rsidP="000915C0">
      <w:pPr>
        <w:spacing w:beforeLines="50" w:before="120" w:line="360" w:lineRule="auto"/>
      </w:pPr>
    </w:p>
    <w:p w14:paraId="73DE0628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66F4553D" wp14:editId="4676F04F">
            <wp:extent cx="5196195" cy="2503987"/>
            <wp:effectExtent l="19050" t="19050" r="2413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195" cy="25039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9F14FC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17.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Representative </w:t>
      </w:r>
      <w:r w:rsidRPr="00DA313C">
        <w:rPr>
          <w:rFonts w:ascii="Times New Roman" w:hAnsi="Times New Roman" w:cs="Times New Roman" w:hint="eastAsia"/>
          <w:iCs/>
          <w:sz w:val="24"/>
          <w:szCs w:val="24"/>
        </w:rPr>
        <w:t>western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 blot images and quantitative analysis of matrix mineralization-related markers (COL1A1 and OCN) of BMSCs cultured for 7 days. *p &lt; 0.05, **p &lt; 0.01, ***p &lt; 0.001 and ****p &lt;0.0001 (n ≥ 3 per group).</w:t>
      </w:r>
    </w:p>
    <w:p w14:paraId="1CF4C31E" w14:textId="77777777" w:rsidR="000915C0" w:rsidRPr="00DA313C" w:rsidRDefault="000915C0" w:rsidP="000915C0">
      <w:pPr>
        <w:spacing w:beforeLines="50" w:before="120" w:line="360" w:lineRule="auto"/>
      </w:pPr>
    </w:p>
    <w:p w14:paraId="74EE18E2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5BEDD6CC" wp14:editId="4E56309E">
            <wp:extent cx="5220000" cy="4788762"/>
            <wp:effectExtent l="19050" t="19050" r="19050" b="1206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7887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3D7EC6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18. </w:t>
      </w:r>
      <w:r w:rsidRPr="00DA313C">
        <w:rPr>
          <w:rFonts w:ascii="Times New Roman" w:hAnsi="Times New Roman" w:cs="Times New Roman"/>
          <w:iCs/>
          <w:sz w:val="24"/>
          <w:szCs w:val="24"/>
        </w:rPr>
        <w:t>The TRAP activity of monocytes under continuous and circular NIR irradiation in nanocomposite membranes after 10 days co-culture.</w:t>
      </w:r>
    </w:p>
    <w:p w14:paraId="6B3568B0" w14:textId="77777777" w:rsidR="000915C0" w:rsidRPr="00DA313C" w:rsidRDefault="000915C0" w:rsidP="000915C0">
      <w:pPr>
        <w:spacing w:beforeLines="50" w:before="120" w:line="360" w:lineRule="auto"/>
      </w:pPr>
    </w:p>
    <w:p w14:paraId="7AFE2464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5B93F570" wp14:editId="563BB3EF">
            <wp:extent cx="5213571" cy="4788761"/>
            <wp:effectExtent l="19050" t="19050" r="25400" b="1206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71" cy="47887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C7054C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19.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The 7-day ALP activity of BMSCs with circular NIR irradiation after the addition of calcium channel inhibitors </w:t>
      </w:r>
      <w:proofErr w:type="spellStart"/>
      <w:r w:rsidRPr="00DA313C">
        <w:rPr>
          <w:rFonts w:ascii="Times New Roman" w:hAnsi="Times New Roman" w:cs="Times New Roman"/>
          <w:iCs/>
          <w:sz w:val="24"/>
          <w:szCs w:val="24"/>
        </w:rPr>
        <w:t>Fantofarone</w:t>
      </w:r>
      <w:proofErr w:type="spellEnd"/>
      <w:r w:rsidRPr="00DA313C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Pr="00DA313C">
        <w:t xml:space="preserve"> </w:t>
      </w:r>
      <w:r w:rsidRPr="00DA313C">
        <w:rPr>
          <w:rFonts w:ascii="Times New Roman" w:hAnsi="Times New Roman" w:cs="Times New Roman"/>
          <w:iCs/>
          <w:sz w:val="24"/>
          <w:szCs w:val="24"/>
        </w:rPr>
        <w:t>actin polymerization inhibitors Cytochalasin D. *p &lt; 0.05, **p &lt; 0.01, ***p &lt; 0.001 and ****p &lt;0.0001 (n ≥ 3 per group)</w:t>
      </w:r>
    </w:p>
    <w:p w14:paraId="2822D68E" w14:textId="77777777" w:rsidR="000915C0" w:rsidRPr="00DA313C" w:rsidRDefault="000915C0" w:rsidP="000915C0">
      <w:pPr>
        <w:spacing w:beforeLines="50" w:before="120" w:line="360" w:lineRule="auto"/>
      </w:pPr>
    </w:p>
    <w:p w14:paraId="5B8DC3ED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4B72C764" wp14:editId="0D5832EE">
            <wp:extent cx="4899707" cy="2503987"/>
            <wp:effectExtent l="19050" t="19050" r="15240" b="1079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07" cy="250398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A250BC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20.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Representative immunofluorescence images and quantitative analysis of RUNX2 (green), OPN (green), Phalloidin (red) and cell nuclei (DAPI, blue) of BMSCs with 7-day circular NIR irradiation after the addition of calcium channel inhibitors </w:t>
      </w:r>
      <w:proofErr w:type="spellStart"/>
      <w:r w:rsidRPr="00DA313C">
        <w:rPr>
          <w:rFonts w:ascii="Times New Roman" w:hAnsi="Times New Roman" w:cs="Times New Roman"/>
          <w:iCs/>
          <w:sz w:val="24"/>
          <w:szCs w:val="24"/>
        </w:rPr>
        <w:t>Fantofarone</w:t>
      </w:r>
      <w:proofErr w:type="spellEnd"/>
      <w:r w:rsidRPr="00DA313C">
        <w:rPr>
          <w:rFonts w:ascii="Times New Roman" w:hAnsi="Times New Roman" w:cs="Times New Roman"/>
          <w:iCs/>
          <w:sz w:val="24"/>
          <w:szCs w:val="24"/>
        </w:rPr>
        <w:t xml:space="preserve"> and actin polymerization inhibitors Cytochalasin D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50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iCs/>
          <w:sz w:val="24"/>
          <w:szCs w:val="24"/>
        </w:rPr>
        <w:t>. *p &lt; 0.05, **p &lt; 0.01, ***p &lt; 0.001 and ****p &lt;0.0001 (n ≥ 3 per group).</w:t>
      </w:r>
    </w:p>
    <w:p w14:paraId="36001CE1" w14:textId="77777777" w:rsidR="000915C0" w:rsidRPr="00DA313C" w:rsidRDefault="000915C0" w:rsidP="000915C0">
      <w:pPr>
        <w:spacing w:beforeLines="50" w:before="120" w:line="360" w:lineRule="auto"/>
      </w:pPr>
    </w:p>
    <w:p w14:paraId="3D60C2BF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0BA681A5" wp14:editId="0DC85EBA">
            <wp:extent cx="5219971" cy="2659351"/>
            <wp:effectExtent l="19050" t="19050" r="19050" b="273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71" cy="26593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1BFF84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21. </w:t>
      </w:r>
      <w:r w:rsidRPr="00DA313C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Pr="00DA313C">
        <w:rPr>
          <w:rFonts w:ascii="Times New Roman" w:hAnsi="Times New Roman" w:cs="Times New Roman"/>
          <w:sz w:val="24"/>
          <w:szCs w:val="24"/>
        </w:rPr>
        <w:t xml:space="preserve">mRNA expression levels of osteo-related genes including </w:t>
      </w:r>
      <w:r w:rsidRPr="00DA313C">
        <w:rPr>
          <w:rFonts w:ascii="Times New Roman" w:hAnsi="Times New Roman" w:cs="Times New Roman"/>
          <w:i/>
          <w:iCs/>
          <w:sz w:val="24"/>
          <w:szCs w:val="24"/>
        </w:rPr>
        <w:t>Alp</w:t>
      </w:r>
      <w:r w:rsidRPr="00DA313C">
        <w:rPr>
          <w:rFonts w:ascii="Times New Roman" w:hAnsi="Times New Roman" w:cs="Times New Roman"/>
          <w:sz w:val="24"/>
          <w:szCs w:val="24"/>
        </w:rPr>
        <w:t xml:space="preserve">, </w:t>
      </w:r>
      <w:r w:rsidRPr="00DA313C">
        <w:rPr>
          <w:rFonts w:ascii="Times New Roman" w:hAnsi="Times New Roman" w:cs="Times New Roman"/>
          <w:i/>
          <w:iCs/>
          <w:sz w:val="24"/>
          <w:szCs w:val="24"/>
        </w:rPr>
        <w:t>Col1a1</w:t>
      </w:r>
      <w:r w:rsidRPr="00DA313C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A313C">
        <w:rPr>
          <w:rFonts w:ascii="Times New Roman" w:hAnsi="Times New Roman" w:cs="Times New Roman"/>
          <w:i/>
          <w:iCs/>
          <w:sz w:val="24"/>
          <w:szCs w:val="24"/>
        </w:rPr>
        <w:t>Opn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</w:t>
      </w:r>
      <w:r w:rsidRPr="00DA313C">
        <w:rPr>
          <w:rFonts w:ascii="Times New Roman" w:hAnsi="Times New Roman" w:cs="Times New Roman" w:hint="eastAsia"/>
          <w:sz w:val="24"/>
          <w:szCs w:val="24"/>
        </w:rPr>
        <w:t>after</w:t>
      </w:r>
      <w:r w:rsidRPr="00DA313C">
        <w:rPr>
          <w:rFonts w:ascii="Times New Roman" w:hAnsi="Times New Roman" w:cs="Times New Roman"/>
          <w:sz w:val="24"/>
          <w:szCs w:val="24"/>
        </w:rPr>
        <w:t xml:space="preserve"> 7 day</w:t>
      </w:r>
      <w:r w:rsidRPr="00DA313C">
        <w:rPr>
          <w:rFonts w:ascii="Times New Roman" w:hAnsi="Times New Roman" w:cs="Times New Roman" w:hint="eastAsia"/>
          <w:sz w:val="24"/>
          <w:szCs w:val="24"/>
        </w:rPr>
        <w:t>s</w:t>
      </w:r>
      <w:r w:rsidRPr="00DA313C">
        <w:rPr>
          <w:rFonts w:ascii="Times New Roman" w:hAnsi="Times New Roman" w:cs="Times New Roman"/>
          <w:sz w:val="24"/>
          <w:szCs w:val="24"/>
        </w:rPr>
        <w:t xml:space="preserve"> of culture with the inhibition of calcium channel inhibitors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Fantofarone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and actin polymerization inhibitors Cytochalasin D. *p &lt; 0.05, **p &lt; 0.01, ***p &lt; 0.001 and ****p &lt;0.0001 (n ≥ 3 per group)</w:t>
      </w:r>
    </w:p>
    <w:p w14:paraId="01263489" w14:textId="77777777" w:rsidR="000915C0" w:rsidRPr="00DA313C" w:rsidRDefault="000915C0" w:rsidP="000915C0">
      <w:pPr>
        <w:spacing w:beforeLines="50" w:before="120" w:line="360" w:lineRule="auto"/>
      </w:pPr>
    </w:p>
    <w:p w14:paraId="31BA2D7C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5AE6B97F" wp14:editId="60671241">
            <wp:extent cx="5111931" cy="5198854"/>
            <wp:effectExtent l="19050" t="19050" r="12700" b="209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931" cy="51988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6FACFD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22. </w:t>
      </w:r>
      <w:r w:rsidRPr="00DA313C">
        <w:rPr>
          <w:rFonts w:ascii="Times New Roman" w:hAnsi="Times New Roman" w:cs="Times New Roman"/>
          <w:iCs/>
          <w:sz w:val="24"/>
          <w:szCs w:val="24"/>
        </w:rPr>
        <w:t>(A) The skull of Sprague Dawley (SD) rats at the age of 6-8 weeks were used to create the skull defects.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A313C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DA313C">
        <w:rPr>
          <w:rFonts w:ascii="Times New Roman" w:hAnsi="Times New Roman" w:cs="Times New Roman"/>
          <w:iCs/>
          <w:sz w:val="24"/>
          <w:szCs w:val="24"/>
        </w:rPr>
        <w:t>i</w:t>
      </w:r>
      <w:proofErr w:type="spellEnd"/>
      <w:r w:rsidRPr="00DA313C">
        <w:rPr>
          <w:rFonts w:ascii="Times New Roman" w:hAnsi="Times New Roman" w:cs="Times New Roman"/>
          <w:iCs/>
          <w:sz w:val="24"/>
          <w:szCs w:val="24"/>
        </w:rPr>
        <w:t>) and (ii) After anesthetization and disinfection, sagittal incisions were made on the scalp to expose the bilateral skull. (iii) A 5 mm diameter trephine was used to cut circular defects on the skull. (iv) Nanocomposite membranes were implanted into the circular defects. (v) The</w:t>
      </w:r>
      <w:r w:rsidRPr="00DA313C">
        <w:t xml:space="preserve"> </w:t>
      </w:r>
      <w:r w:rsidRPr="00DA313C">
        <w:rPr>
          <w:rFonts w:ascii="Times New Roman" w:hAnsi="Times New Roman" w:cs="Times New Roman"/>
          <w:iCs/>
          <w:sz w:val="24"/>
          <w:szCs w:val="24"/>
        </w:rPr>
        <w:t>wounds were sutured</w:t>
      </w:r>
      <w:r w:rsidRPr="00DA313C">
        <w:t xml:space="preserve"> </w:t>
      </w:r>
      <w:r w:rsidRPr="00DA313C">
        <w:rPr>
          <w:rFonts w:ascii="Times New Roman" w:hAnsi="Times New Roman" w:cs="Times New Roman"/>
          <w:iCs/>
          <w:sz w:val="24"/>
          <w:szCs w:val="24"/>
        </w:rPr>
        <w:t>and sterilized. (vi)</w:t>
      </w:r>
      <w:r w:rsidRPr="00DA313C">
        <w:t xml:space="preserve"> </w:t>
      </w:r>
      <w:r w:rsidRPr="00DA313C">
        <w:rPr>
          <w:rFonts w:ascii="Times New Roman" w:hAnsi="Times New Roman" w:cs="Times New Roman"/>
          <w:iCs/>
          <w:sz w:val="24"/>
          <w:szCs w:val="24"/>
        </w:rPr>
        <w:t>One week later, NIR irradiation treatment was started after suture removal</w:t>
      </w:r>
      <w:r w:rsidRPr="00DA313C">
        <w:rPr>
          <w:rFonts w:ascii="Times New Roman" w:eastAsia="SimSun" w:hAnsi="Times New Roman" w:cs="Times New Roman"/>
          <w:sz w:val="24"/>
        </w:rPr>
        <w:t xml:space="preserve"> (Scale size = 1 cm). (B) NIR laser transmitting probe produced an irradiated area of 5 mm at the appropriate distance.</w:t>
      </w:r>
    </w:p>
    <w:p w14:paraId="2D4C3B11" w14:textId="77777777" w:rsidR="000915C0" w:rsidRPr="00DA313C" w:rsidRDefault="000915C0" w:rsidP="000915C0">
      <w:pPr>
        <w:spacing w:beforeLines="50" w:before="120" w:line="360" w:lineRule="auto"/>
      </w:pPr>
    </w:p>
    <w:p w14:paraId="6082D28A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6D342EA3" wp14:editId="05EE1A0E">
            <wp:extent cx="5275156" cy="2792730"/>
            <wp:effectExtent l="19050" t="19050" r="20955" b="266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156" cy="27927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D3F065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23. </w:t>
      </w:r>
      <w:r w:rsidRPr="00DA313C">
        <w:rPr>
          <w:rFonts w:ascii="Times New Roman" w:hAnsi="Times New Roman" w:cs="Times New Roman"/>
          <w:sz w:val="24"/>
          <w:szCs w:val="24"/>
        </w:rPr>
        <w:t xml:space="preserve">(A) Representative micro-CT images of critical-sized rat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calvarial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full-thickness defects after 4-week treatment respectively </w:t>
      </w:r>
      <w:r w:rsidRPr="00DA313C">
        <w:rPr>
          <w:rFonts w:ascii="Times New Roman" w:eastAsia="SimSun" w:hAnsi="Times New Roman" w:cs="Times New Roman"/>
          <w:sz w:val="24"/>
        </w:rPr>
        <w:t>(Scale bar = 1 mm)</w:t>
      </w:r>
      <w:r w:rsidRPr="00DA313C">
        <w:rPr>
          <w:rFonts w:ascii="Times New Roman" w:hAnsi="Times New Roman" w:cs="Times New Roman"/>
          <w:sz w:val="24"/>
          <w:szCs w:val="24"/>
        </w:rPr>
        <w:t>. Yellow circles and dotted lines denote the boundary between new bone tissue and host bone tissue. (B), (C) and (D) Quantitative analysis of percent bone volume (BV/TV), bone surface density (BS/TV) and Trabecular number (</w:t>
      </w:r>
      <w:proofErr w:type="spellStart"/>
      <w:proofErr w:type="gramStart"/>
      <w:r w:rsidRPr="00DA313C">
        <w:rPr>
          <w:rFonts w:ascii="Times New Roman" w:hAnsi="Times New Roman" w:cs="Times New Roman"/>
          <w:sz w:val="24"/>
          <w:szCs w:val="24"/>
        </w:rPr>
        <w:t>Tb.N</w:t>
      </w:r>
      <w:proofErr w:type="spellEnd"/>
      <w:proofErr w:type="gramEnd"/>
      <w:r w:rsidRPr="00DA313C">
        <w:rPr>
          <w:rFonts w:ascii="Times New Roman" w:hAnsi="Times New Roman" w:cs="Times New Roman"/>
          <w:sz w:val="24"/>
          <w:szCs w:val="24"/>
        </w:rPr>
        <w:t xml:space="preserve">). *p &lt; 0.05, **p &lt; 0.01, ***p &lt; 0.001 and ****p &lt;0.0001 (n ≥ 6 per group). </w:t>
      </w:r>
    </w:p>
    <w:p w14:paraId="7EBA1A9E" w14:textId="77777777" w:rsidR="000915C0" w:rsidRPr="00DA313C" w:rsidRDefault="000915C0" w:rsidP="000915C0">
      <w:pPr>
        <w:spacing w:beforeLines="50" w:before="120" w:line="360" w:lineRule="auto"/>
      </w:pPr>
    </w:p>
    <w:p w14:paraId="449C2DFD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drawing>
          <wp:inline distT="0" distB="0" distL="0" distR="0" wp14:anchorId="1A6A41DC" wp14:editId="796D664A">
            <wp:extent cx="5272127" cy="2672715"/>
            <wp:effectExtent l="19050" t="19050" r="24130" b="133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27" cy="2672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9D0FDD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24. </w:t>
      </w:r>
      <w:r w:rsidRPr="00DA313C">
        <w:rPr>
          <w:rFonts w:ascii="Times New Roman" w:hAnsi="Times New Roman" w:cs="Times New Roman"/>
          <w:sz w:val="24"/>
          <w:szCs w:val="24"/>
        </w:rPr>
        <w:t xml:space="preserve">(A) and (B) Representative micro-CT images of critical-sized rat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calvarial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full-thickness defects after individual thermotherapy and NIR therapy for 4 and 8 weeks </w:t>
      </w:r>
      <w:r w:rsidRPr="00DA313C">
        <w:rPr>
          <w:rFonts w:ascii="Times New Roman" w:eastAsia="SimSun" w:hAnsi="Times New Roman" w:cs="Times New Roman"/>
          <w:sz w:val="24"/>
        </w:rPr>
        <w:t>(Scale bar = 1 mm)</w:t>
      </w:r>
      <w:r w:rsidRPr="00DA313C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160062588"/>
      <w:r w:rsidRPr="00DA313C">
        <w:rPr>
          <w:rFonts w:ascii="Times New Roman" w:hAnsi="Times New Roman" w:cs="Times New Roman"/>
          <w:sz w:val="24"/>
          <w:szCs w:val="24"/>
        </w:rPr>
        <w:t>Yellow circles and dotted lines denote the boundary between new bone tissue and host bone tissue.</w:t>
      </w:r>
      <w:bookmarkEnd w:id="1"/>
      <w:r w:rsidRPr="00DA313C">
        <w:rPr>
          <w:rFonts w:ascii="Times New Roman" w:hAnsi="Times New Roman" w:cs="Times New Roman"/>
          <w:sz w:val="24"/>
          <w:szCs w:val="24"/>
        </w:rPr>
        <w:t xml:space="preserve"> (C), (D), (E), (F), (G) and (H) Quantitative analysis of percent </w:t>
      </w:r>
      <w:r w:rsidRPr="00DA313C">
        <w:rPr>
          <w:rFonts w:ascii="Times New Roman" w:hAnsi="Times New Roman" w:cs="Times New Roman"/>
          <w:sz w:val="24"/>
          <w:szCs w:val="24"/>
        </w:rPr>
        <w:lastRenderedPageBreak/>
        <w:t>bone volume (BV/TV), bone surface density (BS/TV) and Trabecular number (</w:t>
      </w:r>
      <w:proofErr w:type="spellStart"/>
      <w:proofErr w:type="gramStart"/>
      <w:r w:rsidRPr="00DA313C">
        <w:rPr>
          <w:rFonts w:ascii="Times New Roman" w:hAnsi="Times New Roman" w:cs="Times New Roman"/>
          <w:sz w:val="24"/>
          <w:szCs w:val="24"/>
        </w:rPr>
        <w:t>Tb.N</w:t>
      </w:r>
      <w:proofErr w:type="spellEnd"/>
      <w:proofErr w:type="gramEnd"/>
      <w:r w:rsidRPr="00DA313C">
        <w:rPr>
          <w:rFonts w:ascii="Times New Roman" w:hAnsi="Times New Roman" w:cs="Times New Roman"/>
          <w:sz w:val="24"/>
          <w:szCs w:val="24"/>
        </w:rPr>
        <w:t xml:space="preserve">). *p &lt; 0.05, **p &lt; 0.01, ***p &lt; 0.001 and ****p &lt;0.0001 (n ≥ 3 per group). </w:t>
      </w:r>
    </w:p>
    <w:p w14:paraId="427659AB" w14:textId="77777777" w:rsidR="000915C0" w:rsidRPr="00DA313C" w:rsidRDefault="000915C0" w:rsidP="000915C0">
      <w:pPr>
        <w:spacing w:beforeLines="50" w:before="120" w:line="360" w:lineRule="auto"/>
      </w:pPr>
    </w:p>
    <w:p w14:paraId="515ABA6E" w14:textId="77777777" w:rsidR="000915C0" w:rsidRPr="00DA313C" w:rsidRDefault="000915C0" w:rsidP="000915C0">
      <w:pPr>
        <w:spacing w:beforeLines="50" w:before="120" w:line="360" w:lineRule="auto"/>
      </w:pPr>
      <w:r w:rsidRPr="00DA313C">
        <w:rPr>
          <w:noProof/>
        </w:rPr>
        <w:drawing>
          <wp:inline distT="0" distB="0" distL="0" distR="0" wp14:anchorId="74FA2F1F" wp14:editId="3CEEBD69">
            <wp:extent cx="5268595" cy="3929410"/>
            <wp:effectExtent l="19050" t="19050" r="27305" b="139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929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AEE87A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25. </w:t>
      </w:r>
      <w:r w:rsidRPr="00DA313C">
        <w:rPr>
          <w:rFonts w:ascii="Times New Roman" w:hAnsi="Times New Roman" w:cs="Times New Roman"/>
          <w:sz w:val="24"/>
          <w:szCs w:val="24"/>
        </w:rPr>
        <w:t xml:space="preserve">(A) and (B) H&amp;E staining and Masson’s trichrome staining on histological sections of cranial bone defects at after 4-week irradiation treatment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500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 xml:space="preserve"> and 200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sz w:val="24"/>
          <w:szCs w:val="24"/>
        </w:rPr>
        <w:t>.</w:t>
      </w:r>
    </w:p>
    <w:p w14:paraId="711953FA" w14:textId="77777777" w:rsidR="000915C0" w:rsidRPr="00DA313C" w:rsidRDefault="000915C0" w:rsidP="000915C0">
      <w:pPr>
        <w:spacing w:beforeLines="50" w:before="120" w:line="360" w:lineRule="auto"/>
      </w:pPr>
    </w:p>
    <w:p w14:paraId="73B79ED8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2DE53671" wp14:editId="4D6669F6">
            <wp:extent cx="5268595" cy="5749109"/>
            <wp:effectExtent l="19050" t="19050" r="27305" b="2349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7491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55BC94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26. </w:t>
      </w:r>
      <w:r w:rsidRPr="00DA313C">
        <w:rPr>
          <w:rFonts w:ascii="Times New Roman" w:hAnsi="Times New Roman" w:cs="Times New Roman"/>
          <w:sz w:val="24"/>
          <w:szCs w:val="24"/>
        </w:rPr>
        <w:t xml:space="preserve">Representative immunofluorescence images of (A) COL1A1 and (B) OCN and immunohistochemical images of (C) OPN expression levels in histological sections of cranial bone defects after 4-week NIR treatment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500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 xml:space="preserve"> and 200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sz w:val="24"/>
          <w:szCs w:val="24"/>
        </w:rPr>
        <w:t>.</w:t>
      </w:r>
    </w:p>
    <w:p w14:paraId="02305A34" w14:textId="77777777" w:rsidR="000915C0" w:rsidRPr="00DA313C" w:rsidRDefault="000915C0" w:rsidP="000915C0">
      <w:pPr>
        <w:spacing w:beforeLines="50" w:before="120" w:line="360" w:lineRule="auto"/>
      </w:pPr>
    </w:p>
    <w:p w14:paraId="1401279A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6CFBE532" wp14:editId="16949F69">
            <wp:extent cx="5268595" cy="5589885"/>
            <wp:effectExtent l="19050" t="19050" r="27305" b="1143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589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5906F5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27. </w:t>
      </w:r>
      <w:r w:rsidRPr="00DA313C">
        <w:rPr>
          <w:rFonts w:ascii="Times New Roman" w:hAnsi="Times New Roman" w:cs="Times New Roman"/>
          <w:sz w:val="24"/>
          <w:szCs w:val="24"/>
        </w:rPr>
        <w:t xml:space="preserve">Representative immunofluorescence images of (A) COL1A1 and (B) OCN and immunohistochemical images of (C) OPN expression levels in histological sections after 8-week NIR treatment </w:t>
      </w:r>
      <w:r w:rsidRPr="00DA313C">
        <w:rPr>
          <w:rFonts w:ascii="Times New Roman" w:eastAsia="SimSun" w:hAnsi="Times New Roman" w:cs="Times New Roman"/>
          <w:sz w:val="24"/>
        </w:rPr>
        <w:t xml:space="preserve">(Scale bar = 500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 xml:space="preserve"> and 200 </w:t>
      </w:r>
      <w:proofErr w:type="spellStart"/>
      <w:r w:rsidRPr="00DA313C">
        <w:rPr>
          <w:rFonts w:ascii="Times New Roman" w:eastAsia="SimSun" w:hAnsi="Times New Roman" w:cs="Times New Roman"/>
          <w:sz w:val="24"/>
        </w:rPr>
        <w:t>μm</w:t>
      </w:r>
      <w:proofErr w:type="spellEnd"/>
      <w:r w:rsidRPr="00DA313C">
        <w:rPr>
          <w:rFonts w:ascii="Times New Roman" w:eastAsia="SimSun" w:hAnsi="Times New Roman" w:cs="Times New Roman"/>
          <w:sz w:val="24"/>
        </w:rPr>
        <w:t>)</w:t>
      </w:r>
      <w:r w:rsidRPr="00DA313C">
        <w:rPr>
          <w:rFonts w:ascii="Times New Roman" w:hAnsi="Times New Roman" w:cs="Times New Roman"/>
          <w:sz w:val="24"/>
          <w:szCs w:val="24"/>
        </w:rPr>
        <w:t>.</w:t>
      </w:r>
    </w:p>
    <w:p w14:paraId="716C9E79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</w:p>
    <w:p w14:paraId="6F086E02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5EB43684" wp14:editId="429C48B5">
            <wp:extent cx="5268594" cy="4045280"/>
            <wp:effectExtent l="19050" t="19050" r="27940" b="1270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4" cy="4045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712BDA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28. </w:t>
      </w:r>
      <w:r w:rsidRPr="00DA313C">
        <w:rPr>
          <w:rFonts w:ascii="Times New Roman" w:hAnsi="Times New Roman" w:cs="Times New Roman"/>
          <w:sz w:val="24"/>
          <w:szCs w:val="24"/>
        </w:rPr>
        <w:t xml:space="preserve">(A) and (B) Alizarin Red staining and TRAP staining on histological sections of cranial bone defects at after 4-week irradiation treatment. Black triangles denote the mineralized nodules in new bone tissue. (Scale bar = 500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and 200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>).</w:t>
      </w:r>
    </w:p>
    <w:p w14:paraId="5DAC1E0A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9494A" w14:textId="77777777" w:rsidR="000915C0" w:rsidRPr="00DA313C" w:rsidRDefault="000915C0" w:rsidP="000915C0">
      <w:pPr>
        <w:spacing w:beforeLines="50" w:before="120" w:line="360" w:lineRule="auto"/>
        <w:jc w:val="center"/>
      </w:pPr>
      <w:r w:rsidRPr="00DA313C">
        <w:rPr>
          <w:noProof/>
        </w:rPr>
        <w:lastRenderedPageBreak/>
        <w:drawing>
          <wp:inline distT="0" distB="0" distL="0" distR="0" wp14:anchorId="009E3108" wp14:editId="4FCBBB40">
            <wp:extent cx="5268594" cy="4045279"/>
            <wp:effectExtent l="19050" t="19050" r="27940" b="1270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4" cy="40452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4D65B1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 w:hint="eastAsia"/>
          <w:b/>
          <w:bCs/>
          <w:iCs/>
          <w:sz w:val="24"/>
          <w:szCs w:val="24"/>
        </w:rPr>
        <w:t>S</w:t>
      </w:r>
      <w:r w:rsidRPr="00DA313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upplementary Figure 29. </w:t>
      </w:r>
      <w:r w:rsidRPr="00DA313C">
        <w:rPr>
          <w:rFonts w:ascii="Times New Roman" w:hAnsi="Times New Roman" w:cs="Times New Roman"/>
          <w:sz w:val="24"/>
          <w:szCs w:val="24"/>
        </w:rPr>
        <w:t xml:space="preserve">(A) and (B) Alizarin Red staining and TRAP staining on histological sections of cranial bone defects at after 8-week irradiation treatment. Black triangles denote the mineralized nodules in new bone tissue. (Scale bar = 500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 xml:space="preserve"> and 200 </w:t>
      </w:r>
      <w:proofErr w:type="spellStart"/>
      <w:r w:rsidRPr="00DA313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DA313C">
        <w:rPr>
          <w:rFonts w:ascii="Times New Roman" w:hAnsi="Times New Roman" w:cs="Times New Roman"/>
          <w:sz w:val="24"/>
          <w:szCs w:val="24"/>
        </w:rPr>
        <w:t>).</w:t>
      </w:r>
    </w:p>
    <w:p w14:paraId="3E42E78E" w14:textId="77777777" w:rsidR="000915C0" w:rsidRPr="00DA313C" w:rsidRDefault="000915C0" w:rsidP="000915C0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DA313C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7BA0B87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A313C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Tables</w:t>
      </w:r>
    </w:p>
    <w:p w14:paraId="275904D3" w14:textId="77777777" w:rsidR="000915C0" w:rsidRPr="00DA313C" w:rsidRDefault="000915C0" w:rsidP="000915C0">
      <w:pPr>
        <w:spacing w:beforeLines="50" w:before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1AD0C5" w14:textId="77777777" w:rsidR="000915C0" w:rsidRPr="00DA313C" w:rsidRDefault="000915C0" w:rsidP="000915C0">
      <w:pPr>
        <w:spacing w:line="360" w:lineRule="auto"/>
        <w:ind w:firstLineChars="100" w:firstLine="2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313C">
        <w:rPr>
          <w:rFonts w:ascii="Times New Roman" w:hAnsi="Times New Roman" w:cs="Times New Roman"/>
          <w:b/>
          <w:sz w:val="24"/>
          <w:szCs w:val="24"/>
        </w:rPr>
        <w:t>Table S1.</w:t>
      </w:r>
      <w:r w:rsidRPr="00DA31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313C">
        <w:rPr>
          <w:rFonts w:ascii="Times New Roman" w:hAnsi="Times New Roman" w:cs="Times New Roman"/>
          <w:sz w:val="24"/>
          <w:szCs w:val="24"/>
        </w:rPr>
        <w:t>Materials used in fabrication of PDA@PVFT/PU</w:t>
      </w:r>
    </w:p>
    <w:tbl>
      <w:tblPr>
        <w:tblStyle w:val="TableGrid"/>
        <w:tblW w:w="9185" w:type="dxa"/>
        <w:tblInd w:w="-4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5216"/>
        <w:gridCol w:w="3969"/>
      </w:tblGrid>
      <w:tr w:rsidR="000915C0" w:rsidRPr="00DA313C" w14:paraId="00045F0B" w14:textId="77777777" w:rsidTr="00AC464E">
        <w:trPr>
          <w:trHeight w:val="624"/>
        </w:trPr>
        <w:tc>
          <w:tcPr>
            <w:tcW w:w="5216" w:type="dxa"/>
            <w:tcBorders>
              <w:top w:val="single" w:sz="12" w:space="0" w:color="auto"/>
              <w:bottom w:val="single" w:sz="12" w:space="0" w:color="auto"/>
            </w:tcBorders>
          </w:tcPr>
          <w:p w14:paraId="28C7DF4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14:paraId="16CE3643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Vendor or Source</w:t>
            </w:r>
          </w:p>
        </w:tc>
      </w:tr>
      <w:tr w:rsidR="000915C0" w:rsidRPr="00DA313C" w14:paraId="4512D543" w14:textId="77777777" w:rsidTr="00AC464E">
        <w:trPr>
          <w:trHeight w:val="624"/>
        </w:trPr>
        <w:tc>
          <w:tcPr>
            <w:tcW w:w="5216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42BECD09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N,N</w:t>
            </w:r>
            <w:proofErr w:type="gram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-Dimethylformamide (DMF)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CCCBA4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05110BF7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7E8C5044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Polyethylene glycol 2000 (PEG-2000)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343E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1D01173A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7A04A33F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Phenyl 4,4'-methylenebisisisocyanate (4,4'-MDI)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A1A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0CC9C0F3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4DE4CF3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1,4-Butanediol (BDO)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F480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4F70B90F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32FBD3B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Acetone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D81E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5F7B6F83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32785D34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Sodium hydroxide (NaOH)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C5BD2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Sinopharm Chemical Reagent Co.</w:t>
            </w:r>
          </w:p>
        </w:tc>
      </w:tr>
      <w:tr w:rsidR="000915C0" w:rsidRPr="00DA313C" w14:paraId="2AE7102D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1D71E7D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Polyvinylidene fluoride-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Trifluoroethylene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 [P(VDF-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TrFE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)]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97CB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Arkema</w:t>
            </w:r>
          </w:p>
        </w:tc>
      </w:tr>
      <w:tr w:rsidR="000915C0" w:rsidRPr="00DA313C" w14:paraId="4F7F7246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nil"/>
              <w:right w:val="nil"/>
            </w:tcBorders>
            <w:vAlign w:val="center"/>
          </w:tcPr>
          <w:p w14:paraId="7D64687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Tris-HCl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94A9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BioFroxx</w:t>
            </w:r>
            <w:proofErr w:type="spellEnd"/>
          </w:p>
        </w:tc>
      </w:tr>
      <w:tr w:rsidR="000915C0" w:rsidRPr="00DA313C" w14:paraId="58A55579" w14:textId="77777777" w:rsidTr="00AC464E">
        <w:trPr>
          <w:trHeight w:val="624"/>
        </w:trPr>
        <w:tc>
          <w:tcPr>
            <w:tcW w:w="5216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74FC51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Dopamine hydrochloride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48DF24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McLean</w:t>
            </w:r>
          </w:p>
        </w:tc>
      </w:tr>
    </w:tbl>
    <w:p w14:paraId="59CCE44A" w14:textId="77777777" w:rsidR="000915C0" w:rsidRPr="00DA313C" w:rsidRDefault="000915C0" w:rsidP="000915C0">
      <w:pPr>
        <w:spacing w:line="36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</w:p>
    <w:p w14:paraId="245EC2DA" w14:textId="77777777" w:rsidR="000915C0" w:rsidRPr="00DA313C" w:rsidRDefault="000915C0" w:rsidP="000915C0">
      <w:pPr>
        <w:spacing w:line="360" w:lineRule="auto"/>
        <w:ind w:firstLineChars="100" w:firstLine="2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313C">
        <w:rPr>
          <w:rFonts w:ascii="Times New Roman" w:hAnsi="Times New Roman" w:cs="Times New Roman"/>
          <w:b/>
          <w:sz w:val="24"/>
          <w:szCs w:val="24"/>
        </w:rPr>
        <w:t>Table S2</w:t>
      </w:r>
      <w:r w:rsidRPr="00DA313C">
        <w:rPr>
          <w:rFonts w:ascii="Times New Roman" w:hAnsi="Times New Roman" w:cs="Times New Roman"/>
          <w:bCs/>
          <w:sz w:val="24"/>
          <w:szCs w:val="24"/>
        </w:rPr>
        <w:t xml:space="preserve">. Primer sequences for </w:t>
      </w:r>
      <w:proofErr w:type="spellStart"/>
      <w:r w:rsidRPr="00DA313C">
        <w:rPr>
          <w:rFonts w:ascii="Times New Roman" w:hAnsi="Times New Roman" w:cs="Times New Roman"/>
          <w:bCs/>
          <w:sz w:val="24"/>
          <w:szCs w:val="24"/>
        </w:rPr>
        <w:t>qRT</w:t>
      </w:r>
      <w:proofErr w:type="spellEnd"/>
      <w:r w:rsidRPr="00DA313C">
        <w:rPr>
          <w:rFonts w:ascii="Times New Roman" w:hAnsi="Times New Roman" w:cs="Times New Roman"/>
          <w:bCs/>
          <w:sz w:val="24"/>
          <w:szCs w:val="24"/>
        </w:rPr>
        <w:t>-PCR</w:t>
      </w:r>
    </w:p>
    <w:tbl>
      <w:tblPr>
        <w:tblStyle w:val="TableGrid"/>
        <w:tblW w:w="9498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447"/>
        <w:gridCol w:w="4083"/>
        <w:gridCol w:w="3968"/>
      </w:tblGrid>
      <w:tr w:rsidR="000915C0" w:rsidRPr="00DA313C" w14:paraId="18C45096" w14:textId="77777777" w:rsidTr="00AC464E">
        <w:trPr>
          <w:trHeight w:val="624"/>
        </w:trPr>
        <w:tc>
          <w:tcPr>
            <w:tcW w:w="1447" w:type="dxa"/>
            <w:tcBorders>
              <w:top w:val="single" w:sz="12" w:space="0" w:color="auto"/>
              <w:bottom w:val="single" w:sz="12" w:space="0" w:color="auto"/>
            </w:tcBorders>
          </w:tcPr>
          <w:p w14:paraId="6265E21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4083" w:type="dxa"/>
            <w:tcBorders>
              <w:top w:val="single" w:sz="12" w:space="0" w:color="auto"/>
              <w:bottom w:val="single" w:sz="12" w:space="0" w:color="auto"/>
            </w:tcBorders>
          </w:tcPr>
          <w:p w14:paraId="79A03FD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(5'-3')</w:t>
            </w:r>
          </w:p>
        </w:tc>
        <w:tc>
          <w:tcPr>
            <w:tcW w:w="3968" w:type="dxa"/>
            <w:tcBorders>
              <w:top w:val="single" w:sz="12" w:space="0" w:color="auto"/>
              <w:bottom w:val="single" w:sz="12" w:space="0" w:color="auto"/>
            </w:tcBorders>
          </w:tcPr>
          <w:p w14:paraId="13BEC62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(5'-3')</w:t>
            </w:r>
          </w:p>
        </w:tc>
      </w:tr>
      <w:tr w:rsidR="000915C0" w:rsidRPr="00DA313C" w14:paraId="347FFB32" w14:textId="77777777" w:rsidTr="00AC464E">
        <w:trPr>
          <w:trHeight w:val="624"/>
        </w:trPr>
        <w:tc>
          <w:tcPr>
            <w:tcW w:w="144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E54477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</w:t>
            </w:r>
            <w:proofErr w:type="spellStart"/>
            <w:r w:rsidRPr="00DA31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Gapdh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47345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CAGTGCCAGCCTCGTCTCAT</w:t>
            </w:r>
          </w:p>
        </w:tc>
        <w:tc>
          <w:tcPr>
            <w:tcW w:w="3968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0AFD4B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AGGGGCCATCCACAGTCTTC</w:t>
            </w:r>
          </w:p>
        </w:tc>
      </w:tr>
      <w:tr w:rsidR="000915C0" w:rsidRPr="00DA313C" w14:paraId="66BF93FB" w14:textId="77777777" w:rsidTr="00AC464E">
        <w:trPr>
          <w:trHeight w:val="624"/>
        </w:trPr>
        <w:tc>
          <w:tcPr>
            <w:tcW w:w="1447" w:type="dxa"/>
            <w:tcBorders>
              <w:top w:val="nil"/>
              <w:bottom w:val="nil"/>
              <w:right w:val="nil"/>
            </w:tcBorders>
            <w:vAlign w:val="center"/>
          </w:tcPr>
          <w:p w14:paraId="2CD4860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r-Col1a1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A4B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CCTCCCAGAACATCACCTATC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</w:tcBorders>
            <w:vAlign w:val="center"/>
          </w:tcPr>
          <w:p w14:paraId="1589E91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GTGCAGCCATCCACAAGC</w:t>
            </w:r>
          </w:p>
        </w:tc>
      </w:tr>
      <w:tr w:rsidR="000915C0" w:rsidRPr="00DA313C" w14:paraId="76BCC77C" w14:textId="77777777" w:rsidTr="00AC464E">
        <w:trPr>
          <w:trHeight w:val="624"/>
        </w:trPr>
        <w:tc>
          <w:tcPr>
            <w:tcW w:w="1447" w:type="dxa"/>
            <w:tcBorders>
              <w:top w:val="nil"/>
              <w:bottom w:val="nil"/>
              <w:right w:val="nil"/>
            </w:tcBorders>
            <w:vAlign w:val="center"/>
          </w:tcPr>
          <w:p w14:paraId="5E9CFDB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r-Runx2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E472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CCCAGCCACCTTTACCTACA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</w:tcBorders>
            <w:vAlign w:val="center"/>
          </w:tcPr>
          <w:p w14:paraId="69BC455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TATGGAGTGCTGCTGGTCTG</w:t>
            </w:r>
          </w:p>
        </w:tc>
      </w:tr>
      <w:tr w:rsidR="000915C0" w:rsidRPr="00DA313C" w14:paraId="61C5CC26" w14:textId="77777777" w:rsidTr="00AC464E">
        <w:trPr>
          <w:trHeight w:val="624"/>
        </w:trPr>
        <w:tc>
          <w:tcPr>
            <w:tcW w:w="1447" w:type="dxa"/>
            <w:tcBorders>
              <w:top w:val="nil"/>
              <w:bottom w:val="nil"/>
              <w:right w:val="nil"/>
            </w:tcBorders>
            <w:vAlign w:val="center"/>
          </w:tcPr>
          <w:p w14:paraId="433DD8AE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r-Alp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E7622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CCAGCAGGTTTCTCTCTTGG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</w:tcBorders>
            <w:vAlign w:val="center"/>
          </w:tcPr>
          <w:p w14:paraId="5DF6D7E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CTGGGAGTCTCATCCTGAGC</w:t>
            </w:r>
          </w:p>
        </w:tc>
      </w:tr>
      <w:tr w:rsidR="000915C0" w:rsidRPr="00DA313C" w14:paraId="2F34799A" w14:textId="77777777" w:rsidTr="00AC464E">
        <w:trPr>
          <w:trHeight w:val="624"/>
        </w:trPr>
        <w:tc>
          <w:tcPr>
            <w:tcW w:w="144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C35CB1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r-</w:t>
            </w:r>
            <w:proofErr w:type="spellStart"/>
            <w:r w:rsidRPr="00DA31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Osx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BCD97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ACTCATCCCTATGGCTCGTG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5EEA4C9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GGTAGGGAGCTGGGTTAAGG</w:t>
            </w:r>
          </w:p>
        </w:tc>
      </w:tr>
    </w:tbl>
    <w:p w14:paraId="0B29E6D6" w14:textId="77777777" w:rsidR="000915C0" w:rsidRPr="00DA313C" w:rsidRDefault="000915C0" w:rsidP="000915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8943B5" w14:textId="77777777" w:rsidR="000915C0" w:rsidRPr="00DA313C" w:rsidRDefault="000915C0" w:rsidP="000915C0">
      <w:pPr>
        <w:spacing w:line="360" w:lineRule="auto"/>
        <w:ind w:firstLineChars="100" w:firstLine="2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313C">
        <w:rPr>
          <w:rFonts w:ascii="Times New Roman" w:hAnsi="Times New Roman" w:cs="Times New Roman"/>
          <w:b/>
          <w:sz w:val="24"/>
          <w:szCs w:val="24"/>
        </w:rPr>
        <w:t>Table S3.</w:t>
      </w:r>
      <w:r w:rsidRPr="00DA31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313C">
        <w:rPr>
          <w:rFonts w:ascii="Times New Roman" w:hAnsi="Times New Roman" w:cs="Times New Roman"/>
          <w:sz w:val="24"/>
          <w:szCs w:val="24"/>
        </w:rPr>
        <w:t>Information for primary antibodies</w:t>
      </w:r>
    </w:p>
    <w:tbl>
      <w:tblPr>
        <w:tblStyle w:val="TableGrid"/>
        <w:tblW w:w="8334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798"/>
        <w:gridCol w:w="2268"/>
        <w:gridCol w:w="2268"/>
      </w:tblGrid>
      <w:tr w:rsidR="000915C0" w:rsidRPr="00DA313C" w14:paraId="68DEA208" w14:textId="77777777" w:rsidTr="00AC464E">
        <w:trPr>
          <w:trHeight w:val="624"/>
        </w:trPr>
        <w:tc>
          <w:tcPr>
            <w:tcW w:w="3798" w:type="dxa"/>
            <w:tcBorders>
              <w:top w:val="single" w:sz="12" w:space="0" w:color="auto"/>
              <w:bottom w:val="single" w:sz="12" w:space="0" w:color="auto"/>
            </w:tcBorders>
          </w:tcPr>
          <w:p w14:paraId="69F757C9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Primary Antibody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0EF9C79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352C1B9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 No.</w:t>
            </w:r>
          </w:p>
        </w:tc>
      </w:tr>
      <w:tr w:rsidR="000915C0" w:rsidRPr="00DA313C" w14:paraId="26F98A7F" w14:textId="77777777" w:rsidTr="00AC464E">
        <w:trPr>
          <w:trHeight w:val="624"/>
        </w:trPr>
        <w:tc>
          <w:tcPr>
            <w:tcW w:w="379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3FFB063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Collagen I/COL1A1 Rabbit 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2A48BF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1D3575EB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A1352</w:t>
            </w:r>
          </w:p>
        </w:tc>
      </w:tr>
      <w:tr w:rsidR="000915C0" w:rsidRPr="00DA313C" w14:paraId="22F1BFDB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4E42E09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RUNX2 Rabbit 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F9C8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4A1501C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A2851</w:t>
            </w:r>
          </w:p>
        </w:tc>
      </w:tr>
      <w:tr w:rsidR="000915C0" w:rsidRPr="00DA313C" w14:paraId="1C63AA95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2F59ED8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Osteopontin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 Rabbit 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498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18592F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A1499</w:t>
            </w:r>
          </w:p>
        </w:tc>
      </w:tr>
      <w:tr w:rsidR="000915C0" w:rsidRPr="00DA313C" w14:paraId="57E34C88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3693C6F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Osteocalcin (BGLAP) Rabbit 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5758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9B9CC6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A6205</w:t>
            </w:r>
          </w:p>
        </w:tc>
      </w:tr>
      <w:tr w:rsidR="000915C0" w:rsidRPr="00DA313C" w14:paraId="4CA1E7D0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45FBD153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 xml:space="preserve">Vinculin Rabbit </w:t>
            </w: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47C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01C062FB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A14193</w:t>
            </w:r>
          </w:p>
        </w:tc>
      </w:tr>
      <w:tr w:rsidR="000915C0" w:rsidRPr="00DA313C" w14:paraId="1A25A5D4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A46EBFB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YAP1 Rabbit </w:t>
            </w:r>
            <w:proofErr w:type="spellStart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pAb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D7EFBA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ABclonal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, China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01469A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</w:tr>
    </w:tbl>
    <w:p w14:paraId="3157630C" w14:textId="77777777" w:rsidR="000915C0" w:rsidRPr="00DA313C" w:rsidRDefault="000915C0" w:rsidP="000915C0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007FA392" w14:textId="77777777" w:rsidR="000915C0" w:rsidRPr="00DA313C" w:rsidRDefault="000915C0" w:rsidP="000915C0">
      <w:pPr>
        <w:spacing w:line="360" w:lineRule="auto"/>
        <w:ind w:firstLineChars="100" w:firstLine="24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313C">
        <w:rPr>
          <w:rFonts w:ascii="Times New Roman" w:hAnsi="Times New Roman" w:cs="Times New Roman"/>
          <w:b/>
          <w:sz w:val="24"/>
          <w:szCs w:val="24"/>
        </w:rPr>
        <w:t>Table S4.</w:t>
      </w:r>
      <w:r w:rsidRPr="00DA313C">
        <w:rPr>
          <w:rFonts w:ascii="Times New Roman" w:hAnsi="Times New Roman" w:cs="Times New Roman"/>
          <w:bCs/>
          <w:sz w:val="24"/>
          <w:szCs w:val="24"/>
        </w:rPr>
        <w:t xml:space="preserve"> Information for </w:t>
      </w:r>
      <w:r w:rsidRPr="00DA313C">
        <w:rPr>
          <w:rFonts w:ascii="Times New Roman" w:hAnsi="Times New Roman" w:cs="Times New Roman"/>
          <w:sz w:val="24"/>
          <w:szCs w:val="24"/>
        </w:rPr>
        <w:t>experimental assay kits</w:t>
      </w:r>
    </w:p>
    <w:tbl>
      <w:tblPr>
        <w:tblStyle w:val="TableGrid"/>
        <w:tblW w:w="8334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3798"/>
        <w:gridCol w:w="2268"/>
        <w:gridCol w:w="2268"/>
      </w:tblGrid>
      <w:tr w:rsidR="000915C0" w:rsidRPr="00DA313C" w14:paraId="1DC278EA" w14:textId="77777777" w:rsidTr="00AC464E">
        <w:trPr>
          <w:trHeight w:val="624"/>
        </w:trPr>
        <w:tc>
          <w:tcPr>
            <w:tcW w:w="3798" w:type="dxa"/>
            <w:tcBorders>
              <w:top w:val="single" w:sz="12" w:space="0" w:color="auto"/>
              <w:bottom w:val="single" w:sz="12" w:space="0" w:color="auto"/>
            </w:tcBorders>
          </w:tcPr>
          <w:p w14:paraId="3BB2D43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Name</w:t>
            </w: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 the kit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683C9A0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8DAD24C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 No.</w:t>
            </w:r>
          </w:p>
        </w:tc>
      </w:tr>
      <w:tr w:rsidR="000915C0" w:rsidRPr="00DA313C" w14:paraId="1AA0F301" w14:textId="77777777" w:rsidTr="00AC464E">
        <w:trPr>
          <w:trHeight w:val="624"/>
        </w:trPr>
        <w:tc>
          <w:tcPr>
            <w:tcW w:w="379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48A5718A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Cell Counting Kit-8 (CCK-8)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E018E62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CBFF182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C0038</w:t>
            </w:r>
          </w:p>
        </w:tc>
      </w:tr>
      <w:tr w:rsidR="000915C0" w:rsidRPr="00DA313C" w14:paraId="588C272C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2B971AB2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Calcein</w:t>
            </w:r>
            <w:proofErr w:type="spellEnd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-AM/PI Double Stain Kit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F46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YEASEN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039725A7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40747ES76</w:t>
            </w:r>
          </w:p>
        </w:tc>
      </w:tr>
      <w:tr w:rsidR="000915C0" w:rsidRPr="00DA313C" w14:paraId="5FF2D46C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13C7A2F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H5N1Alkaline Phosphatase Assay Kit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3D1B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F516094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P0321S</w:t>
            </w:r>
          </w:p>
        </w:tc>
      </w:tr>
      <w:tr w:rsidR="000915C0" w:rsidRPr="00DA313C" w14:paraId="58DB79C8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01CC181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Fluo-4 Calcium Assay Kit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4F091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74DA5B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S1061S</w:t>
            </w:r>
          </w:p>
        </w:tc>
      </w:tr>
      <w:tr w:rsidR="000915C0" w:rsidRPr="00DA313C" w14:paraId="1918AEF2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76DBC3BF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Mitochondrial membrane potential assay kit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6B4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Beyotime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3AD440E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C2006</w:t>
            </w:r>
          </w:p>
        </w:tc>
      </w:tr>
      <w:tr w:rsidR="000915C0" w:rsidRPr="00DA313C" w14:paraId="59F7F5AB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62FC35EE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HiScript</w:t>
            </w:r>
            <w:proofErr w:type="spellEnd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III RT </w:t>
            </w:r>
            <w:proofErr w:type="spellStart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SuperMix</w:t>
            </w:r>
            <w:proofErr w:type="spellEnd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qPCR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D843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Vazyme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84E2BED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R323-01</w:t>
            </w:r>
          </w:p>
        </w:tc>
      </w:tr>
      <w:tr w:rsidR="000915C0" w:rsidRPr="00DA313C" w14:paraId="5F020FE9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nil"/>
              <w:right w:val="nil"/>
            </w:tcBorders>
            <w:vAlign w:val="center"/>
          </w:tcPr>
          <w:p w14:paraId="18988CE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ChamQ</w:t>
            </w:r>
            <w:proofErr w:type="spellEnd"/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Universal SYBR qPCR Master Mix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721B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Vazyme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6EC036C5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</w:tr>
      <w:tr w:rsidR="000915C0" w:rsidRPr="00DA313C" w14:paraId="0AB734E5" w14:textId="77777777" w:rsidTr="00AC464E">
        <w:trPr>
          <w:trHeight w:val="624"/>
        </w:trPr>
        <w:tc>
          <w:tcPr>
            <w:tcW w:w="3798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D2950A8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bCs/>
                <w:sz w:val="24"/>
                <w:szCs w:val="24"/>
              </w:rPr>
              <w:t>Trichrome Stain (Masson) Kit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083643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Sigma-Aldrich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716A4A6" w14:textId="77777777" w:rsidR="000915C0" w:rsidRPr="00DA313C" w:rsidRDefault="000915C0" w:rsidP="00AC464E">
            <w:pPr>
              <w:autoSpaceDE w:val="0"/>
              <w:autoSpaceDN w:val="0"/>
              <w:adjustRightInd w:val="0"/>
              <w:spacing w:beforeLines="50" w:before="120" w:line="360" w:lineRule="auto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13C">
              <w:rPr>
                <w:rFonts w:ascii="Times New Roman" w:hAnsi="Times New Roman" w:cs="Times New Roman"/>
                <w:sz w:val="24"/>
                <w:szCs w:val="24"/>
              </w:rPr>
              <w:t>HT15</w:t>
            </w:r>
          </w:p>
        </w:tc>
      </w:tr>
    </w:tbl>
    <w:p w14:paraId="7ADEB3BD" w14:textId="77777777" w:rsidR="009E3EF9" w:rsidRDefault="009E3EF9"/>
    <w:sectPr w:rsidR="009E3E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C0"/>
    <w:rsid w:val="000915C0"/>
    <w:rsid w:val="0072775E"/>
    <w:rsid w:val="009E3EF9"/>
    <w:rsid w:val="00A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E6625"/>
  <w15:chartTrackingRefBased/>
  <w15:docId w15:val="{D28DFE89-AAA9-435B-8791-EC517386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5C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915C0"/>
    <w:pPr>
      <w:widowControl w:val="0"/>
      <w:spacing w:after="0" w:line="240" w:lineRule="auto"/>
      <w:jc w:val="both"/>
    </w:pPr>
    <w:rPr>
      <w:rFonts w:eastAsiaTheme="minorEastAsia" w:cs="SimSu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ti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" Type="http://schemas.openxmlformats.org/officeDocument/2006/relationships/webSettings" Target="webSettings.xml"/><Relationship Id="rId21" Type="http://schemas.openxmlformats.org/officeDocument/2006/relationships/image" Target="media/image18.tif"/><Relationship Id="rId34" Type="http://schemas.openxmlformats.org/officeDocument/2006/relationships/theme" Target="theme/theme1.xml"/><Relationship Id="rId7" Type="http://schemas.openxmlformats.org/officeDocument/2006/relationships/image" Target="media/image4.ti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image" Target="media/image29.tiff"/><Relationship Id="rId5" Type="http://schemas.openxmlformats.org/officeDocument/2006/relationships/image" Target="media/image2.ti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10" Type="http://schemas.openxmlformats.org/officeDocument/2006/relationships/image" Target="media/image7.tif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" Type="http://schemas.openxmlformats.org/officeDocument/2006/relationships/image" Target="media/image1.tiff"/><Relationship Id="rId9" Type="http://schemas.openxmlformats.org/officeDocument/2006/relationships/image" Target="media/image6.tif"/><Relationship Id="rId14" Type="http://schemas.openxmlformats.org/officeDocument/2006/relationships/image" Target="media/image11.tiff"/><Relationship Id="rId22" Type="http://schemas.openxmlformats.org/officeDocument/2006/relationships/image" Target="media/image19.tif"/><Relationship Id="rId27" Type="http://schemas.openxmlformats.org/officeDocument/2006/relationships/image" Target="media/image24.tiff"/><Relationship Id="rId30" Type="http://schemas.openxmlformats.org/officeDocument/2006/relationships/image" Target="media/image27.tiff"/><Relationship Id="rId8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Ruthramourthy Parandamane (Integra)</dc:creator>
  <cp:keywords/>
  <dc:description/>
  <cp:lastModifiedBy>Ruthramourthy Parandamane (Integra)</cp:lastModifiedBy>
  <cp:revision>1</cp:revision>
  <dcterms:created xsi:type="dcterms:W3CDTF">2024-06-27T06:12:00Z</dcterms:created>
  <dcterms:modified xsi:type="dcterms:W3CDTF">2024-06-27T06:14:00Z</dcterms:modified>
</cp:coreProperties>
</file>