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60EC6" w14:textId="77777777" w:rsidR="006F1BC0" w:rsidRPr="009C58A4" w:rsidRDefault="006F1BC0">
      <w:pPr>
        <w:rPr>
          <w:rFonts w:ascii="Times New Roman" w:hAnsi="Times New Roman"/>
          <w:color w:val="000000" w:themeColor="text1"/>
          <w:sz w:val="24"/>
          <w:szCs w:val="24"/>
        </w:rPr>
      </w:pPr>
      <w:r w:rsidRPr="009C58A4">
        <w:rPr>
          <w:rFonts w:ascii="Times New Roman" w:hAnsi="Times New Roman"/>
          <w:color w:val="000000" w:themeColor="text1"/>
          <w:sz w:val="24"/>
          <w:szCs w:val="24"/>
        </w:rPr>
        <w:t>Supporting Information</w:t>
      </w:r>
    </w:p>
    <w:p w14:paraId="3E31B9D1" w14:textId="77777777" w:rsidR="006F1BC0" w:rsidRPr="009C58A4" w:rsidRDefault="006F1BC0">
      <w:pPr>
        <w:pStyle w:val="1"/>
        <w:rPr>
          <w:rFonts w:ascii="Times New Roman" w:hAnsi="Times New Roman"/>
          <w:color w:val="000000" w:themeColor="text1"/>
          <w:sz w:val="32"/>
          <w:szCs w:val="32"/>
        </w:rPr>
      </w:pPr>
      <w:r w:rsidRPr="009C58A4">
        <w:rPr>
          <w:rFonts w:ascii="Times New Roman" w:hAnsi="Times New Roman"/>
          <w:color w:val="000000" w:themeColor="text1"/>
          <w:sz w:val="32"/>
          <w:szCs w:val="32"/>
        </w:rPr>
        <w:t>A pH-triggered N-oxide polyzwitterionic nano-drug loaded system for the anti-tumor immunity activation research</w:t>
      </w:r>
    </w:p>
    <w:p w14:paraId="14B25262" w14:textId="77777777" w:rsidR="006F1BC0" w:rsidRPr="009C58A4" w:rsidRDefault="006F1BC0">
      <w:pPr>
        <w:rPr>
          <w:rFonts w:ascii="Times New Roman" w:hAnsi="Times New Roman"/>
          <w:color w:val="000000" w:themeColor="text1"/>
          <w:vertAlign w:val="superscript"/>
        </w:rPr>
      </w:pPr>
      <w:r w:rsidRPr="009C58A4">
        <w:rPr>
          <w:rFonts w:ascii="Times New Roman" w:hAnsi="Times New Roman"/>
          <w:color w:val="000000" w:themeColor="text1"/>
        </w:rPr>
        <w:t>Yan Zhao</w:t>
      </w:r>
      <w:r w:rsidRPr="009C58A4">
        <w:rPr>
          <w:rFonts w:ascii="Times New Roman" w:hAnsi="Times New Roman"/>
          <w:color w:val="000000" w:themeColor="text1"/>
          <w:vertAlign w:val="superscript"/>
        </w:rPr>
        <w:t>1</w:t>
      </w:r>
      <w:r w:rsidRPr="009C58A4">
        <w:rPr>
          <w:rFonts w:ascii="Times New Roman" w:hAnsi="Times New Roman"/>
          <w:color w:val="000000" w:themeColor="text1"/>
        </w:rPr>
        <w:t>, Yuansong Bai</w:t>
      </w:r>
      <w:r w:rsidRPr="009C58A4">
        <w:rPr>
          <w:rFonts w:ascii="Times New Roman" w:hAnsi="Times New Roman"/>
          <w:color w:val="000000" w:themeColor="text1"/>
          <w:vertAlign w:val="superscript"/>
        </w:rPr>
        <w:t>1</w:t>
      </w:r>
      <w:r w:rsidRPr="009C58A4">
        <w:rPr>
          <w:rFonts w:ascii="Segoe UI Symbol" w:hAnsi="Segoe UI Symbol" w:cs="Segoe UI Symbol"/>
          <w:color w:val="000000" w:themeColor="text1"/>
          <w:sz w:val="18"/>
          <w:szCs w:val="18"/>
          <w:shd w:val="clear" w:color="auto" w:fill="FFFFFF"/>
          <w:vertAlign w:val="superscript"/>
        </w:rPr>
        <w:t>✉</w:t>
      </w:r>
      <w:r w:rsidRPr="009C58A4">
        <w:rPr>
          <w:rFonts w:ascii="Times New Roman" w:hAnsi="Times New Roman"/>
          <w:color w:val="000000" w:themeColor="text1"/>
        </w:rPr>
        <w:t>, Mei Li</w:t>
      </w:r>
      <w:r w:rsidRPr="009C58A4">
        <w:rPr>
          <w:rFonts w:ascii="Times New Roman" w:hAnsi="Times New Roman"/>
          <w:color w:val="000000" w:themeColor="text1"/>
          <w:vertAlign w:val="superscript"/>
        </w:rPr>
        <w:t>1</w:t>
      </w:r>
      <w:r w:rsidRPr="009C58A4">
        <w:rPr>
          <w:rFonts w:ascii="Times New Roman" w:hAnsi="Times New Roman"/>
          <w:color w:val="000000" w:themeColor="text1"/>
        </w:rPr>
        <w:t>, Xin Nie</w:t>
      </w:r>
      <w:r w:rsidRPr="009C58A4">
        <w:rPr>
          <w:rFonts w:ascii="Times New Roman" w:hAnsi="Times New Roman"/>
          <w:color w:val="000000" w:themeColor="text1"/>
          <w:vertAlign w:val="superscript"/>
        </w:rPr>
        <w:t>2</w:t>
      </w:r>
      <w:r w:rsidRPr="009C58A4">
        <w:rPr>
          <w:rFonts w:ascii="Times New Roman" w:hAnsi="Times New Roman"/>
          <w:color w:val="000000" w:themeColor="text1"/>
        </w:rPr>
        <w:t>, Hao Meng</w:t>
      </w:r>
      <w:r w:rsidRPr="009C58A4">
        <w:rPr>
          <w:rFonts w:ascii="Times New Roman" w:hAnsi="Times New Roman"/>
          <w:color w:val="000000" w:themeColor="text1"/>
          <w:vertAlign w:val="superscript"/>
        </w:rPr>
        <w:t>3</w:t>
      </w:r>
      <w:r w:rsidRPr="009C58A4">
        <w:rPr>
          <w:rFonts w:ascii="Times New Roman" w:hAnsi="Times New Roman"/>
          <w:color w:val="000000" w:themeColor="text1"/>
        </w:rPr>
        <w:t>, Shimizu Shosei</w:t>
      </w:r>
      <w:r w:rsidRPr="009C58A4">
        <w:rPr>
          <w:rFonts w:ascii="Times New Roman" w:hAnsi="Times New Roman"/>
          <w:color w:val="000000" w:themeColor="text1"/>
          <w:vertAlign w:val="superscript"/>
        </w:rPr>
        <w:t>4,5</w:t>
      </w:r>
      <w:r w:rsidRPr="009C58A4">
        <w:rPr>
          <w:rFonts w:ascii="Times New Roman" w:hAnsi="Times New Roman"/>
          <w:color w:val="000000" w:themeColor="text1"/>
        </w:rPr>
        <w:t>, Linlin Liu</w:t>
      </w:r>
      <w:r w:rsidRPr="009C58A4">
        <w:rPr>
          <w:rFonts w:ascii="Times New Roman" w:hAnsi="Times New Roman"/>
          <w:color w:val="000000" w:themeColor="text1"/>
          <w:vertAlign w:val="superscript"/>
        </w:rPr>
        <w:t>3</w:t>
      </w:r>
      <w:r w:rsidRPr="009C58A4">
        <w:rPr>
          <w:rFonts w:ascii="Times New Roman" w:hAnsi="Times New Roman"/>
          <w:color w:val="000000" w:themeColor="text1"/>
        </w:rPr>
        <w:t>, Qingbiao Yang</w:t>
      </w:r>
      <w:r w:rsidRPr="009C58A4">
        <w:rPr>
          <w:rFonts w:ascii="Times New Roman" w:hAnsi="Times New Roman"/>
          <w:color w:val="000000" w:themeColor="text1"/>
          <w:vertAlign w:val="superscript"/>
        </w:rPr>
        <w:t>6</w:t>
      </w:r>
      <w:r w:rsidRPr="009C58A4">
        <w:rPr>
          <w:rFonts w:ascii="Times New Roman" w:hAnsi="Times New Roman"/>
          <w:color w:val="000000" w:themeColor="text1"/>
        </w:rPr>
        <w:t>, Meili Shen</w:t>
      </w:r>
      <w:r w:rsidRPr="009C58A4">
        <w:rPr>
          <w:rFonts w:ascii="Times New Roman" w:hAnsi="Times New Roman"/>
          <w:color w:val="000000" w:themeColor="text1"/>
          <w:vertAlign w:val="superscript"/>
        </w:rPr>
        <w:t>3</w:t>
      </w:r>
      <w:r w:rsidRPr="009C58A4">
        <w:rPr>
          <w:rFonts w:ascii="Segoe UI Symbol" w:hAnsi="Segoe UI Symbol" w:cs="Segoe UI Symbol"/>
          <w:color w:val="000000" w:themeColor="text1"/>
          <w:sz w:val="18"/>
          <w:szCs w:val="18"/>
          <w:shd w:val="clear" w:color="auto" w:fill="FFFFFF"/>
          <w:vertAlign w:val="superscript"/>
        </w:rPr>
        <w:t>✉</w:t>
      </w:r>
      <w:r w:rsidRPr="009C58A4">
        <w:rPr>
          <w:rFonts w:ascii="Times New Roman" w:hAnsi="Times New Roman"/>
          <w:color w:val="000000" w:themeColor="text1"/>
        </w:rPr>
        <w:t>, Yapeng Li</w:t>
      </w:r>
      <w:r w:rsidRPr="009C58A4">
        <w:rPr>
          <w:rFonts w:ascii="Times New Roman" w:hAnsi="Times New Roman"/>
          <w:color w:val="000000" w:themeColor="text1"/>
          <w:vertAlign w:val="superscript"/>
        </w:rPr>
        <w:t>6</w:t>
      </w:r>
      <w:r w:rsidRPr="009C58A4">
        <w:rPr>
          <w:rFonts w:ascii="Segoe UI Symbol" w:hAnsi="Segoe UI Symbol" w:cs="Segoe UI Symbol"/>
          <w:color w:val="000000" w:themeColor="text1"/>
          <w:sz w:val="18"/>
          <w:szCs w:val="18"/>
          <w:shd w:val="clear" w:color="auto" w:fill="FFFFFF"/>
          <w:vertAlign w:val="superscript"/>
        </w:rPr>
        <w:t>✉</w:t>
      </w:r>
    </w:p>
    <w:p w14:paraId="180F29B5" w14:textId="77777777" w:rsidR="006F1BC0" w:rsidRPr="009C58A4" w:rsidRDefault="006F1BC0">
      <w:pPr>
        <w:rPr>
          <w:rFonts w:ascii="Times New Roman" w:hAnsi="Times New Roman"/>
          <w:color w:val="000000" w:themeColor="text1"/>
          <w:sz w:val="18"/>
          <w:szCs w:val="18"/>
          <w:shd w:val="clear" w:color="auto" w:fill="FFFFFF"/>
        </w:rPr>
      </w:pPr>
      <w:r w:rsidRPr="009C58A4">
        <w:rPr>
          <w:rFonts w:ascii="Times New Roman" w:hAnsi="Times New Roman"/>
          <w:color w:val="000000" w:themeColor="text1"/>
          <w:sz w:val="18"/>
          <w:szCs w:val="18"/>
          <w:shd w:val="clear" w:color="auto" w:fill="FFFFFF"/>
          <w:vertAlign w:val="superscript"/>
        </w:rPr>
        <w:t>1</w:t>
      </w:r>
      <w:r w:rsidRPr="009C58A4">
        <w:rPr>
          <w:rFonts w:ascii="Times New Roman" w:hAnsi="Times New Roman"/>
          <w:color w:val="000000" w:themeColor="text1"/>
          <w:sz w:val="18"/>
          <w:szCs w:val="18"/>
          <w:shd w:val="clear" w:color="auto" w:fill="FFFFFF"/>
        </w:rPr>
        <w:t>Department of Oncology and Hematology, China-Japan Union Hospital of Jilin University, Changchun, Jilin, 130033, China.</w:t>
      </w:r>
    </w:p>
    <w:p w14:paraId="18BFCFC3" w14:textId="77777777" w:rsidR="006F1BC0" w:rsidRPr="009C58A4" w:rsidRDefault="006F1BC0">
      <w:pPr>
        <w:rPr>
          <w:rFonts w:ascii="Times New Roman" w:hAnsi="Times New Roman"/>
          <w:color w:val="000000" w:themeColor="text1"/>
          <w:sz w:val="18"/>
          <w:szCs w:val="18"/>
          <w:shd w:val="clear" w:color="auto" w:fill="FFFFFF"/>
        </w:rPr>
      </w:pPr>
      <w:r w:rsidRPr="009C58A4">
        <w:rPr>
          <w:rFonts w:ascii="Times New Roman" w:hAnsi="Times New Roman"/>
          <w:color w:val="000000" w:themeColor="text1"/>
          <w:sz w:val="18"/>
          <w:szCs w:val="18"/>
          <w:shd w:val="clear" w:color="auto" w:fill="FFFFFF"/>
          <w:vertAlign w:val="superscript"/>
        </w:rPr>
        <w:t>2</w:t>
      </w:r>
      <w:r w:rsidRPr="009C58A4">
        <w:rPr>
          <w:rFonts w:ascii="Times New Roman" w:hAnsi="Times New Roman"/>
          <w:color w:val="000000" w:themeColor="text1"/>
          <w:sz w:val="18"/>
          <w:szCs w:val="18"/>
          <w:shd w:val="clear" w:color="auto" w:fill="FFFFFF"/>
        </w:rPr>
        <w:t>Stroke center</w:t>
      </w:r>
      <w:r w:rsidRPr="009C58A4">
        <w:rPr>
          <w:rFonts w:ascii="Times New Roman" w:hAnsi="Times New Roman" w:hint="eastAsia"/>
          <w:color w:val="000000" w:themeColor="text1"/>
          <w:sz w:val="18"/>
          <w:szCs w:val="18"/>
          <w:shd w:val="clear" w:color="auto" w:fill="FFFFFF"/>
        </w:rPr>
        <w:t>,</w:t>
      </w:r>
      <w:r w:rsidRPr="009C58A4">
        <w:rPr>
          <w:rFonts w:ascii="Times New Roman" w:hAnsi="Times New Roman"/>
          <w:color w:val="000000" w:themeColor="text1"/>
          <w:sz w:val="18"/>
          <w:szCs w:val="18"/>
          <w:shd w:val="clear" w:color="auto" w:fill="FFFFFF"/>
        </w:rPr>
        <w:t xml:space="preserve"> Jilin Electric Power Hospital, Changchun, Jilin, 130022, China.</w:t>
      </w:r>
    </w:p>
    <w:p w14:paraId="11921880" w14:textId="77777777" w:rsidR="006F1BC0" w:rsidRPr="009C58A4" w:rsidRDefault="006F1BC0">
      <w:pPr>
        <w:rPr>
          <w:rFonts w:ascii="Times New Roman" w:hAnsi="Times New Roman"/>
          <w:color w:val="000000" w:themeColor="text1"/>
          <w:sz w:val="18"/>
          <w:szCs w:val="18"/>
          <w:shd w:val="clear" w:color="auto" w:fill="FFFFFF"/>
        </w:rPr>
      </w:pPr>
      <w:r w:rsidRPr="009C58A4">
        <w:rPr>
          <w:rFonts w:ascii="Times New Roman" w:hAnsi="Times New Roman"/>
          <w:color w:val="000000" w:themeColor="text1"/>
          <w:sz w:val="18"/>
          <w:szCs w:val="18"/>
          <w:shd w:val="clear" w:color="auto" w:fill="FFFFFF"/>
          <w:vertAlign w:val="superscript"/>
        </w:rPr>
        <w:t>3</w:t>
      </w:r>
      <w:r w:rsidRPr="009C58A4">
        <w:rPr>
          <w:rFonts w:ascii="Times New Roman" w:hAnsi="Times New Roman"/>
          <w:color w:val="000000" w:themeColor="text1"/>
          <w:sz w:val="18"/>
          <w:szCs w:val="18"/>
          <w:shd w:val="clear" w:color="auto" w:fill="FFFFFF"/>
        </w:rPr>
        <w:t>Department of Radiation Oncology</w:t>
      </w:r>
      <w:r w:rsidRPr="009C58A4">
        <w:rPr>
          <w:rFonts w:ascii="Times New Roman" w:hAnsi="Times New Roman" w:hint="eastAsia"/>
          <w:color w:val="000000" w:themeColor="text1"/>
          <w:sz w:val="18"/>
          <w:szCs w:val="18"/>
          <w:shd w:val="clear" w:color="auto" w:fill="FFFFFF"/>
        </w:rPr>
        <w:t xml:space="preserve">, </w:t>
      </w:r>
      <w:r w:rsidRPr="009C58A4">
        <w:rPr>
          <w:rFonts w:ascii="Times New Roman" w:hAnsi="Times New Roman"/>
          <w:color w:val="000000" w:themeColor="text1"/>
          <w:sz w:val="18"/>
          <w:szCs w:val="18"/>
          <w:shd w:val="clear" w:color="auto" w:fill="FFFFFF"/>
        </w:rPr>
        <w:t>China-Japan Union Hospital of Jilin University, Changchun, Jilin, 130033, China.</w:t>
      </w:r>
    </w:p>
    <w:p w14:paraId="2CC2A3DE" w14:textId="77777777" w:rsidR="006F1BC0" w:rsidRPr="009C58A4" w:rsidRDefault="006F1BC0">
      <w:pPr>
        <w:rPr>
          <w:rFonts w:ascii="Times New Roman" w:hAnsi="Times New Roman"/>
          <w:color w:val="000000" w:themeColor="text1"/>
          <w:sz w:val="18"/>
          <w:szCs w:val="18"/>
          <w:shd w:val="clear" w:color="auto" w:fill="FFFFFF"/>
          <w:vertAlign w:val="superscript"/>
        </w:rPr>
      </w:pPr>
      <w:r w:rsidRPr="009C58A4">
        <w:rPr>
          <w:rFonts w:ascii="Times New Roman" w:hAnsi="Times New Roman"/>
          <w:color w:val="000000" w:themeColor="text1"/>
          <w:sz w:val="18"/>
          <w:szCs w:val="18"/>
          <w:shd w:val="clear" w:color="auto" w:fill="FFFFFF"/>
          <w:vertAlign w:val="superscript"/>
        </w:rPr>
        <w:t>4</w:t>
      </w:r>
      <w:r w:rsidRPr="009C58A4">
        <w:rPr>
          <w:rFonts w:ascii="Times New Roman" w:hAnsi="Times New Roman"/>
          <w:color w:val="000000" w:themeColor="text1"/>
          <w:sz w:val="18"/>
          <w:szCs w:val="18"/>
          <w:shd w:val="clear" w:color="auto" w:fill="FFFFFF"/>
        </w:rPr>
        <w:t>Pediatric Radiation Therapy Center/Pediatric Proton Beam Therapy Center, University of Tsukuba Hospital, Tsukuba,3050005</w:t>
      </w:r>
      <w:r w:rsidRPr="009C58A4">
        <w:rPr>
          <w:rFonts w:ascii="Times New Roman" w:hAnsi="Times New Roman" w:hint="eastAsia"/>
          <w:color w:val="000000" w:themeColor="text1"/>
          <w:sz w:val="18"/>
          <w:szCs w:val="18"/>
          <w:shd w:val="clear" w:color="auto" w:fill="FFFFFF"/>
        </w:rPr>
        <w:t>,</w:t>
      </w:r>
      <w:r w:rsidRPr="009C58A4">
        <w:rPr>
          <w:rFonts w:ascii="Times New Roman" w:hAnsi="Times New Roman"/>
          <w:color w:val="000000" w:themeColor="text1"/>
          <w:sz w:val="18"/>
          <w:szCs w:val="18"/>
          <w:shd w:val="clear" w:color="auto" w:fill="FFFFFF"/>
        </w:rPr>
        <w:t xml:space="preserve"> Japan.</w:t>
      </w:r>
    </w:p>
    <w:p w14:paraId="42154C6C" w14:textId="77777777" w:rsidR="006F1BC0" w:rsidRPr="009C58A4" w:rsidRDefault="006F1BC0">
      <w:pPr>
        <w:rPr>
          <w:rFonts w:ascii="Times New Roman" w:hAnsi="Times New Roman"/>
          <w:color w:val="000000" w:themeColor="text1"/>
          <w:sz w:val="18"/>
          <w:szCs w:val="18"/>
          <w:shd w:val="clear" w:color="auto" w:fill="FFFFFF"/>
        </w:rPr>
      </w:pPr>
      <w:r w:rsidRPr="009C58A4">
        <w:rPr>
          <w:rFonts w:ascii="Times New Roman" w:hAnsi="Times New Roman"/>
          <w:color w:val="000000" w:themeColor="text1"/>
          <w:sz w:val="18"/>
          <w:szCs w:val="18"/>
          <w:shd w:val="clear" w:color="auto" w:fill="FFFFFF"/>
          <w:vertAlign w:val="superscript"/>
        </w:rPr>
        <w:t>5</w:t>
      </w:r>
      <w:r w:rsidRPr="009C58A4">
        <w:rPr>
          <w:rFonts w:ascii="Times New Roman" w:hAnsi="Times New Roman"/>
          <w:color w:val="000000" w:themeColor="text1"/>
          <w:sz w:val="18"/>
          <w:szCs w:val="18"/>
          <w:shd w:val="clear" w:color="auto" w:fill="FFFFFF"/>
        </w:rPr>
        <w:t>Hebei Yizhou Cancer Hospital.</w:t>
      </w:r>
      <w:r w:rsidRPr="009C58A4">
        <w:rPr>
          <w:color w:val="000000" w:themeColor="text1"/>
        </w:rPr>
        <w:t xml:space="preserve"> </w:t>
      </w:r>
      <w:r w:rsidRPr="009C58A4">
        <w:rPr>
          <w:rFonts w:ascii="Times New Roman" w:hAnsi="Times New Roman"/>
          <w:color w:val="000000" w:themeColor="text1"/>
          <w:sz w:val="18"/>
          <w:szCs w:val="18"/>
          <w:shd w:val="clear" w:color="auto" w:fill="FFFFFF"/>
        </w:rPr>
        <w:t>Zhuozhou, Hebei, 072750, China.</w:t>
      </w:r>
    </w:p>
    <w:p w14:paraId="46219DBB" w14:textId="77777777" w:rsidR="006F1BC0" w:rsidRPr="009C58A4" w:rsidRDefault="006F1BC0">
      <w:pPr>
        <w:rPr>
          <w:rFonts w:ascii="Times New Roman" w:hAnsi="Times New Roman"/>
          <w:color w:val="000000" w:themeColor="text1"/>
          <w:sz w:val="18"/>
          <w:szCs w:val="18"/>
          <w:shd w:val="clear" w:color="auto" w:fill="FFFFFF"/>
        </w:rPr>
      </w:pPr>
      <w:r w:rsidRPr="009C58A4">
        <w:rPr>
          <w:rFonts w:ascii="Times New Roman" w:hAnsi="Times New Roman"/>
          <w:color w:val="000000" w:themeColor="text1"/>
          <w:sz w:val="18"/>
          <w:szCs w:val="18"/>
          <w:shd w:val="clear" w:color="auto" w:fill="FFFFFF"/>
          <w:vertAlign w:val="superscript"/>
        </w:rPr>
        <w:t>6</w:t>
      </w:r>
      <w:r w:rsidRPr="009C58A4">
        <w:rPr>
          <w:rFonts w:ascii="Times New Roman" w:hAnsi="Times New Roman"/>
          <w:color w:val="000000" w:themeColor="text1"/>
          <w:sz w:val="18"/>
          <w:szCs w:val="18"/>
          <w:shd w:val="clear" w:color="auto" w:fill="FFFFFF"/>
        </w:rPr>
        <w:t>Key Laboratory of Special Engineering Plastics Ministry of Education, College of Chemistry, Jilin University, Changchun, Jilin, 130012, China.</w:t>
      </w:r>
    </w:p>
    <w:p w14:paraId="12ACE840" w14:textId="77777777" w:rsidR="006F1BC0" w:rsidRPr="009C58A4" w:rsidRDefault="006F1BC0">
      <w:pPr>
        <w:rPr>
          <w:rFonts w:ascii="Times New Roman" w:hAnsi="Times New Roman"/>
          <w:color w:val="000000" w:themeColor="text1"/>
          <w:sz w:val="18"/>
          <w:szCs w:val="18"/>
          <w:shd w:val="clear" w:color="auto" w:fill="FFFFFF"/>
        </w:rPr>
      </w:pPr>
      <w:r w:rsidRPr="009C58A4">
        <w:rPr>
          <w:rFonts w:ascii="Times New Roman" w:hAnsi="Times New Roman"/>
          <w:color w:val="000000" w:themeColor="text1"/>
          <w:sz w:val="18"/>
          <w:szCs w:val="18"/>
          <w:shd w:val="clear" w:color="auto" w:fill="FFFFFF"/>
        </w:rPr>
        <w:t xml:space="preserve">Corresponding authors: Yuansong Bai, </w:t>
      </w:r>
      <w:hyperlink r:id="rId6" w:history="1">
        <w:r w:rsidRPr="009C58A4">
          <w:rPr>
            <w:rFonts w:ascii="Times New Roman" w:hAnsi="Times New Roman"/>
            <w:color w:val="000000" w:themeColor="text1"/>
            <w:sz w:val="18"/>
            <w:szCs w:val="18"/>
            <w:shd w:val="clear" w:color="auto" w:fill="FFFFFF"/>
          </w:rPr>
          <w:t>baiys@jlu.edu.cn</w:t>
        </w:r>
      </w:hyperlink>
      <w:r w:rsidRPr="009C58A4">
        <w:rPr>
          <w:rFonts w:ascii="Times New Roman" w:hAnsi="Times New Roman"/>
          <w:color w:val="000000" w:themeColor="text1"/>
          <w:sz w:val="18"/>
          <w:szCs w:val="18"/>
          <w:shd w:val="clear" w:color="auto" w:fill="FFFFFF"/>
        </w:rPr>
        <w:t>; Address: Department of Oncology and Hematology, China-Japan Friendship Hospital, Jilin University, Changchun, Jilin, 130033, China. Meili Shen, shenmeili@jlu.edu.cn. Department of Radiation Oncology</w:t>
      </w:r>
      <w:r w:rsidRPr="009C58A4">
        <w:rPr>
          <w:rFonts w:ascii="Times New Roman" w:hAnsi="Times New Roman" w:hint="eastAsia"/>
          <w:color w:val="000000" w:themeColor="text1"/>
          <w:sz w:val="18"/>
          <w:szCs w:val="18"/>
          <w:shd w:val="clear" w:color="auto" w:fill="FFFFFF"/>
        </w:rPr>
        <w:t xml:space="preserve">, </w:t>
      </w:r>
      <w:r w:rsidRPr="009C58A4">
        <w:rPr>
          <w:rFonts w:ascii="Times New Roman" w:hAnsi="Times New Roman"/>
          <w:color w:val="000000" w:themeColor="text1"/>
          <w:sz w:val="18"/>
          <w:szCs w:val="18"/>
          <w:shd w:val="clear" w:color="auto" w:fill="FFFFFF"/>
        </w:rPr>
        <w:t xml:space="preserve">China-Japan Union Hospital of Jilin University, Changchun, Jilin, 130033, China. Yapeng Li, </w:t>
      </w:r>
      <w:hyperlink r:id="rId7" w:history="1">
        <w:r w:rsidRPr="009C58A4">
          <w:rPr>
            <w:rStyle w:val="a8"/>
            <w:rFonts w:ascii="Times New Roman" w:hAnsi="Times New Roman"/>
            <w:color w:val="000000" w:themeColor="text1"/>
            <w:sz w:val="18"/>
            <w:szCs w:val="18"/>
            <w:shd w:val="clear" w:color="auto" w:fill="FFFFFF"/>
          </w:rPr>
          <w:t>liyapeng@jlu.edu.cn</w:t>
        </w:r>
      </w:hyperlink>
      <w:r w:rsidRPr="009C58A4">
        <w:rPr>
          <w:rFonts w:ascii="Times New Roman" w:hAnsi="Times New Roman"/>
          <w:color w:val="000000" w:themeColor="text1"/>
          <w:sz w:val="18"/>
          <w:szCs w:val="18"/>
          <w:shd w:val="clear" w:color="auto" w:fill="FFFFFF"/>
        </w:rPr>
        <w:t>. Key Laboratory of Special Engineering Plastics Ministry of Education, College of Chemistry, Jilin University, Changchun, Jilin, 130012, China. Tel./Fax: +86 431 85168238.</w:t>
      </w:r>
    </w:p>
    <w:p w14:paraId="0E56A683" w14:textId="77777777" w:rsidR="006F1BC0" w:rsidRPr="009C58A4" w:rsidRDefault="006F1BC0">
      <w:pPr>
        <w:pStyle w:val="2"/>
        <w:rPr>
          <w:rFonts w:ascii="Times New Roman" w:hAnsi="Times New Roman"/>
          <w:color w:val="000000" w:themeColor="text1"/>
          <w:sz w:val="28"/>
          <w:szCs w:val="28"/>
          <w:shd w:val="clear" w:color="auto" w:fill="FFFFFF"/>
        </w:rPr>
      </w:pPr>
      <w:r w:rsidRPr="009C58A4">
        <w:rPr>
          <w:rFonts w:ascii="Times New Roman" w:hAnsi="Times New Roman"/>
          <w:color w:val="000000" w:themeColor="text1"/>
          <w:sz w:val="28"/>
          <w:szCs w:val="28"/>
        </w:rPr>
        <w:t xml:space="preserve">Materials and methods </w:t>
      </w:r>
    </w:p>
    <w:p w14:paraId="2D3E991A" w14:textId="77777777" w:rsidR="006F1BC0" w:rsidRPr="009C58A4" w:rsidRDefault="006F1BC0">
      <w:pPr>
        <w:pStyle w:val="3"/>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Materials</w:t>
      </w:r>
    </w:p>
    <w:p w14:paraId="5584460C" w14:textId="77777777" w:rsidR="00B27C61" w:rsidRPr="009C58A4" w:rsidRDefault="006F1BC0" w:rsidP="00B27C61">
      <w:pPr>
        <w:spacing w:line="360" w:lineRule="auto"/>
        <w:ind w:firstLineChars="200" w:firstLine="480"/>
        <w:rPr>
          <w:rFonts w:ascii="Times New Roman" w:hAnsi="Times New Roman"/>
          <w:color w:val="000000" w:themeColor="text1"/>
          <w:sz w:val="24"/>
          <w:szCs w:val="24"/>
          <w:shd w:val="clear" w:color="auto" w:fill="FFFFFF"/>
        </w:rPr>
      </w:pPr>
      <w:r w:rsidRPr="009C58A4">
        <w:rPr>
          <w:rFonts w:ascii="Times New Roman" w:hAnsi="Times New Roman"/>
          <w:color w:val="000000" w:themeColor="text1"/>
          <w:sz w:val="24"/>
          <w:szCs w:val="24"/>
          <w:shd w:val="clear" w:color="auto" w:fill="FFFFFF"/>
        </w:rPr>
        <w:t>2-(Diethylamino)ethyl methacrylate (DEA)</w:t>
      </w:r>
      <w:r w:rsidRPr="009C58A4">
        <w:rPr>
          <w:rFonts w:ascii="Times New Roman" w:eastAsia="宋体" w:hAnsi="Times New Roman"/>
          <w:color w:val="000000" w:themeColor="text1"/>
          <w:sz w:val="24"/>
          <w:szCs w:val="24"/>
        </w:rPr>
        <w:t>,</w:t>
      </w:r>
      <w:r w:rsidRPr="009C58A4">
        <w:rPr>
          <w:rFonts w:ascii="Times New Roman" w:hAnsi="Times New Roman"/>
          <w:color w:val="000000" w:themeColor="text1"/>
          <w:sz w:val="24"/>
          <w:szCs w:val="24"/>
          <w:shd w:val="clear" w:color="auto" w:fill="FFFFFF"/>
        </w:rPr>
        <w:t xml:space="preserve"> glycidyl methacrylate </w:t>
      </w:r>
      <w:r w:rsidRPr="009C58A4">
        <w:rPr>
          <w:rFonts w:ascii="Times New Roman" w:eastAsia="宋体" w:hAnsi="Times New Roman"/>
          <w:color w:val="000000" w:themeColor="text1"/>
          <w:sz w:val="24"/>
          <w:szCs w:val="24"/>
        </w:rPr>
        <w:t xml:space="preserve">(GMA), </w:t>
      </w:r>
      <w:r w:rsidRPr="009C58A4">
        <w:rPr>
          <w:rFonts w:ascii="Times New Roman" w:hAnsi="Times New Roman"/>
          <w:color w:val="000000" w:themeColor="text1"/>
          <w:sz w:val="24"/>
          <w:szCs w:val="24"/>
          <w:shd w:val="clear" w:color="auto" w:fill="FFFFFF"/>
        </w:rPr>
        <w:t>2,2'-Bipyridyl (bpy)</w:t>
      </w:r>
      <w:r w:rsidRPr="009C58A4">
        <w:rPr>
          <w:rFonts w:ascii="Times New Roman" w:eastAsia="宋体" w:hAnsi="Times New Roman"/>
          <w:color w:val="000000" w:themeColor="text1"/>
          <w:sz w:val="24"/>
          <w:szCs w:val="24"/>
        </w:rPr>
        <w:t xml:space="preserve">, </w:t>
      </w:r>
      <w:r w:rsidRPr="009C58A4">
        <w:rPr>
          <w:rFonts w:ascii="Times New Roman" w:hAnsi="Times New Roman"/>
          <w:color w:val="000000" w:themeColor="text1"/>
          <w:sz w:val="24"/>
          <w:szCs w:val="24"/>
          <w:shd w:val="clear" w:color="auto" w:fill="FFFFFF"/>
        </w:rPr>
        <w:t>cuprous chloride (</w:t>
      </w:r>
      <w:r w:rsidRPr="009C58A4">
        <w:rPr>
          <w:rFonts w:ascii="Times New Roman" w:eastAsia="宋体" w:hAnsi="Times New Roman"/>
          <w:color w:val="000000" w:themeColor="text1"/>
          <w:sz w:val="24"/>
          <w:szCs w:val="24"/>
        </w:rPr>
        <w:t xml:space="preserve">CuCl), </w:t>
      </w:r>
      <w:r w:rsidRPr="009C58A4">
        <w:rPr>
          <w:rFonts w:ascii="Times New Roman" w:hAnsi="Times New Roman"/>
          <w:color w:val="000000" w:themeColor="text1"/>
          <w:sz w:val="24"/>
          <w:szCs w:val="24"/>
          <w:shd w:val="clear" w:color="auto" w:fill="FFFFFF"/>
        </w:rPr>
        <w:t xml:space="preserve">4-Dimethylaminopyridine </w:t>
      </w:r>
      <w:r w:rsidRPr="009C58A4">
        <w:rPr>
          <w:rFonts w:ascii="Times New Roman" w:hAnsi="Times New Roman" w:hint="eastAsia"/>
          <w:color w:val="000000" w:themeColor="text1"/>
          <w:sz w:val="24"/>
          <w:szCs w:val="24"/>
          <w:shd w:val="clear" w:color="auto" w:fill="FFFFFF"/>
        </w:rPr>
        <w:t>(</w:t>
      </w:r>
      <w:r w:rsidRPr="009C58A4">
        <w:rPr>
          <w:rFonts w:ascii="Times New Roman" w:hAnsi="Times New Roman"/>
          <w:color w:val="000000" w:themeColor="text1"/>
          <w:sz w:val="24"/>
          <w:szCs w:val="24"/>
          <w:shd w:val="clear" w:color="auto" w:fill="FFFFFF"/>
        </w:rPr>
        <w:t>DMAP</w:t>
      </w:r>
      <w:r w:rsidRPr="009C58A4">
        <w:rPr>
          <w:rFonts w:ascii="Times New Roman" w:hAnsi="Times New Roman" w:hint="eastAsia"/>
          <w:color w:val="000000" w:themeColor="text1"/>
          <w:sz w:val="24"/>
          <w:szCs w:val="24"/>
          <w:shd w:val="clear" w:color="auto" w:fill="FFFFFF"/>
        </w:rPr>
        <w:t>)</w:t>
      </w:r>
      <w:r w:rsidRPr="009C58A4">
        <w:rPr>
          <w:rFonts w:ascii="Times New Roman" w:hAnsi="Times New Roman"/>
          <w:color w:val="000000" w:themeColor="text1"/>
          <w:sz w:val="24"/>
          <w:szCs w:val="24"/>
          <w:shd w:val="clear" w:color="auto" w:fill="FFFFFF"/>
        </w:rPr>
        <w:t>,</w:t>
      </w:r>
      <w:r w:rsidRPr="009C58A4">
        <w:rPr>
          <w:rFonts w:ascii="Times New Roman" w:eastAsia="宋体" w:hAnsi="Times New Roman"/>
          <w:color w:val="000000" w:themeColor="text1"/>
          <w:sz w:val="24"/>
          <w:szCs w:val="24"/>
        </w:rPr>
        <w:t xml:space="preserve"> HBTU</w:t>
      </w:r>
      <w:r w:rsidRPr="009C58A4">
        <w:rPr>
          <w:rFonts w:ascii="Times New Roman" w:hAnsi="Times New Roman"/>
          <w:color w:val="000000" w:themeColor="text1"/>
          <w:sz w:val="24"/>
          <w:szCs w:val="24"/>
          <w:shd w:val="clear" w:color="auto" w:fill="FFFFFF"/>
        </w:rPr>
        <w:t xml:space="preserve">, N,N-Diisopropylethylamine </w:t>
      </w:r>
      <w:r w:rsidRPr="009C58A4">
        <w:rPr>
          <w:rFonts w:ascii="Times New Roman" w:hAnsi="Times New Roman" w:hint="eastAsia"/>
          <w:color w:val="000000" w:themeColor="text1"/>
          <w:sz w:val="24"/>
          <w:szCs w:val="24"/>
          <w:shd w:val="clear" w:color="auto" w:fill="FFFFFF"/>
        </w:rPr>
        <w:t>(</w:t>
      </w:r>
      <w:r w:rsidRPr="009C58A4">
        <w:rPr>
          <w:rFonts w:ascii="Times New Roman" w:hAnsi="Times New Roman"/>
          <w:color w:val="000000" w:themeColor="text1"/>
          <w:sz w:val="24"/>
          <w:szCs w:val="24"/>
          <w:shd w:val="clear" w:color="auto" w:fill="FFFFFF"/>
        </w:rPr>
        <w:t>DIPEA</w:t>
      </w:r>
      <w:r w:rsidRPr="009C58A4">
        <w:rPr>
          <w:rFonts w:ascii="Times New Roman" w:hAnsi="Times New Roman" w:hint="eastAsia"/>
          <w:color w:val="000000" w:themeColor="text1"/>
          <w:sz w:val="24"/>
          <w:szCs w:val="24"/>
          <w:shd w:val="clear" w:color="auto" w:fill="FFFFFF"/>
        </w:rPr>
        <w:t>)</w:t>
      </w:r>
      <w:r w:rsidRPr="009C58A4">
        <w:rPr>
          <w:rFonts w:ascii="Times New Roman" w:eastAsia="宋体" w:hAnsi="Times New Roman"/>
          <w:color w:val="000000" w:themeColor="text1"/>
          <w:sz w:val="24"/>
          <w:szCs w:val="24"/>
        </w:rPr>
        <w:t xml:space="preserve">, </w:t>
      </w:r>
      <w:r w:rsidRPr="009C58A4">
        <w:rPr>
          <w:rFonts w:ascii="Times New Roman" w:hAnsi="Times New Roman"/>
          <w:color w:val="000000" w:themeColor="text1"/>
          <w:sz w:val="24"/>
          <w:szCs w:val="24"/>
          <w:shd w:val="clear" w:color="auto" w:fill="FFFFFF"/>
        </w:rPr>
        <w:t>Cur</w:t>
      </w:r>
      <w:r w:rsidRPr="009C58A4">
        <w:rPr>
          <w:rFonts w:ascii="Times New Roman" w:eastAsia="宋体" w:hAnsi="Times New Roman"/>
          <w:color w:val="000000" w:themeColor="text1"/>
          <w:sz w:val="24"/>
          <w:szCs w:val="24"/>
        </w:rPr>
        <w:t>,</w:t>
      </w:r>
      <w:r w:rsidRPr="009C58A4">
        <w:rPr>
          <w:rFonts w:ascii="Times New Roman" w:hAnsi="Times New Roman"/>
          <w:color w:val="000000" w:themeColor="text1"/>
          <w:sz w:val="24"/>
          <w:szCs w:val="24"/>
          <w:shd w:val="clear" w:color="auto" w:fill="FFFFFF"/>
        </w:rPr>
        <w:t xml:space="preserve"> ginsenoside Rg3</w:t>
      </w:r>
      <w:r w:rsidRPr="009C58A4">
        <w:rPr>
          <w:rFonts w:ascii="Times New Roman" w:eastAsia="宋体" w:hAnsi="Times New Roman"/>
          <w:color w:val="000000" w:themeColor="text1"/>
          <w:sz w:val="24"/>
          <w:szCs w:val="24"/>
        </w:rPr>
        <w:t xml:space="preserve">, </w:t>
      </w:r>
      <w:r w:rsidRPr="009C58A4">
        <w:rPr>
          <w:rFonts w:ascii="Times New Roman" w:hAnsi="Times New Roman"/>
          <w:color w:val="000000" w:themeColor="text1"/>
          <w:sz w:val="24"/>
          <w:szCs w:val="24"/>
          <w:shd w:val="clear" w:color="auto" w:fill="FFFFFF"/>
        </w:rPr>
        <w:t>genistein</w:t>
      </w:r>
      <w:r w:rsidRPr="009C58A4">
        <w:rPr>
          <w:rFonts w:ascii="Times New Roman" w:eastAsia="宋体" w:hAnsi="Times New Roman"/>
          <w:color w:val="000000" w:themeColor="text1"/>
          <w:sz w:val="24"/>
          <w:szCs w:val="24"/>
        </w:rPr>
        <w:t xml:space="preserve">, </w:t>
      </w:r>
      <w:r w:rsidRPr="009C58A4">
        <w:rPr>
          <w:rFonts w:ascii="Times New Roman" w:hAnsi="Times New Roman"/>
          <w:color w:val="000000" w:themeColor="text1"/>
          <w:sz w:val="24"/>
          <w:szCs w:val="24"/>
        </w:rPr>
        <w:t>5-(N,N-Hexamethylene)-amiloride</w:t>
      </w:r>
      <w:r w:rsidRPr="009C58A4">
        <w:rPr>
          <w:rFonts w:ascii="Times New Roman" w:eastAsia="宋体" w:hAnsi="Times New Roman"/>
          <w:color w:val="000000" w:themeColor="text1"/>
          <w:sz w:val="24"/>
          <w:szCs w:val="24"/>
        </w:rPr>
        <w:t xml:space="preserve">, </w:t>
      </w:r>
      <w:r w:rsidRPr="009C58A4">
        <w:rPr>
          <w:rFonts w:ascii="Times New Roman" w:hAnsi="Times New Roman"/>
          <w:color w:val="000000" w:themeColor="text1"/>
          <w:sz w:val="24"/>
          <w:szCs w:val="24"/>
          <w:shd w:val="clear" w:color="auto" w:fill="FFFFFF"/>
        </w:rPr>
        <w:t>ethyl α-bromoisobutyrate, 5-Hexynoic acid (5-HA)</w:t>
      </w:r>
      <w:r w:rsidRPr="009C58A4">
        <w:rPr>
          <w:rFonts w:ascii="Times New Roman" w:hAnsi="Times New Roman"/>
          <w:color w:val="000000" w:themeColor="text1"/>
          <w:sz w:val="24"/>
          <w:szCs w:val="24"/>
        </w:rPr>
        <w:t xml:space="preserve"> were purchased from Aladdin Chemistry Co, Ltd. (Shanghai, China). </w:t>
      </w:r>
      <w:r w:rsidRPr="009C58A4">
        <w:rPr>
          <w:rFonts w:ascii="Times New Roman" w:eastAsia="宋体" w:hAnsi="Times New Roman"/>
          <w:color w:val="000000" w:themeColor="text1"/>
          <w:sz w:val="24"/>
          <w:szCs w:val="24"/>
        </w:rPr>
        <w:t xml:space="preserve">HOBt and </w:t>
      </w:r>
      <w:r w:rsidRPr="009C58A4">
        <w:rPr>
          <w:rFonts w:ascii="Times New Roman" w:hAnsi="Times New Roman"/>
          <w:color w:val="000000" w:themeColor="text1"/>
          <w:sz w:val="24"/>
          <w:szCs w:val="24"/>
          <w:shd w:val="clear" w:color="auto" w:fill="FFFFFF"/>
        </w:rPr>
        <w:t xml:space="preserve">wortmannin </w:t>
      </w:r>
      <w:r w:rsidRPr="009C58A4">
        <w:rPr>
          <w:rFonts w:ascii="Times New Roman" w:hAnsi="Times New Roman"/>
          <w:color w:val="000000" w:themeColor="text1"/>
          <w:sz w:val="24"/>
          <w:szCs w:val="24"/>
        </w:rPr>
        <w:t xml:space="preserve">were ordered from Macklin Biochemical Technology Co, Ltd. (Shanghai, China). </w:t>
      </w:r>
      <w:r w:rsidRPr="009C58A4">
        <w:rPr>
          <w:rFonts w:ascii="Times New Roman" w:eastAsia="宋体" w:hAnsi="Times New Roman"/>
          <w:color w:val="000000" w:themeColor="text1"/>
          <w:sz w:val="24"/>
          <w:szCs w:val="24"/>
        </w:rPr>
        <w:t xml:space="preserve">30% hydrogen peroxide and chlorpromazine </w:t>
      </w:r>
      <w:r w:rsidRPr="009C58A4">
        <w:rPr>
          <w:rFonts w:ascii="Times New Roman" w:hAnsi="Times New Roman"/>
          <w:color w:val="000000" w:themeColor="text1"/>
          <w:sz w:val="24"/>
          <w:szCs w:val="24"/>
        </w:rPr>
        <w:t>were ordered</w:t>
      </w:r>
      <w:r w:rsidRPr="009C58A4">
        <w:rPr>
          <w:rFonts w:ascii="Times New Roman" w:eastAsia="宋体" w:hAnsi="Times New Roman"/>
          <w:color w:val="000000" w:themeColor="text1"/>
          <w:sz w:val="24"/>
          <w:szCs w:val="24"/>
        </w:rPr>
        <w:t xml:space="preserve"> from Kaiyuan, China and J&amp;K Chemical.</w:t>
      </w:r>
      <w:r w:rsidRPr="009C58A4">
        <w:rPr>
          <w:rFonts w:ascii="Times New Roman" w:hAnsi="Times New Roman"/>
          <w:color w:val="000000" w:themeColor="text1"/>
          <w:sz w:val="24"/>
          <w:szCs w:val="24"/>
        </w:rPr>
        <w:t xml:space="preserve"> (Beijing, China)</w:t>
      </w:r>
      <w:r w:rsidRPr="009C58A4">
        <w:rPr>
          <w:rFonts w:ascii="Times New Roman" w:eastAsia="宋体" w:hAnsi="Times New Roman"/>
          <w:color w:val="000000" w:themeColor="text1"/>
          <w:sz w:val="24"/>
          <w:szCs w:val="24"/>
        </w:rPr>
        <w:t xml:space="preserve">, </w:t>
      </w:r>
      <w:r w:rsidRPr="009C58A4">
        <w:rPr>
          <w:rFonts w:ascii="Times New Roman" w:hAnsi="Times New Roman"/>
          <w:color w:val="000000" w:themeColor="text1"/>
          <w:sz w:val="24"/>
          <w:szCs w:val="24"/>
        </w:rPr>
        <w:t xml:space="preserve">respectively. Mouse High-Mobility Group Box 1 </w:t>
      </w:r>
      <w:r w:rsidRPr="009C58A4">
        <w:rPr>
          <w:rFonts w:ascii="Times New Roman" w:hAnsi="Times New Roman"/>
          <w:color w:val="000000" w:themeColor="text1"/>
          <w:sz w:val="24"/>
          <w:szCs w:val="24"/>
          <w:shd w:val="clear" w:color="auto" w:fill="FFFFFF"/>
        </w:rPr>
        <w:t xml:space="preserve">(HMGB1) </w:t>
      </w:r>
      <w:r w:rsidRPr="009C58A4">
        <w:rPr>
          <w:rFonts w:ascii="Times New Roman" w:hAnsi="Times New Roman"/>
          <w:color w:val="000000" w:themeColor="text1"/>
          <w:sz w:val="24"/>
          <w:szCs w:val="24"/>
          <w:shd w:val="clear" w:color="auto" w:fill="FFFFFF"/>
        </w:rPr>
        <w:lastRenderedPageBreak/>
        <w:t xml:space="preserve">ELISA Kit, Mouse Adenosine Triphosphate (ATP) ELISA Kit, Calreticulin Polyclonal Antibody, HMGB1 Polyclonal Antibody, CD44 Antibody, and PD-L1 Antibody </w:t>
      </w:r>
      <w:r w:rsidRPr="009C58A4">
        <w:rPr>
          <w:rFonts w:ascii="Times New Roman" w:hAnsi="Times New Roman"/>
          <w:color w:val="000000" w:themeColor="text1"/>
          <w:sz w:val="24"/>
          <w:szCs w:val="24"/>
        </w:rPr>
        <w:t>were sourced from</w:t>
      </w:r>
      <w:r w:rsidRPr="009C58A4">
        <w:rPr>
          <w:rFonts w:ascii="Times New Roman" w:hAnsi="Times New Roman"/>
          <w:color w:val="000000" w:themeColor="text1"/>
          <w:sz w:val="24"/>
          <w:szCs w:val="24"/>
          <w:shd w:val="clear" w:color="auto" w:fill="FFFFFF"/>
        </w:rPr>
        <w:t xml:space="preserve"> Mitaka Biotechnology Co, Ltd. (Wuhan, China).</w:t>
      </w:r>
      <w:r w:rsidRPr="009C58A4">
        <w:rPr>
          <w:rFonts w:ascii="Times New Roman" w:hAnsi="Times New Roman"/>
          <w:color w:val="000000" w:themeColor="text1"/>
          <w:sz w:val="24"/>
          <w:szCs w:val="24"/>
        </w:rPr>
        <w:t xml:space="preserve"> </w:t>
      </w:r>
      <w:r w:rsidRPr="009C58A4">
        <w:rPr>
          <w:rFonts w:ascii="Times New Roman" w:hAnsi="Times New Roman"/>
          <w:color w:val="000000" w:themeColor="text1"/>
          <w:sz w:val="24"/>
          <w:szCs w:val="24"/>
          <w:shd w:val="clear" w:color="auto" w:fill="FFFFFF"/>
        </w:rPr>
        <w:t xml:space="preserve">PE Anti-Mouse CD86 Antibody, APC Anti-Mouse CD11C Antibody, PerCP Anti-Mouse CD4 Antibody, FITC Anti-Mouse CD8a Antibody </w:t>
      </w:r>
      <w:r w:rsidR="00B27C61" w:rsidRPr="009C58A4">
        <w:rPr>
          <w:rFonts w:ascii="Times New Roman" w:hAnsi="Times New Roman"/>
          <w:color w:val="000000" w:themeColor="text1"/>
          <w:sz w:val="24"/>
          <w:szCs w:val="24"/>
          <w:shd w:val="clear" w:color="auto" w:fill="FFFFFF"/>
        </w:rPr>
        <w:t xml:space="preserve">and </w:t>
      </w:r>
      <w:r w:rsidR="00B27C61" w:rsidRPr="009C58A4">
        <w:rPr>
          <w:rFonts w:ascii="Times New Roman" w:hAnsi="Times New Roman"/>
          <w:bCs/>
          <w:color w:val="000000" w:themeColor="text1"/>
          <w:sz w:val="24"/>
          <w:szCs w:val="24"/>
        </w:rPr>
        <w:t xml:space="preserve">PE </w:t>
      </w:r>
      <w:r w:rsidR="002272E8" w:rsidRPr="009C58A4">
        <w:rPr>
          <w:rFonts w:ascii="Times New Roman" w:hAnsi="Times New Roman"/>
          <w:bCs/>
          <w:color w:val="000000" w:themeColor="text1"/>
          <w:sz w:val="24"/>
          <w:szCs w:val="24"/>
        </w:rPr>
        <w:t>a</w:t>
      </w:r>
      <w:r w:rsidR="00B27C61" w:rsidRPr="009C58A4">
        <w:rPr>
          <w:rFonts w:ascii="Times New Roman" w:hAnsi="Times New Roman"/>
          <w:bCs/>
          <w:color w:val="000000" w:themeColor="text1"/>
          <w:sz w:val="24"/>
          <w:szCs w:val="24"/>
        </w:rPr>
        <w:t>nti-</w:t>
      </w:r>
      <w:r w:rsidR="002272E8" w:rsidRPr="009C58A4">
        <w:rPr>
          <w:rFonts w:ascii="Times New Roman" w:hAnsi="Times New Roman"/>
          <w:bCs/>
          <w:color w:val="000000" w:themeColor="text1"/>
          <w:sz w:val="24"/>
          <w:szCs w:val="24"/>
        </w:rPr>
        <w:t>m</w:t>
      </w:r>
      <w:r w:rsidR="00B27C61" w:rsidRPr="009C58A4">
        <w:rPr>
          <w:rFonts w:ascii="Times New Roman" w:hAnsi="Times New Roman"/>
          <w:bCs/>
          <w:color w:val="000000" w:themeColor="text1"/>
          <w:sz w:val="24"/>
          <w:szCs w:val="24"/>
        </w:rPr>
        <w:t xml:space="preserve">ouse CD274/PD-L1 </w:t>
      </w:r>
      <w:r w:rsidR="002272E8" w:rsidRPr="009C58A4">
        <w:rPr>
          <w:rFonts w:ascii="Times New Roman" w:hAnsi="Times New Roman"/>
          <w:bCs/>
          <w:color w:val="000000" w:themeColor="text1"/>
          <w:sz w:val="24"/>
          <w:szCs w:val="24"/>
        </w:rPr>
        <w:t>a</w:t>
      </w:r>
      <w:r w:rsidR="00B27C61" w:rsidRPr="009C58A4">
        <w:rPr>
          <w:rFonts w:ascii="Times New Roman" w:hAnsi="Times New Roman"/>
          <w:bCs/>
          <w:color w:val="000000" w:themeColor="text1"/>
          <w:sz w:val="24"/>
          <w:szCs w:val="24"/>
        </w:rPr>
        <w:t>ntibody</w:t>
      </w:r>
      <w:r w:rsidR="00B27C61" w:rsidRPr="009C58A4">
        <w:rPr>
          <w:rFonts w:ascii="Times New Roman" w:hAnsi="Times New Roman"/>
          <w:color w:val="000000" w:themeColor="text1"/>
          <w:sz w:val="24"/>
          <w:szCs w:val="24"/>
        </w:rPr>
        <w:t xml:space="preserve"> </w:t>
      </w:r>
      <w:r w:rsidRPr="009C58A4">
        <w:rPr>
          <w:rFonts w:ascii="Times New Roman" w:hAnsi="Times New Roman"/>
          <w:color w:val="000000" w:themeColor="text1"/>
          <w:sz w:val="24"/>
          <w:szCs w:val="24"/>
        </w:rPr>
        <w:t>were</w:t>
      </w:r>
      <w:r w:rsidRPr="009C58A4">
        <w:rPr>
          <w:rFonts w:ascii="Times New Roman" w:hAnsi="Times New Roman"/>
          <w:color w:val="000000" w:themeColor="text1"/>
          <w:sz w:val="24"/>
          <w:szCs w:val="24"/>
          <w:shd w:val="clear" w:color="auto" w:fill="FFFFFF"/>
        </w:rPr>
        <w:t xml:space="preserve"> purchased from Elabscience. (Wuhan, China).</w:t>
      </w:r>
    </w:p>
    <w:p w14:paraId="4E801EC3" w14:textId="77777777" w:rsidR="006F1BC0" w:rsidRPr="009C58A4" w:rsidRDefault="006F1BC0">
      <w:pPr>
        <w:pStyle w:val="3"/>
        <w:rPr>
          <w:rFonts w:ascii="Times New Roman" w:hAnsi="Times New Roman"/>
          <w:color w:val="000000" w:themeColor="text1"/>
          <w:sz w:val="24"/>
          <w:szCs w:val="24"/>
        </w:rPr>
      </w:pPr>
      <w:r w:rsidRPr="009C58A4">
        <w:rPr>
          <w:rFonts w:ascii="Times New Roman" w:eastAsia="宋体" w:hAnsi="Times New Roman"/>
          <w:color w:val="000000" w:themeColor="text1"/>
          <w:sz w:val="24"/>
          <w:szCs w:val="24"/>
        </w:rPr>
        <w:t>Synthesis of the PDEA-PGMA</w:t>
      </w:r>
    </w:p>
    <w:p w14:paraId="242907F7"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PDEA-PGMA was prepared by atom ATRP </w: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 </w:instrTex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EN.CITE.DATA </w:instrText>
      </w:r>
      <w:r w:rsidR="0023661B" w:rsidRPr="009C58A4">
        <w:rPr>
          <w:rFonts w:ascii="Times New Roman" w:eastAsia="宋体" w:hAnsi="Times New Roman"/>
          <w:color w:val="000000" w:themeColor="text1"/>
          <w:sz w:val="24"/>
          <w:szCs w:val="24"/>
        </w:rPr>
        <w:fldChar w:fldCharType="end"/>
      </w:r>
      <w:r w:rsidR="0023661B" w:rsidRPr="009C58A4">
        <w:rPr>
          <w:rFonts w:ascii="Times New Roman" w:eastAsia="宋体" w:hAnsi="Times New Roman"/>
          <w:color w:val="000000" w:themeColor="text1"/>
          <w:sz w:val="24"/>
          <w:szCs w:val="24"/>
        </w:rPr>
        <w:fldChar w:fldCharType="separate"/>
      </w:r>
      <w:r w:rsidR="0023661B" w:rsidRPr="009C58A4">
        <w:rPr>
          <w:rFonts w:ascii="Times New Roman" w:eastAsia="宋体" w:hAnsi="Times New Roman"/>
          <w:noProof/>
          <w:color w:val="000000" w:themeColor="text1"/>
          <w:sz w:val="24"/>
          <w:szCs w:val="24"/>
        </w:rPr>
        <w:t>[1]</w:t>
      </w:r>
      <w:r w:rsidR="0023661B"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xml:space="preserve">. Briefly, 10 mL of DMF was added to a 50 mL branched round-bottom flask containing 0.064 g CuCl and 0.064 g bpy. Then 12 mL DEA, 6mL GMA, and 270 μL 2-bromoisobutyrate ethyl ester were added to the above solution under degassing conditions. And added dichloromethane for quenching reaction after the reaction was carried out at 55 °C in argon atmosphere for 5 h. The catalyst was removed from the alumina column and the solvent was removed by vacuum distillation, then the crude product was recrystallized with cold n-hexane and vacuum-dried to obtain 22 g of PDEA-PGMA. The synthetic route is shown in </w:t>
      </w:r>
      <w:r w:rsidRPr="009C58A4">
        <w:rPr>
          <w:rFonts w:ascii="Times New Roman" w:hAnsi="Times New Roman"/>
          <w:color w:val="000000" w:themeColor="text1"/>
          <w:sz w:val="24"/>
          <w:szCs w:val="24"/>
        </w:rPr>
        <w:t>Fig. S1</w:t>
      </w:r>
      <w:r w:rsidRPr="009C58A4">
        <w:rPr>
          <w:rFonts w:ascii="Times New Roman" w:eastAsia="宋体" w:hAnsi="Times New Roman"/>
          <w:color w:val="000000" w:themeColor="text1"/>
          <w:sz w:val="24"/>
          <w:szCs w:val="24"/>
        </w:rPr>
        <w:t>.</w:t>
      </w:r>
    </w:p>
    <w:p w14:paraId="55236280"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Synthesis of the PDEA-PGED</w:t>
      </w:r>
    </w:p>
    <w:p w14:paraId="4986A530"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PDEA-PGED was synthesized based on previous literature with some modifications </w: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 </w:instrTex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EN.CITE.DATA </w:instrText>
      </w:r>
      <w:r w:rsidR="0023661B" w:rsidRPr="009C58A4">
        <w:rPr>
          <w:rFonts w:ascii="Times New Roman" w:eastAsia="宋体" w:hAnsi="Times New Roman"/>
          <w:color w:val="000000" w:themeColor="text1"/>
          <w:sz w:val="24"/>
          <w:szCs w:val="24"/>
        </w:rPr>
        <w:fldChar w:fldCharType="end"/>
      </w:r>
      <w:r w:rsidR="0023661B" w:rsidRPr="009C58A4">
        <w:rPr>
          <w:rFonts w:ascii="Times New Roman" w:eastAsia="宋体" w:hAnsi="Times New Roman"/>
          <w:color w:val="000000" w:themeColor="text1"/>
          <w:sz w:val="24"/>
          <w:szCs w:val="24"/>
        </w:rPr>
        <w:fldChar w:fldCharType="separate"/>
      </w:r>
      <w:r w:rsidR="0023661B" w:rsidRPr="009C58A4">
        <w:rPr>
          <w:rFonts w:ascii="Times New Roman" w:eastAsia="宋体" w:hAnsi="Times New Roman"/>
          <w:noProof/>
          <w:color w:val="000000" w:themeColor="text1"/>
          <w:sz w:val="24"/>
          <w:szCs w:val="24"/>
        </w:rPr>
        <w:t>[1]</w:t>
      </w:r>
      <w:r w:rsidR="0023661B"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xml:space="preserve">. Firstly, the obtained PDEA-PGMA (16 g) was dissolved in 100 mL of DMSO and added excess EDA and the reaction was carried out at 80 °C for 4 h in a nitrogen atmosphere. Then the reaction was dialysed in deionized water (MWCO: 1000 Da) for 48 h to remove excess EDA. Finally, the final product PDEA-PGED (12.5 g, pale yellow powder) was obtained by lyophilization. The synthetic route is shown in </w:t>
      </w:r>
      <w:r w:rsidRPr="009C58A4">
        <w:rPr>
          <w:rFonts w:ascii="Times New Roman" w:eastAsia="黑体" w:hAnsi="Times New Roman" w:hint="eastAsia"/>
          <w:color w:val="000000" w:themeColor="text1"/>
          <w:sz w:val="24"/>
          <w:szCs w:val="24"/>
        </w:rPr>
        <w:t>Fig.</w:t>
      </w:r>
      <w:r w:rsidRPr="009C58A4">
        <w:rPr>
          <w:rFonts w:ascii="Times New Roman" w:eastAsia="黑体" w:hAnsi="Times New Roman"/>
          <w:color w:val="000000" w:themeColor="text1"/>
          <w:sz w:val="24"/>
          <w:szCs w:val="24"/>
        </w:rPr>
        <w:t xml:space="preserve"> S1</w:t>
      </w:r>
      <w:r w:rsidRPr="009C58A4">
        <w:rPr>
          <w:rFonts w:ascii="Times New Roman" w:eastAsia="宋体" w:hAnsi="Times New Roman"/>
          <w:color w:val="000000" w:themeColor="text1"/>
          <w:sz w:val="24"/>
          <w:szCs w:val="24"/>
        </w:rPr>
        <w:t>.</w:t>
      </w:r>
    </w:p>
    <w:p w14:paraId="4D7BF05D" w14:textId="77777777" w:rsidR="006F1BC0" w:rsidRPr="009C58A4" w:rsidRDefault="006F1BC0">
      <w:pPr>
        <w:spacing w:before="260" w:after="260" w:line="412" w:lineRule="auto"/>
        <w:outlineLvl w:val="2"/>
        <w:rPr>
          <w:rFonts w:ascii="Times New Roman" w:eastAsia="宋体" w:hAnsi="Times New Roman"/>
          <w:color w:val="000000" w:themeColor="text1"/>
          <w:sz w:val="24"/>
          <w:szCs w:val="24"/>
        </w:rPr>
      </w:pPr>
      <w:r w:rsidRPr="009C58A4">
        <w:rPr>
          <w:rFonts w:ascii="Times New Roman" w:eastAsia="宋体" w:hAnsi="Times New Roman"/>
          <w:b/>
          <w:bCs/>
          <w:color w:val="000000" w:themeColor="text1"/>
          <w:sz w:val="24"/>
          <w:szCs w:val="24"/>
        </w:rPr>
        <w:t>Synthesis of the OPDEA-PGED</w:t>
      </w:r>
    </w:p>
    <w:p w14:paraId="26C0F608"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PDEA-PGED was oxidized with reference to previous literature </w: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 </w:instrTex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EN.CITE.DATA </w:instrText>
      </w:r>
      <w:r w:rsidR="0023661B" w:rsidRPr="009C58A4">
        <w:rPr>
          <w:rFonts w:ascii="Times New Roman" w:eastAsia="宋体" w:hAnsi="Times New Roman"/>
          <w:color w:val="000000" w:themeColor="text1"/>
          <w:sz w:val="24"/>
          <w:szCs w:val="24"/>
        </w:rPr>
        <w:fldChar w:fldCharType="end"/>
      </w:r>
      <w:r w:rsidR="0023661B" w:rsidRPr="009C58A4">
        <w:rPr>
          <w:rFonts w:ascii="Times New Roman" w:eastAsia="宋体" w:hAnsi="Times New Roman"/>
          <w:color w:val="000000" w:themeColor="text1"/>
          <w:sz w:val="24"/>
          <w:szCs w:val="24"/>
        </w:rPr>
        <w:fldChar w:fldCharType="separate"/>
      </w:r>
      <w:r w:rsidR="0023661B" w:rsidRPr="009C58A4">
        <w:rPr>
          <w:rFonts w:ascii="Times New Roman" w:eastAsia="宋体" w:hAnsi="Times New Roman"/>
          <w:noProof/>
          <w:color w:val="000000" w:themeColor="text1"/>
          <w:sz w:val="24"/>
          <w:szCs w:val="24"/>
        </w:rPr>
        <w:t>[2]</w:t>
      </w:r>
      <w:r w:rsidR="0023661B"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Firstly, PDEA-PGED (9 g) was dissolved in 100 mL of 30% H</w:t>
      </w:r>
      <w:r w:rsidRPr="009C58A4">
        <w:rPr>
          <w:rFonts w:ascii="Times New Roman" w:eastAsia="宋体" w:hAnsi="Times New Roman"/>
          <w:color w:val="000000" w:themeColor="text1"/>
          <w:sz w:val="24"/>
          <w:szCs w:val="24"/>
          <w:vertAlign w:val="subscript"/>
        </w:rPr>
        <w:t>2</w:t>
      </w:r>
      <w:r w:rsidRPr="009C58A4">
        <w:rPr>
          <w:rFonts w:ascii="Times New Roman" w:eastAsia="宋体" w:hAnsi="Times New Roman"/>
          <w:color w:val="000000" w:themeColor="text1"/>
          <w:sz w:val="24"/>
          <w:szCs w:val="24"/>
        </w:rPr>
        <w:t>O</w:t>
      </w:r>
      <w:r w:rsidRPr="009C58A4">
        <w:rPr>
          <w:rFonts w:ascii="Times New Roman" w:eastAsia="宋体" w:hAnsi="Times New Roman"/>
          <w:color w:val="000000" w:themeColor="text1"/>
          <w:sz w:val="24"/>
          <w:szCs w:val="24"/>
          <w:vertAlign w:val="subscript"/>
        </w:rPr>
        <w:t>2</w:t>
      </w:r>
      <w:r w:rsidRPr="009C58A4">
        <w:rPr>
          <w:rFonts w:ascii="Times New Roman" w:eastAsia="宋体" w:hAnsi="Times New Roman"/>
          <w:color w:val="000000" w:themeColor="text1"/>
          <w:sz w:val="24"/>
          <w:szCs w:val="24"/>
        </w:rPr>
        <w:t xml:space="preserve"> with stirring for 4 h at room temperature, then dialysed with deionized water (MWCO: 3500 Da) to remove excess H</w:t>
      </w:r>
      <w:r w:rsidRPr="009C58A4">
        <w:rPr>
          <w:rFonts w:ascii="Times New Roman" w:eastAsia="宋体" w:hAnsi="Times New Roman"/>
          <w:color w:val="000000" w:themeColor="text1"/>
          <w:sz w:val="24"/>
          <w:szCs w:val="24"/>
          <w:vertAlign w:val="subscript"/>
        </w:rPr>
        <w:t>2</w:t>
      </w:r>
      <w:r w:rsidRPr="009C58A4">
        <w:rPr>
          <w:rFonts w:ascii="Times New Roman" w:eastAsia="宋体" w:hAnsi="Times New Roman"/>
          <w:color w:val="000000" w:themeColor="text1"/>
          <w:sz w:val="24"/>
          <w:szCs w:val="24"/>
        </w:rPr>
        <w:t>O</w:t>
      </w:r>
      <w:r w:rsidRPr="009C58A4">
        <w:rPr>
          <w:rFonts w:ascii="Times New Roman" w:eastAsia="宋体" w:hAnsi="Times New Roman"/>
          <w:color w:val="000000" w:themeColor="text1"/>
          <w:sz w:val="24"/>
          <w:szCs w:val="24"/>
          <w:vertAlign w:val="subscript"/>
        </w:rPr>
        <w:t>2</w:t>
      </w:r>
      <w:r w:rsidRPr="009C58A4">
        <w:rPr>
          <w:rFonts w:ascii="Times New Roman" w:eastAsia="宋体" w:hAnsi="Times New Roman"/>
          <w:color w:val="000000" w:themeColor="text1"/>
          <w:sz w:val="24"/>
          <w:szCs w:val="24"/>
        </w:rPr>
        <w:t xml:space="preserve">. Finally, the polymer OPDEA-PGED (8.2 g, pale yellow powder) was obtained by lyophilization. The synthetic route is shown in </w:t>
      </w:r>
      <w:r w:rsidRPr="009C58A4">
        <w:rPr>
          <w:rFonts w:ascii="Times New Roman" w:hAnsi="Times New Roman"/>
          <w:color w:val="000000" w:themeColor="text1"/>
          <w:sz w:val="24"/>
          <w:szCs w:val="24"/>
        </w:rPr>
        <w:t>Fig. S1</w:t>
      </w:r>
      <w:r w:rsidRPr="009C58A4">
        <w:rPr>
          <w:rFonts w:ascii="Times New Roman" w:eastAsia="宋体" w:hAnsi="Times New Roman"/>
          <w:color w:val="000000" w:themeColor="text1"/>
          <w:sz w:val="24"/>
          <w:szCs w:val="24"/>
        </w:rPr>
        <w:t>.</w:t>
      </w:r>
    </w:p>
    <w:p w14:paraId="53AB4701" w14:textId="77777777" w:rsidR="006F1BC0" w:rsidRPr="009C58A4" w:rsidRDefault="006F1BC0">
      <w:pPr>
        <w:spacing w:before="260" w:after="260" w:line="412" w:lineRule="auto"/>
        <w:outlineLvl w:val="2"/>
        <w:rPr>
          <w:rFonts w:ascii="Times New Roman" w:eastAsia="宋体" w:hAnsi="Times New Roman"/>
          <w:color w:val="000000" w:themeColor="text1"/>
          <w:sz w:val="24"/>
          <w:szCs w:val="24"/>
        </w:rPr>
      </w:pPr>
      <w:r w:rsidRPr="009C58A4">
        <w:rPr>
          <w:rFonts w:ascii="Times New Roman" w:eastAsia="宋体" w:hAnsi="Times New Roman"/>
          <w:b/>
          <w:bCs/>
          <w:color w:val="000000" w:themeColor="text1"/>
          <w:sz w:val="24"/>
          <w:szCs w:val="24"/>
        </w:rPr>
        <w:t>Synthesis of the OPDEA-PGED-5HA</w:t>
      </w:r>
    </w:p>
    <w:p w14:paraId="6CCFD0BF"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OPDEA-PGED-5HA was synthesized based on previous literature with some modifications </w: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 &lt;EndNote&gt;&lt;Cite&gt;&lt;Author&gt;Luo&lt;/Author&gt;&lt;Year&gt;2011&lt;/Year&gt;&lt;RecNum&gt;20&lt;/RecNum&gt;&lt;DisplayText&gt;[3]&lt;/DisplayText&gt;&lt;record&gt;&lt;rec-number&gt;20&lt;/rec-number&gt;&lt;foreign-keys&gt;&lt;key app="EN" db-id="aettxter09dswce0pzsx0fpotxaddedzdvtv" timestamp="1705543523"&gt;20&lt;/key&gt;&lt;/foreign-keys&gt;&lt;ref-type name="Journal Article"&gt;17&lt;/ref-type&gt;&lt;contributors&gt;&lt;authors&gt;&lt;author&gt;Luo, K.&lt;/author&gt;&lt;author&gt;Yang, J.&lt;/author&gt;&lt;author&gt;Kopeckova, P.&lt;/author&gt;&lt;author&gt;Kopecek, J.&lt;/author&gt;&lt;/authors&gt;&lt;/contributors&gt;&lt;auth-address&gt;Department of Pharmaceutics and Pharmaceutical Chemistry/CCCD, University of Utah, Salt Lake City, Utah 84112-9452, USA.&lt;/auth-address&gt;&lt;titles&gt;&lt;title&gt;Biodegradable Multiblock Poly[N-(2-hydroxypropyl)methacrylamide] via Reversible Addition-Fragmentation Chain Transfer Polymerization and Click Chemistry&lt;/title&gt;&lt;secondary-title&gt;Macromolecules&lt;/secondary-title&gt;&lt;/titles&gt;&lt;periodical&gt;&lt;full-title&gt;Macromolecules&lt;/full-title&gt;&lt;/periodical&gt;&lt;pages&gt;2481-2488&lt;/pages&gt;&lt;volume&gt;44&lt;/volume&gt;&lt;number&gt;8&lt;/number&gt;&lt;dates&gt;&lt;year&gt;2011&lt;/year&gt;&lt;pub-dates&gt;&lt;date&gt;Apr 26&lt;/date&gt;&lt;/pub-dates&gt;&lt;/dates&gt;&lt;isbn&gt;0024-9297 (Print)&amp;#xD;0024-9297 (Linking)&lt;/isbn&gt;&lt;accession-num&gt;21552355&lt;/accession-num&gt;&lt;urls&gt;&lt;related-urls&gt;&lt;url&gt;https://www.ncbi.nlm.nih.gov/pubmed/21552355&lt;/url&gt;&lt;/related-urls&gt;&lt;/urls&gt;&lt;custom2&gt;PMC3086388&lt;/custom2&gt;&lt;electronic-resource-num&gt;10.1021/ma102574e&lt;/electronic-resource-num&gt;&lt;/record&gt;&lt;/Cite&gt;&lt;/EndNote&gt;</w:instrText>
      </w:r>
      <w:r w:rsidR="0023661B" w:rsidRPr="009C58A4">
        <w:rPr>
          <w:rFonts w:ascii="Times New Roman" w:eastAsia="宋体" w:hAnsi="Times New Roman"/>
          <w:color w:val="000000" w:themeColor="text1"/>
          <w:sz w:val="24"/>
          <w:szCs w:val="24"/>
        </w:rPr>
        <w:fldChar w:fldCharType="separate"/>
      </w:r>
      <w:r w:rsidR="0023661B" w:rsidRPr="009C58A4">
        <w:rPr>
          <w:rFonts w:ascii="Times New Roman" w:eastAsia="宋体" w:hAnsi="Times New Roman"/>
          <w:noProof/>
          <w:color w:val="000000" w:themeColor="text1"/>
          <w:sz w:val="24"/>
          <w:szCs w:val="24"/>
        </w:rPr>
        <w:t>[3]</w:t>
      </w:r>
      <w:r w:rsidR="0023661B"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xml:space="preserve">. Firstly, 5-hexynic acid (10 g, 89 mmol), HBTU (15 g, 40 mmol), DIPEA (22 g, 172 mmol), and HOBt (6 g, 44.0 mmol) were dissolved in anhydrous DMF (20 mL) and stirred 30 min at 0 °C in a nitrogen atmosphere. Followed by the addition of OPDEA-PGED (6 g) and the reaction continued for 12 h at 25 °C. Then dialyzed with deionized water (MWCO: 3500 Da) to remove the catalyst and excess 5-HA. Finally, the polymer OPDEA-PGED-5HA (8.73 g, brown powder) was obtained by lyophilization. The synthetic route is shown in </w:t>
      </w:r>
      <w:r w:rsidRPr="009C58A4">
        <w:rPr>
          <w:rFonts w:ascii="Times New Roman" w:hAnsi="Times New Roman"/>
          <w:color w:val="000000" w:themeColor="text1"/>
          <w:sz w:val="24"/>
          <w:szCs w:val="24"/>
        </w:rPr>
        <w:t>Fig. S1</w:t>
      </w:r>
      <w:r w:rsidRPr="009C58A4">
        <w:rPr>
          <w:rFonts w:ascii="Times New Roman" w:eastAsia="宋体" w:hAnsi="Times New Roman"/>
          <w:color w:val="000000" w:themeColor="text1"/>
          <w:sz w:val="24"/>
          <w:szCs w:val="24"/>
        </w:rPr>
        <w:t>.</w:t>
      </w:r>
    </w:p>
    <w:p w14:paraId="7B8811FD" w14:textId="22F455E9" w:rsidR="006F1BC0" w:rsidRPr="009C58A4" w:rsidRDefault="008969F6" w:rsidP="008969F6">
      <w:pPr>
        <w:spacing w:line="360" w:lineRule="auto"/>
        <w:jc w:val="center"/>
        <w:rPr>
          <w:rFonts w:ascii="Times New Roman" w:eastAsia="宋体" w:hAnsi="Times New Roman"/>
          <w:color w:val="000000" w:themeColor="text1"/>
          <w:sz w:val="24"/>
          <w:szCs w:val="24"/>
        </w:rPr>
      </w:pPr>
      <w:r w:rsidRPr="008969F6">
        <w:rPr>
          <w:rFonts w:ascii="Times New Roman" w:eastAsia="宋体" w:hAnsi="Times New Roman"/>
          <w:noProof/>
          <w:color w:val="000000" w:themeColor="text1"/>
          <w:sz w:val="24"/>
          <w:szCs w:val="24"/>
        </w:rPr>
        <w:drawing>
          <wp:inline distT="0" distB="0" distL="0" distR="0" wp14:anchorId="7865F80E" wp14:editId="069EE4D1">
            <wp:extent cx="4833938" cy="2513146"/>
            <wp:effectExtent l="0" t="0" r="5080" b="1905"/>
            <wp:docPr id="3" name="图片 3" descr="D:\投稿\文章里的图\Fig.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投稿\文章里的图\Fig.S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37643" cy="2515072"/>
                    </a:xfrm>
                    <a:prstGeom prst="rect">
                      <a:avLst/>
                    </a:prstGeom>
                    <a:noFill/>
                    <a:ln>
                      <a:noFill/>
                    </a:ln>
                  </pic:spPr>
                </pic:pic>
              </a:graphicData>
            </a:graphic>
          </wp:inline>
        </w:drawing>
      </w:r>
    </w:p>
    <w:p w14:paraId="2E27189D" w14:textId="650CC1D8" w:rsidR="006F1BC0" w:rsidRPr="009C58A4" w:rsidRDefault="006F1BC0">
      <w:pPr>
        <w:spacing w:line="360" w:lineRule="auto"/>
        <w:jc w:val="center"/>
        <w:rPr>
          <w:rFonts w:ascii="Times New Roman" w:hAnsi="Times New Roman"/>
          <w:color w:val="000000" w:themeColor="text1"/>
          <w:shd w:val="clear" w:color="auto" w:fill="FFFFFF"/>
        </w:rPr>
      </w:pPr>
      <w:r w:rsidRPr="009C58A4">
        <w:rPr>
          <w:rFonts w:ascii="Times New Roman" w:hAnsi="Times New Roman"/>
          <w:b/>
          <w:color w:val="000000" w:themeColor="text1"/>
        </w:rPr>
        <w:t>Fig. S1</w:t>
      </w:r>
      <w:r w:rsidRPr="009C58A4">
        <w:rPr>
          <w:rFonts w:ascii="Times New Roman" w:hAnsi="Times New Roman"/>
          <w:color w:val="000000" w:themeColor="text1"/>
          <w:shd w:val="clear" w:color="auto" w:fill="FFFFFF"/>
        </w:rPr>
        <w:t xml:space="preserve"> Synthesis route of OPDEA-PGED-5HA</w:t>
      </w:r>
    </w:p>
    <w:p w14:paraId="2CE802B2"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Preparation of empty micelles PPH and drug-loaded micelles</w:t>
      </w:r>
    </w:p>
    <w:p w14:paraId="5BBC4153"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Blank micelles OPDA-PGED-5HA (PPH) were prepared according to the solvent exchange method. Firstly, 10.0 mg of OPDA-PGED-5HA was dissolved in 2.0 mL of tetrahydrofuran (THF) and dropwise added to 8.0 mL of distilled water at 25 °C. Then the resulting mixture was dialysed with deionized water (MWCO: 1000 Da) for 24 h to obtain empty micelles PPH.</w:t>
      </w:r>
    </w:p>
    <w:p w14:paraId="6023051C" w14:textId="6E15C8C9" w:rsidR="009F3CCA" w:rsidRPr="009C58A4" w:rsidRDefault="006F1BC0" w:rsidP="009F3CCA">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Preparation of Cur-loaded micelles OPDEA-PGED-5HA@Cur (PPH@C) </w:t>
      </w:r>
      <w:r w:rsidR="0023661B" w:rsidRPr="009C58A4">
        <w:rPr>
          <w:rFonts w:ascii="Times New Roman" w:eastAsia="宋体" w:hAnsi="Times New Roman"/>
          <w:color w:val="000000" w:themeColor="text1"/>
          <w:sz w:val="24"/>
          <w:szCs w:val="24"/>
        </w:rPr>
        <w:fldChar w:fldCharType="begin"/>
      </w:r>
      <w:r w:rsidR="0023661B" w:rsidRPr="009C58A4">
        <w:rPr>
          <w:rFonts w:ascii="Times New Roman" w:eastAsia="宋体" w:hAnsi="Times New Roman"/>
          <w:color w:val="000000" w:themeColor="text1"/>
          <w:sz w:val="24"/>
          <w:szCs w:val="24"/>
        </w:rPr>
        <w:instrText xml:space="preserve"> ADDIN EN.CITE &lt;EndNote&gt;&lt;Cite&gt;&lt;Author&gt;Liu&lt;/Author&gt;&lt;Year&gt;2019&lt;/Year&gt;&lt;RecNum&gt;90&lt;/RecNum&gt;&lt;DisplayText&gt;[4]&lt;/DisplayText&gt;&lt;record&gt;&lt;rec-number&gt;90&lt;/rec-number&gt;&lt;foreign-keys&gt;&lt;key app="EN" db-id="aettxter09dswce0pzsx0fpotxaddedzdvtv" timestamp="1713956423"&gt;90&lt;/key&gt;&lt;/foreign-keys&gt;&lt;ref-type name="Journal Article"&gt;17&lt;/ref-type&gt;&lt;contributors&gt;&lt;authors&gt;&lt;author&gt;Liu, YC, Chen, F, Zhang, K, Wang, Q, Chen, YW, Luo, XL.&lt;/author&gt;&lt;/authors&gt;&lt;/contributors&gt;&lt;titles&gt;&lt;title&gt;pH-Responsive reversibly cross-linked micelles by phenol–yne click via curcumin as a drug delivery system in cancer chemotherapy&lt;/title&gt;&lt;secondary-title&gt;Journal of Materials Chemistry B&lt;/secondary-title&gt;&lt;/titles&gt;&lt;periodical&gt;&lt;full-title&gt;Journal of Materials Chemistry B&lt;/full-title&gt;&lt;/periodical&gt;&lt;pages&gt;3884-93&lt;/pages&gt;&lt;volume&gt;7&lt;/volume&gt;&lt;number&gt;22&lt;/number&gt;&lt;dates&gt;&lt;year&gt;2019&lt;/year&gt;&lt;/dates&gt;&lt;urls&gt;&lt;/urls&gt;&lt;/record&gt;&lt;/Cite&gt;&lt;/EndNote&gt;</w:instrText>
      </w:r>
      <w:r w:rsidR="0023661B" w:rsidRPr="009C58A4">
        <w:rPr>
          <w:rFonts w:ascii="Times New Roman" w:eastAsia="宋体" w:hAnsi="Times New Roman"/>
          <w:color w:val="000000" w:themeColor="text1"/>
          <w:sz w:val="24"/>
          <w:szCs w:val="24"/>
        </w:rPr>
        <w:fldChar w:fldCharType="separate"/>
      </w:r>
      <w:r w:rsidR="0023661B" w:rsidRPr="009C58A4">
        <w:rPr>
          <w:rFonts w:ascii="Times New Roman" w:eastAsia="宋体" w:hAnsi="Times New Roman"/>
          <w:noProof/>
          <w:color w:val="000000" w:themeColor="text1"/>
          <w:sz w:val="24"/>
          <w:szCs w:val="24"/>
        </w:rPr>
        <w:t>[4]</w:t>
      </w:r>
      <w:r w:rsidR="0023661B"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xml:space="preserve">. 10.0 mg of OPDA-PGED-5HA, 3.7 mg of Cur and 0.5 mg of DMAP were dissolved in 2.0 mL THF as shown in </w:t>
      </w:r>
      <w:r w:rsidRPr="009C58A4">
        <w:rPr>
          <w:rFonts w:ascii="Times New Roman" w:hAnsi="Times New Roman"/>
          <w:color w:val="000000" w:themeColor="text1"/>
          <w:sz w:val="24"/>
          <w:szCs w:val="24"/>
        </w:rPr>
        <w:t>Fig.</w:t>
      </w:r>
      <w:r w:rsidRPr="009C58A4">
        <w:rPr>
          <w:rFonts w:ascii="Times New Roman" w:eastAsia="黑体" w:hAnsi="Times New Roman"/>
          <w:color w:val="000000" w:themeColor="text1"/>
          <w:sz w:val="24"/>
          <w:szCs w:val="24"/>
        </w:rPr>
        <w:t xml:space="preserve"> S2</w:t>
      </w:r>
      <w:r w:rsidRPr="009C58A4">
        <w:rPr>
          <w:rFonts w:ascii="Times New Roman" w:eastAsia="宋体" w:hAnsi="Times New Roman"/>
          <w:color w:val="000000" w:themeColor="text1"/>
          <w:sz w:val="24"/>
          <w:szCs w:val="24"/>
        </w:rPr>
        <w:t xml:space="preserve"> and stired for 24 h at 37 °C. The mixed solution was a</w:t>
      </w:r>
      <w:r w:rsidR="00977847" w:rsidRPr="009C58A4">
        <w:rPr>
          <w:rFonts w:ascii="Times New Roman" w:eastAsia="宋体" w:hAnsi="Times New Roman"/>
          <w:color w:val="000000" w:themeColor="text1"/>
          <w:sz w:val="24"/>
          <w:szCs w:val="24"/>
        </w:rPr>
        <w:t>dded dropwise to 8.0 mL of sti</w:t>
      </w:r>
      <w:r w:rsidR="001907A7" w:rsidRPr="009C58A4">
        <w:rPr>
          <w:rFonts w:ascii="Times New Roman" w:eastAsia="宋体" w:hAnsi="Times New Roman"/>
          <w:color w:val="000000" w:themeColor="text1"/>
          <w:sz w:val="24"/>
          <w:szCs w:val="24"/>
        </w:rPr>
        <w:t>r</w:t>
      </w:r>
      <w:r w:rsidR="00977847" w:rsidRPr="009C58A4">
        <w:rPr>
          <w:rFonts w:ascii="Times New Roman" w:eastAsia="宋体" w:hAnsi="Times New Roman"/>
          <w:color w:val="000000" w:themeColor="text1"/>
          <w:sz w:val="24"/>
          <w:szCs w:val="24"/>
        </w:rPr>
        <w:t>r</w:t>
      </w:r>
      <w:r w:rsidRPr="009C58A4">
        <w:rPr>
          <w:rFonts w:ascii="Times New Roman" w:eastAsia="宋体" w:hAnsi="Times New Roman"/>
          <w:color w:val="000000" w:themeColor="text1"/>
          <w:sz w:val="24"/>
          <w:szCs w:val="24"/>
        </w:rPr>
        <w:t>ed distilled water at 25 °C and dialyzed with deionized water (MWCO: 1000 Da) to remove</w:t>
      </w:r>
      <w:r w:rsidR="009F3CCA" w:rsidRPr="009C58A4">
        <w:rPr>
          <w:rFonts w:ascii="Times New Roman" w:eastAsia="宋体" w:hAnsi="Times New Roman"/>
          <w:color w:val="000000" w:themeColor="text1"/>
          <w:sz w:val="24"/>
          <w:szCs w:val="24"/>
        </w:rPr>
        <w:t xml:space="preserve"> THF, catalyst, </w:t>
      </w:r>
      <w:r w:rsidR="00A64F6B" w:rsidRPr="009C58A4">
        <w:rPr>
          <w:rFonts w:ascii="Times New Roman" w:eastAsia="宋体" w:hAnsi="Times New Roman"/>
          <w:color w:val="000000" w:themeColor="text1"/>
          <w:sz w:val="24"/>
          <w:szCs w:val="24"/>
        </w:rPr>
        <w:t>and finally centrifugation to remove unbound curcumin to obtain drug-loaded micelles PPH@C</w:t>
      </w:r>
      <w:r w:rsidR="009F3CCA" w:rsidRPr="009C58A4">
        <w:rPr>
          <w:rFonts w:ascii="Times New Roman" w:eastAsia="宋体" w:hAnsi="Times New Roman"/>
          <w:color w:val="000000" w:themeColor="text1"/>
          <w:sz w:val="24"/>
          <w:szCs w:val="24"/>
        </w:rPr>
        <w:t>.</w:t>
      </w:r>
    </w:p>
    <w:p w14:paraId="3A87FBF5" w14:textId="2D9BE0EC" w:rsidR="009F3CCA" w:rsidRPr="009C58A4" w:rsidRDefault="006F1BC0" w:rsidP="00CD5EEF">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Micellars OPDEA-PGED-5HA@Cur@Rg3 (PPH@CR) loaded with both Cur and ginsenoside Rg3 were prepared by a similar method. 10.0 mg of OPDA-PGED-5HA, 3.7 mg of Cur, 3.0 mg of Rg3, and 0.5 mg of DMAP were dissolved in 2.0 mL THF as shown in </w:t>
      </w:r>
      <w:r w:rsidRPr="009C58A4">
        <w:rPr>
          <w:rFonts w:ascii="Times New Roman" w:hAnsi="Times New Roman"/>
          <w:color w:val="000000" w:themeColor="text1"/>
          <w:sz w:val="24"/>
          <w:szCs w:val="24"/>
        </w:rPr>
        <w:t>Fig.</w:t>
      </w:r>
      <w:r w:rsidRPr="009C58A4">
        <w:rPr>
          <w:rFonts w:ascii="Times New Roman" w:eastAsia="黑体" w:hAnsi="Times New Roman"/>
          <w:color w:val="000000" w:themeColor="text1"/>
          <w:sz w:val="24"/>
          <w:szCs w:val="24"/>
        </w:rPr>
        <w:t xml:space="preserve"> S2</w:t>
      </w:r>
      <w:r w:rsidRPr="009C58A4">
        <w:rPr>
          <w:rFonts w:ascii="Times New Roman" w:eastAsia="宋体" w:hAnsi="Times New Roman"/>
          <w:color w:val="000000" w:themeColor="text1"/>
          <w:sz w:val="24"/>
          <w:szCs w:val="24"/>
        </w:rPr>
        <w:t xml:space="preserve"> and stir</w:t>
      </w:r>
      <w:r w:rsidR="001907A7" w:rsidRPr="009C58A4">
        <w:rPr>
          <w:rFonts w:ascii="Times New Roman" w:eastAsia="宋体" w:hAnsi="Times New Roman"/>
          <w:color w:val="000000" w:themeColor="text1"/>
          <w:sz w:val="24"/>
          <w:szCs w:val="24"/>
        </w:rPr>
        <w:t>r</w:t>
      </w:r>
      <w:r w:rsidRPr="009C58A4">
        <w:rPr>
          <w:rFonts w:ascii="Times New Roman" w:eastAsia="宋体" w:hAnsi="Times New Roman"/>
          <w:color w:val="000000" w:themeColor="text1"/>
          <w:sz w:val="24"/>
          <w:szCs w:val="24"/>
        </w:rPr>
        <w:t>ed for 24 h at 37 °C. Then the mixed solution was added dropwise to 8.0 mL of distilled water and dialyzed with deionized water (MWCO: 1000 Da) to remove THF</w:t>
      </w:r>
      <w:r w:rsidR="009F3CCA" w:rsidRPr="009C58A4">
        <w:rPr>
          <w:rFonts w:ascii="Times New Roman" w:eastAsia="宋体" w:hAnsi="Times New Roman"/>
          <w:color w:val="000000" w:themeColor="text1"/>
          <w:sz w:val="24"/>
          <w:szCs w:val="24"/>
        </w:rPr>
        <w:t xml:space="preserve">, catalyst, unbound Cur and Rg3, </w:t>
      </w:r>
      <w:r w:rsidR="00A94291" w:rsidRPr="009C58A4">
        <w:rPr>
          <w:rFonts w:ascii="Times New Roman" w:eastAsia="宋体" w:hAnsi="Times New Roman"/>
          <w:color w:val="000000" w:themeColor="text1"/>
          <w:sz w:val="24"/>
          <w:szCs w:val="24"/>
        </w:rPr>
        <w:t>and finally centrifugation to remove unbound Cur and Rg3 to obtain drug-loaded micelles PPH@CR</w:t>
      </w:r>
      <w:r w:rsidR="009F3CCA" w:rsidRPr="009C58A4">
        <w:rPr>
          <w:rFonts w:ascii="Times New Roman" w:eastAsia="宋体" w:hAnsi="Times New Roman"/>
          <w:color w:val="000000" w:themeColor="text1"/>
          <w:sz w:val="24"/>
          <w:szCs w:val="24"/>
        </w:rPr>
        <w:t>.</w:t>
      </w:r>
    </w:p>
    <w:p w14:paraId="0DD9B85A" w14:textId="0DD8B36E" w:rsidR="006F1BC0" w:rsidRPr="009C58A4" w:rsidRDefault="008969F6" w:rsidP="008969F6">
      <w:pPr>
        <w:spacing w:line="360" w:lineRule="auto"/>
        <w:jc w:val="center"/>
        <w:rPr>
          <w:rFonts w:ascii="Times New Roman" w:eastAsia="宋体" w:hAnsi="Times New Roman"/>
          <w:color w:val="000000" w:themeColor="text1"/>
          <w:sz w:val="24"/>
          <w:szCs w:val="24"/>
        </w:rPr>
      </w:pPr>
      <w:r w:rsidRPr="008969F6">
        <w:rPr>
          <w:rFonts w:ascii="Times New Roman" w:eastAsia="宋体" w:hAnsi="Times New Roman"/>
          <w:noProof/>
          <w:color w:val="000000" w:themeColor="text1"/>
          <w:sz w:val="24"/>
          <w:szCs w:val="24"/>
        </w:rPr>
        <w:drawing>
          <wp:inline distT="0" distB="0" distL="0" distR="0" wp14:anchorId="49895973" wp14:editId="7B3F45CE">
            <wp:extent cx="5153977" cy="2871293"/>
            <wp:effectExtent l="0" t="0" r="8890" b="5715"/>
            <wp:docPr id="4" name="图片 4" descr="D:\投稿\文章里的图\Fig.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投稿\文章里的图\Fig.S2.tif"/>
                    <pic:cNvPicPr>
                      <a:picLocks noChangeAspect="1" noChangeArrowheads="1"/>
                    </pic:cNvPicPr>
                  </pic:nvPicPr>
                  <pic:blipFill rotWithShape="1">
                    <a:blip r:embed="rId9">
                      <a:extLst>
                        <a:ext uri="{28A0092B-C50C-407E-A947-70E740481C1C}">
                          <a14:useLocalDpi xmlns:a14="http://schemas.microsoft.com/office/drawing/2010/main" val="0"/>
                        </a:ext>
                      </a:extLst>
                    </a:blip>
                    <a:srcRect l="2258" t="8429" b="18968"/>
                    <a:stretch/>
                  </pic:blipFill>
                  <pic:spPr bwMode="auto">
                    <a:xfrm>
                      <a:off x="0" y="0"/>
                      <a:ext cx="5155218" cy="2871985"/>
                    </a:xfrm>
                    <a:prstGeom prst="rect">
                      <a:avLst/>
                    </a:prstGeom>
                    <a:noFill/>
                    <a:ln>
                      <a:noFill/>
                    </a:ln>
                    <a:extLst>
                      <a:ext uri="{53640926-AAD7-44D8-BBD7-CCE9431645EC}">
                        <a14:shadowObscured xmlns:a14="http://schemas.microsoft.com/office/drawing/2010/main"/>
                      </a:ext>
                    </a:extLst>
                  </pic:spPr>
                </pic:pic>
              </a:graphicData>
            </a:graphic>
          </wp:inline>
        </w:drawing>
      </w:r>
    </w:p>
    <w:p w14:paraId="74822012" w14:textId="77777777" w:rsidR="006F1BC0" w:rsidRPr="009C58A4" w:rsidRDefault="006F1BC0">
      <w:pPr>
        <w:jc w:val="center"/>
        <w:rPr>
          <w:rFonts w:ascii="Times New Roman" w:hAnsi="Times New Roman"/>
          <w:color w:val="000000" w:themeColor="text1"/>
          <w:shd w:val="clear" w:color="auto" w:fill="FFFFFF"/>
        </w:rPr>
      </w:pPr>
      <w:r w:rsidRPr="009C58A4">
        <w:rPr>
          <w:rFonts w:ascii="Times New Roman" w:hAnsi="Times New Roman"/>
          <w:b/>
          <w:color w:val="000000" w:themeColor="text1"/>
        </w:rPr>
        <w:t>Fig.</w:t>
      </w:r>
      <w:r w:rsidRPr="009C58A4">
        <w:rPr>
          <w:rFonts w:ascii="Times New Roman" w:eastAsia="黑体" w:hAnsi="Times New Roman"/>
          <w:b/>
          <w:color w:val="000000" w:themeColor="text1"/>
        </w:rPr>
        <w:t xml:space="preserve"> S2</w:t>
      </w:r>
      <w:r w:rsidRPr="009C58A4">
        <w:rPr>
          <w:rFonts w:ascii="Times New Roman" w:hAnsi="Times New Roman"/>
          <w:color w:val="000000" w:themeColor="text1"/>
          <w:shd w:val="clear" w:color="auto" w:fill="FFFFFF"/>
        </w:rPr>
        <w:t xml:space="preserve"> Synthetic routes of drug-loaded micelles PPH@C and PPH@CR</w:t>
      </w:r>
    </w:p>
    <w:p w14:paraId="3F154867"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Characterization of material</w:t>
      </w:r>
    </w:p>
    <w:p w14:paraId="2E87669E"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The chemical structures of PDEA-PGMA, PDEA-PGED, OPDEA-PGED, and OPDEA-PGED-5HA were characterized using </w:t>
      </w:r>
      <w:r w:rsidRPr="009C58A4">
        <w:rPr>
          <w:rFonts w:ascii="Times New Roman" w:eastAsia="宋体" w:hAnsi="Times New Roman"/>
          <w:color w:val="000000" w:themeColor="text1"/>
          <w:sz w:val="24"/>
          <w:szCs w:val="24"/>
          <w:vertAlign w:val="superscript"/>
        </w:rPr>
        <w:t>1</w:t>
      </w:r>
      <w:r w:rsidR="00B64928" w:rsidRPr="009C58A4">
        <w:rPr>
          <w:rFonts w:ascii="Times New Roman" w:eastAsia="宋体" w:hAnsi="Times New Roman"/>
          <w:color w:val="000000" w:themeColor="text1"/>
          <w:sz w:val="24"/>
          <w:szCs w:val="24"/>
        </w:rPr>
        <w:t>H-</w:t>
      </w:r>
      <w:r w:rsidRPr="009C58A4">
        <w:rPr>
          <w:rFonts w:ascii="Times New Roman" w:eastAsia="宋体" w:hAnsi="Times New Roman"/>
          <w:color w:val="000000" w:themeColor="text1"/>
          <w:sz w:val="24"/>
          <w:szCs w:val="24"/>
        </w:rPr>
        <w:t>NMR spectroscopy (300 MHz, CDCl</w:t>
      </w:r>
      <w:r w:rsidRPr="009C58A4">
        <w:rPr>
          <w:rFonts w:ascii="Times New Roman" w:eastAsia="宋体" w:hAnsi="Times New Roman"/>
          <w:color w:val="000000" w:themeColor="text1"/>
          <w:sz w:val="24"/>
          <w:szCs w:val="24"/>
          <w:vertAlign w:val="subscript"/>
        </w:rPr>
        <w:t>3</w:t>
      </w:r>
      <w:r w:rsidRPr="009C58A4">
        <w:rPr>
          <w:rFonts w:ascii="Times New Roman" w:eastAsia="宋体" w:hAnsi="Times New Roman"/>
          <w:color w:val="000000" w:themeColor="text1"/>
          <w:sz w:val="24"/>
          <w:szCs w:val="24"/>
        </w:rPr>
        <w:t>) and Fourier transform infrared spectroscopy (FT-IR), respectively.</w:t>
      </w:r>
    </w:p>
    <w:p w14:paraId="1B789504"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Characterization of micelles</w:t>
      </w:r>
    </w:p>
    <w:p w14:paraId="7BF97737" w14:textId="77777777" w:rsidR="006F1BC0" w:rsidRPr="009C58A4" w:rsidRDefault="006F1BC0">
      <w:pPr>
        <w:spacing w:line="360" w:lineRule="auto"/>
        <w:ind w:firstLineChars="200" w:firstLine="480"/>
        <w:rPr>
          <w:rFonts w:ascii="Times New Roman" w:hAnsi="Times New Roman"/>
          <w:color w:val="000000" w:themeColor="text1"/>
          <w:sz w:val="24"/>
          <w:szCs w:val="24"/>
        </w:rPr>
      </w:pPr>
      <w:r w:rsidRPr="009C58A4">
        <w:rPr>
          <w:rFonts w:ascii="Times New Roman" w:eastAsia="宋体" w:hAnsi="Times New Roman"/>
          <w:color w:val="000000" w:themeColor="text1"/>
          <w:sz w:val="24"/>
          <w:szCs w:val="24"/>
        </w:rPr>
        <w:t xml:space="preserve">The particle size and zeta </w:t>
      </w:r>
      <w:r w:rsidRPr="009C58A4">
        <w:rPr>
          <w:rFonts w:ascii="Times New Roman" w:hAnsi="Times New Roman"/>
          <w:color w:val="000000" w:themeColor="text1"/>
          <w:sz w:val="24"/>
          <w:szCs w:val="24"/>
        </w:rPr>
        <w:t>potential</w:t>
      </w:r>
      <w:r w:rsidRPr="009C58A4">
        <w:rPr>
          <w:rFonts w:ascii="Times New Roman" w:eastAsia="宋体" w:hAnsi="Times New Roman"/>
          <w:color w:val="000000" w:themeColor="text1"/>
          <w:sz w:val="24"/>
          <w:szCs w:val="24"/>
        </w:rPr>
        <w:t xml:space="preserve"> of empty micelles PPH as well as drug-loaded micelles PPH@C and PPH@CR in distilled water were determined using dynamic light scattering instrument (DLS) at 25 °C. The morphology and size of micelles were investigated by high-resolution transmission electron microscopy (TEM, JEOL-JEM-2100F). Briefly, placed the copper mesh on a stable plane and aspirated 10 μL of PPH, PPH@C, and PPH@CR with a syringe and dropped on a 300-mesh copper mesh, respectively, to form water droplets and let them dry naturally before taking TEM photos </w: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 </w:instrTex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EN.CITE.DATA </w:instrText>
      </w:r>
      <w:r w:rsidR="00621BE2" w:rsidRPr="009C58A4">
        <w:rPr>
          <w:rFonts w:ascii="Times New Roman" w:eastAsia="宋体" w:hAnsi="Times New Roman"/>
          <w:color w:val="000000" w:themeColor="text1"/>
          <w:sz w:val="24"/>
          <w:szCs w:val="24"/>
        </w:rPr>
        <w:fldChar w:fldCharType="end"/>
      </w:r>
      <w:r w:rsidR="00621BE2" w:rsidRPr="009C58A4">
        <w:rPr>
          <w:rFonts w:ascii="Times New Roman" w:eastAsia="宋体" w:hAnsi="Times New Roman"/>
          <w:color w:val="000000" w:themeColor="text1"/>
          <w:sz w:val="24"/>
          <w:szCs w:val="24"/>
        </w:rPr>
        <w:fldChar w:fldCharType="separate"/>
      </w:r>
      <w:r w:rsidR="00621BE2" w:rsidRPr="009C58A4">
        <w:rPr>
          <w:rFonts w:ascii="Times New Roman" w:eastAsia="宋体" w:hAnsi="Times New Roman"/>
          <w:noProof/>
          <w:color w:val="000000" w:themeColor="text1"/>
          <w:sz w:val="24"/>
          <w:szCs w:val="24"/>
        </w:rPr>
        <w:t>[6]</w:t>
      </w:r>
      <w:r w:rsidR="00621BE2"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In order to test the stability of PPH, PPH@C, and PPH@CR, the synthesized empty micelles and drug-loaded micelles were exposed to saline and stored at 4 °C, and particle size and zeta potentials were detected on days 1, 5, 10, 20, and 30, respectively.</w:t>
      </w:r>
    </w:p>
    <w:p w14:paraId="2C5F8519" w14:textId="77777777" w:rsidR="006F1BC0" w:rsidRPr="009C58A4" w:rsidRDefault="006F1BC0">
      <w:pPr>
        <w:pStyle w:val="3"/>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Drug loading of PPH@C and PPH@CR</w:t>
      </w:r>
    </w:p>
    <w:p w14:paraId="7C0F2A63" w14:textId="09E9EB67" w:rsidR="006F1BC0" w:rsidRPr="009C58A4" w:rsidRDefault="006F1BC0" w:rsidP="001907A7">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The ultraviolet peaks of Cur and Rg3 in micelles were detected by ultraviolet spectrophotometer (UV) at 25 °C after placing PPH@C and PPH@CR in deionized water for 30 minutes at pH 5.5</w:t>
      </w:r>
      <w:r w:rsidR="00F9037E" w:rsidRPr="009C58A4">
        <w:rPr>
          <w:rFonts w:ascii="Times New Roman" w:eastAsia="宋体" w:hAnsi="Times New Roman"/>
          <w:color w:val="000000" w:themeColor="text1"/>
          <w:sz w:val="24"/>
          <w:szCs w:val="24"/>
        </w:rPr>
        <w:t xml:space="preserve"> (The </w:t>
      </w:r>
      <w:r w:rsidR="001907A7" w:rsidRPr="009C58A4">
        <w:rPr>
          <w:rFonts w:ascii="Times New Roman" w:eastAsia="宋体" w:hAnsi="Times New Roman"/>
          <w:color w:val="000000" w:themeColor="text1"/>
          <w:sz w:val="24"/>
          <w:szCs w:val="24"/>
        </w:rPr>
        <w:t>UV absorption peak of curcumin wa</w:t>
      </w:r>
      <w:r w:rsidR="00F9037E" w:rsidRPr="009C58A4">
        <w:rPr>
          <w:rFonts w:ascii="Times New Roman" w:eastAsia="宋体" w:hAnsi="Times New Roman"/>
          <w:color w:val="000000" w:themeColor="text1"/>
          <w:sz w:val="24"/>
          <w:szCs w:val="24"/>
        </w:rPr>
        <w:t>s 425 n</w:t>
      </w:r>
      <w:r w:rsidR="001907A7" w:rsidRPr="009C58A4">
        <w:rPr>
          <w:rFonts w:ascii="Times New Roman" w:eastAsia="宋体" w:hAnsi="Times New Roman"/>
          <w:color w:val="000000" w:themeColor="text1"/>
          <w:sz w:val="24"/>
          <w:szCs w:val="24"/>
        </w:rPr>
        <w:t>m and the UV absorption of Rg3 wa</w:t>
      </w:r>
      <w:r w:rsidR="00F9037E" w:rsidRPr="009C58A4">
        <w:rPr>
          <w:rFonts w:ascii="Times New Roman" w:eastAsia="宋体" w:hAnsi="Times New Roman"/>
          <w:color w:val="000000" w:themeColor="text1"/>
          <w:sz w:val="24"/>
          <w:szCs w:val="24"/>
        </w:rPr>
        <w:t xml:space="preserve">s 203 nm) </w: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 </w:instrTex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EN.CITE.DATA </w:instrText>
      </w:r>
      <w:r w:rsidR="00621BE2" w:rsidRPr="009C58A4">
        <w:rPr>
          <w:rFonts w:ascii="Times New Roman" w:eastAsia="宋体" w:hAnsi="Times New Roman"/>
          <w:color w:val="000000" w:themeColor="text1"/>
          <w:sz w:val="24"/>
          <w:szCs w:val="24"/>
        </w:rPr>
        <w:fldChar w:fldCharType="end"/>
      </w:r>
      <w:r w:rsidR="00621BE2" w:rsidRPr="009C58A4">
        <w:rPr>
          <w:rFonts w:ascii="Times New Roman" w:eastAsia="宋体" w:hAnsi="Times New Roman"/>
          <w:color w:val="000000" w:themeColor="text1"/>
          <w:sz w:val="24"/>
          <w:szCs w:val="24"/>
        </w:rPr>
        <w:fldChar w:fldCharType="separate"/>
      </w:r>
      <w:r w:rsidR="00621BE2" w:rsidRPr="009C58A4">
        <w:rPr>
          <w:rFonts w:ascii="Times New Roman" w:eastAsia="宋体" w:hAnsi="Times New Roman"/>
          <w:color w:val="000000" w:themeColor="text1"/>
          <w:sz w:val="24"/>
          <w:szCs w:val="24"/>
        </w:rPr>
        <w:t>[7]</w:t>
      </w:r>
      <w:r w:rsidR="00621BE2"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xml:space="preserve">. and the drug loading was calculated according to the established standard curve. All data were presented as averages and the trial was repeated three times. Drug loading (DL%) and encapsulation rate (EE%) were calculated using equations (1) and (2), respectively </w: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 </w:instrTex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EN.CITE.DATA </w:instrText>
      </w:r>
      <w:r w:rsidR="00621BE2" w:rsidRPr="009C58A4">
        <w:rPr>
          <w:rFonts w:ascii="Times New Roman" w:eastAsia="宋体" w:hAnsi="Times New Roman"/>
          <w:color w:val="000000" w:themeColor="text1"/>
          <w:sz w:val="24"/>
          <w:szCs w:val="24"/>
        </w:rPr>
        <w:fldChar w:fldCharType="end"/>
      </w:r>
      <w:r w:rsidR="00621BE2" w:rsidRPr="009C58A4">
        <w:rPr>
          <w:rFonts w:ascii="Times New Roman" w:eastAsia="宋体" w:hAnsi="Times New Roman"/>
          <w:color w:val="000000" w:themeColor="text1"/>
          <w:sz w:val="24"/>
          <w:szCs w:val="24"/>
        </w:rPr>
        <w:fldChar w:fldCharType="separate"/>
      </w:r>
      <w:r w:rsidR="00621BE2" w:rsidRPr="009C58A4">
        <w:rPr>
          <w:rFonts w:ascii="Times New Roman" w:eastAsia="宋体" w:hAnsi="Times New Roman"/>
          <w:noProof/>
          <w:color w:val="000000" w:themeColor="text1"/>
          <w:sz w:val="24"/>
          <w:szCs w:val="24"/>
        </w:rPr>
        <w:t>[8]</w:t>
      </w:r>
      <w:r w:rsidR="00621BE2" w:rsidRPr="009C58A4">
        <w:rPr>
          <w:rFonts w:ascii="Times New Roman" w:eastAsia="宋体" w:hAnsi="Times New Roman"/>
          <w:color w:val="000000" w:themeColor="text1"/>
          <w:sz w:val="24"/>
          <w:szCs w:val="24"/>
        </w:rPr>
        <w:fldChar w:fldCharType="end"/>
      </w:r>
      <w:r w:rsidRPr="009C58A4">
        <w:rPr>
          <w:rFonts w:ascii="宋体" w:eastAsia="宋体" w:hAnsi="宋体"/>
          <w:color w:val="000000" w:themeColor="text1"/>
          <w:sz w:val="24"/>
          <w:szCs w:val="24"/>
        </w:rPr>
        <w:t>：</w:t>
      </w:r>
      <w:r w:rsidRPr="009C58A4">
        <w:rPr>
          <w:rFonts w:ascii="Times New Roman" w:eastAsia="宋体" w:hAnsi="Times New Roman"/>
          <w:color w:val="000000" w:themeColor="text1"/>
          <w:sz w:val="24"/>
          <w:szCs w:val="24"/>
        </w:rPr>
        <w:t xml:space="preserve"> </w:t>
      </w:r>
    </w:p>
    <w:p w14:paraId="6CDA21C1" w14:textId="4F0C0982" w:rsidR="00D5449E" w:rsidRPr="009C58A4" w:rsidRDefault="00D5449E" w:rsidP="00D5449E">
      <w:pPr>
        <w:rPr>
          <w:color w:val="000000" w:themeColor="text1"/>
          <w:szCs w:val="21"/>
        </w:rPr>
      </w:pPr>
      <m:oMathPara>
        <m:oMath>
          <m:r>
            <m:rPr>
              <m:sty m:val="p"/>
            </m:rPr>
            <w:rPr>
              <w:rFonts w:ascii="Cambria Math" w:hAnsi="Cambria Math" w:cs="Cambria Math"/>
              <w:color w:val="000000" w:themeColor="text1"/>
              <w:szCs w:val="21"/>
            </w:rPr>
            <m:t>DL</m:t>
          </m:r>
          <m:d>
            <m:dPr>
              <m:ctrlPr>
                <w:rPr>
                  <w:rFonts w:ascii="Cambria Math" w:hAnsi="Cambria Math" w:cs="Cambria Math"/>
                  <w:color w:val="000000" w:themeColor="text1"/>
                  <w:szCs w:val="21"/>
                </w:rPr>
              </m:ctrlPr>
            </m:dPr>
            <m:e>
              <m:r>
                <m:rPr>
                  <m:sty m:val="p"/>
                </m:rPr>
                <w:rPr>
                  <w:rFonts w:ascii="Cambria Math" w:hAnsi="Cambria Math" w:cs="Cambria Math"/>
                  <w:color w:val="000000" w:themeColor="text1"/>
                  <w:szCs w:val="21"/>
                </w:rPr>
                <m:t>%</m:t>
              </m:r>
            </m:e>
          </m:d>
          <m:r>
            <m:rPr>
              <m:sty m:val="p"/>
            </m:rPr>
            <w:rPr>
              <w:rFonts w:ascii="Cambria Math" w:hAnsi="Cambria Math" w:cs="Cambria Math"/>
              <w:color w:val="000000" w:themeColor="text1"/>
              <w:szCs w:val="21"/>
            </w:rPr>
            <m:t>=</m:t>
          </m:r>
          <m:f>
            <m:fPr>
              <m:ctrlPr>
                <w:rPr>
                  <w:rFonts w:ascii="Cambria Math" w:hAnsi="Cambria Math"/>
                  <w:color w:val="000000" w:themeColor="text1"/>
                  <w:szCs w:val="21"/>
                </w:rPr>
              </m:ctrlPr>
            </m:fPr>
            <m:num>
              <m:r>
                <m:rPr>
                  <m:sty m:val="p"/>
                </m:rPr>
                <w:rPr>
                  <w:rFonts w:ascii="Cambria Math" w:hAnsi="Cambria Math" w:cs="Cambria Math"/>
                  <w:color w:val="000000" w:themeColor="text1"/>
                  <w:szCs w:val="21"/>
                </w:rPr>
                <m:t>The amount of drug in the nanoparticle</m:t>
              </m:r>
            </m:num>
            <m:den>
              <m:r>
                <m:rPr>
                  <m:sty m:val="p"/>
                </m:rPr>
                <w:rPr>
                  <w:rFonts w:ascii="Cambria Math" w:hAnsi="Cambria Math" w:cs="Cambria Math"/>
                  <w:color w:val="000000" w:themeColor="text1"/>
                  <w:szCs w:val="21"/>
                </w:rPr>
                <m:t>Total mass of nanoparticles</m:t>
              </m:r>
            </m:den>
          </m:f>
          <m:r>
            <m:rPr>
              <m:sty m:val="p"/>
            </m:rPr>
            <w:rPr>
              <w:rFonts w:ascii="Cambria Math" w:hAnsi="Cambria Math"/>
              <w:color w:val="000000" w:themeColor="text1"/>
              <w:szCs w:val="21"/>
            </w:rPr>
            <m:t xml:space="preserve"> </m:t>
          </m:r>
          <m:r>
            <m:rPr>
              <m:sty m:val="p"/>
            </m:rPr>
            <w:rPr>
              <w:rFonts w:ascii="Cambria Math" w:hAnsi="Cambria Math" w:cs="Cambria Math"/>
              <w:color w:val="000000" w:themeColor="text1"/>
              <w:szCs w:val="21"/>
            </w:rPr>
            <m:t>⋯⋯⋯⋯⋯⋯(1)</m:t>
          </m:r>
        </m:oMath>
      </m:oMathPara>
    </w:p>
    <w:p w14:paraId="5D33B027" w14:textId="0BF5A859" w:rsidR="00D5449E" w:rsidRPr="009C58A4" w:rsidRDefault="00D5449E" w:rsidP="001907A7">
      <w:pPr>
        <w:rPr>
          <w:color w:val="000000" w:themeColor="text1"/>
          <w:szCs w:val="21"/>
        </w:rPr>
      </w:pPr>
      <m:oMathPara>
        <m:oMath>
          <m:r>
            <m:rPr>
              <m:sty m:val="p"/>
            </m:rPr>
            <w:rPr>
              <w:rFonts w:ascii="Cambria Math" w:hAnsi="Cambria Math" w:cs="Cambria Math"/>
              <w:color w:val="000000" w:themeColor="text1"/>
              <w:szCs w:val="21"/>
            </w:rPr>
            <m:t>EE</m:t>
          </m:r>
          <m:d>
            <m:dPr>
              <m:ctrlPr>
                <w:rPr>
                  <w:rFonts w:ascii="Cambria Math" w:hAnsi="Cambria Math" w:cs="Cambria Math"/>
                  <w:color w:val="000000" w:themeColor="text1"/>
                  <w:szCs w:val="21"/>
                </w:rPr>
              </m:ctrlPr>
            </m:dPr>
            <m:e>
              <m:r>
                <m:rPr>
                  <m:sty m:val="p"/>
                </m:rPr>
                <w:rPr>
                  <w:rFonts w:ascii="Cambria Math" w:hAnsi="Cambria Math" w:cs="Cambria Math"/>
                  <w:color w:val="000000" w:themeColor="text1"/>
                  <w:szCs w:val="21"/>
                </w:rPr>
                <m:t>%</m:t>
              </m:r>
            </m:e>
          </m:d>
          <m:r>
            <m:rPr>
              <m:sty m:val="p"/>
            </m:rPr>
            <w:rPr>
              <w:rFonts w:ascii="Cambria Math" w:hAnsi="Cambria Math" w:cs="Cambria Math"/>
              <w:color w:val="000000" w:themeColor="text1"/>
              <w:szCs w:val="21"/>
            </w:rPr>
            <m:t>=</m:t>
          </m:r>
          <m:f>
            <m:fPr>
              <m:ctrlPr>
                <w:rPr>
                  <w:rFonts w:ascii="Cambria Math" w:hAnsi="Cambria Math"/>
                  <w:color w:val="000000" w:themeColor="text1"/>
                  <w:szCs w:val="21"/>
                </w:rPr>
              </m:ctrlPr>
            </m:fPr>
            <m:num>
              <m:r>
                <m:rPr>
                  <m:sty m:val="p"/>
                </m:rPr>
                <w:rPr>
                  <w:rFonts w:ascii="Cambria Math" w:hAnsi="Cambria Math" w:cs="Cambria Math"/>
                  <w:color w:val="000000" w:themeColor="text1"/>
                  <w:szCs w:val="21"/>
                </w:rPr>
                <m:t>The amount of drug in the nanoparticle</m:t>
              </m:r>
            </m:num>
            <m:den>
              <m:r>
                <m:rPr>
                  <m:sty m:val="p"/>
                </m:rPr>
                <w:rPr>
                  <w:rFonts w:ascii="Cambria Math" w:hAnsi="Cambria Math" w:cs="Cambria Math"/>
                  <w:color w:val="000000" w:themeColor="text1"/>
                  <w:szCs w:val="21"/>
                </w:rPr>
                <m:t>Total dosage</m:t>
              </m:r>
            </m:den>
          </m:f>
          <m:r>
            <m:rPr>
              <m:sty m:val="p"/>
            </m:rPr>
            <w:rPr>
              <w:rFonts w:ascii="Cambria Math" w:hAnsi="Cambria Math"/>
              <w:color w:val="000000" w:themeColor="text1"/>
              <w:szCs w:val="21"/>
            </w:rPr>
            <m:t xml:space="preserve"> </m:t>
          </m:r>
          <m:r>
            <m:rPr>
              <m:sty m:val="p"/>
            </m:rPr>
            <w:rPr>
              <w:rFonts w:ascii="Cambria Math" w:hAnsi="Cambria Math" w:cs="Cambria Math"/>
              <w:color w:val="000000" w:themeColor="text1"/>
              <w:szCs w:val="21"/>
            </w:rPr>
            <m:t>⋯⋯⋯⋯⋯⋯(2)</m:t>
          </m:r>
        </m:oMath>
      </m:oMathPara>
    </w:p>
    <w:p w14:paraId="22F9C021" w14:textId="77777777" w:rsidR="006F1BC0" w:rsidRPr="009C58A4" w:rsidRDefault="006F1BC0">
      <w:pPr>
        <w:pStyle w:val="3"/>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Drug releasing of PPH@CR</w:t>
      </w:r>
    </w:p>
    <w:p w14:paraId="2C80827E" w14:textId="5EF030CE" w:rsidR="00D5449E" w:rsidRPr="009C58A4" w:rsidRDefault="006F1BC0" w:rsidP="001907A7">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The PPH@CR can respond to low pH due to the presence of vinyl ether bonds. So we prepared saline dialysate of different pH values (7.4, 6.5, 5.5) containing 0.1% (v/v) tween 80 to simulate the normal physiological environment, tumor microenvironment and lysosomal internal environment </w: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 </w:instrTex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EN.CITE.DATA </w:instrText>
      </w:r>
      <w:r w:rsidR="00621BE2" w:rsidRPr="009C58A4">
        <w:rPr>
          <w:rFonts w:ascii="Times New Roman" w:eastAsia="宋体" w:hAnsi="Times New Roman"/>
          <w:color w:val="000000" w:themeColor="text1"/>
          <w:sz w:val="24"/>
          <w:szCs w:val="24"/>
        </w:rPr>
        <w:fldChar w:fldCharType="end"/>
      </w:r>
      <w:r w:rsidR="00621BE2" w:rsidRPr="009C58A4">
        <w:rPr>
          <w:rFonts w:ascii="Times New Roman" w:eastAsia="宋体" w:hAnsi="Times New Roman"/>
          <w:color w:val="000000" w:themeColor="text1"/>
          <w:sz w:val="24"/>
          <w:szCs w:val="24"/>
        </w:rPr>
        <w:fldChar w:fldCharType="separate"/>
      </w:r>
      <w:r w:rsidR="00621BE2" w:rsidRPr="009C58A4">
        <w:rPr>
          <w:rFonts w:ascii="Times New Roman" w:eastAsia="宋体" w:hAnsi="Times New Roman"/>
          <w:noProof/>
          <w:color w:val="000000" w:themeColor="text1"/>
          <w:sz w:val="24"/>
          <w:szCs w:val="24"/>
        </w:rPr>
        <w:t>[9, 10]</w:t>
      </w:r>
      <w:r w:rsidR="00621BE2"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xml:space="preserve">. Then immersed dialysis tubing (MWCO: 3500 Da) containing equal amounts of PPH@CR solution to 50 mL of dialysate of different pH values (pH = 7.4 or pH = 5.5) </w: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 &lt;EndNote&gt;&lt;Cite&gt;&lt;Author&gt;Yin&lt;/Author&gt;&lt;Year&gt;2023&lt;/Year&gt;&lt;RecNum&gt;72&lt;/RecNum&gt;&lt;DisplayText&gt;[11]&lt;/DisplayText&gt;&lt;record&gt;&lt;rec-number&gt;72&lt;/rec-number&gt;&lt;foreign-keys&gt;&lt;key app="EN" db-id="aettxter09dswce0pzsx0fpotxaddedzdvtv" timestamp="1705590929"&gt;72&lt;/key&gt;&lt;/foreign-keys&gt;&lt;ref-type name="Journal Article"&gt;17&lt;/ref-type&gt;&lt;contributors&gt;&lt;authors&gt;&lt;author&gt;Yin, Y.&lt;/author&gt;&lt;author&gt;Jiang, H.&lt;/author&gt;&lt;author&gt;Wang, Y.&lt;/author&gt;&lt;author&gt;Zhang, L.&lt;/author&gt;&lt;author&gt;Sun, C.&lt;/author&gt;&lt;author&gt;Xie, P.&lt;/author&gt;&lt;author&gt;Zheng, K.&lt;/author&gt;&lt;author&gt;Wang, S.&lt;/author&gt;&lt;author&gt;Yang, Q.&lt;/author&gt;&lt;/authors&gt;&lt;/contributors&gt;&lt;auth-address&gt;The Second Affiliated Hospital of Chengdu Medical College (China National Nuclear Corporation 416 Hospital), Center of Scientific Research, Chengdu Medical College, Chengdu 610500, China.&amp;#xD;School of Bioscience and Technology, Chengdu Medical College, No. 783, Xindu Avenue, Xindu District, Chengdu 610500, China.&lt;/auth-address&gt;&lt;titles&gt;&lt;title&gt;Self-Assembled Nanodelivery System with Rapamycin and Curcumin for Combined Photo-Chemotherapy of Breast Cancer&lt;/title&gt;&lt;secondary-title&gt;Pharmaceutics&lt;/secondary-title&gt;&lt;/titles&gt;&lt;periodical&gt;&lt;full-title&gt;Pharmaceutics&lt;/full-title&gt;&lt;/periodical&gt;&lt;volume&gt;15&lt;/volume&gt;&lt;number&gt;3&lt;/number&gt;&lt;edition&gt;20230305&lt;/edition&gt;&lt;keywords&gt;&lt;keyword&gt;breast cancer&lt;/keyword&gt;&lt;keyword&gt;chemo-phototherapy&lt;/keyword&gt;&lt;keyword&gt;curcumin&lt;/keyword&gt;&lt;keyword&gt;nanodelivery system&lt;/keyword&gt;&lt;keyword&gt;rapamycin&lt;/keyword&gt;&lt;/keywords&gt;&lt;dates&gt;&lt;year&gt;2023&lt;/year&gt;&lt;pub-dates&gt;&lt;date&gt;Mar 5&lt;/date&gt;&lt;/pub-dates&gt;&lt;/dates&gt;&lt;isbn&gt;1999-4923 (Print)&amp;#xD;1999-4923 (Electronic)&amp;#xD;1999-4923 (Linking)&lt;/isbn&gt;&lt;accession-num&gt;36986711&lt;/accession-num&gt;&lt;urls&gt;&lt;related-urls&gt;&lt;url&gt;https://www.ncbi.nlm.nih.gov/pubmed/36986711&lt;/url&gt;&lt;/related-urls&gt;&lt;/urls&gt;&lt;custom1&gt;The manuscript was written through the contributions of all authors, and there are no conflicts of interest to declare for this work.&lt;/custom1&gt;&lt;custom2&gt;PMC10058775&lt;/custom2&gt;&lt;electronic-resource-num&gt;10.3390/pharmaceutics15030849&lt;/electronic-resource-num&gt;&lt;/record&gt;&lt;/Cite&gt;&lt;/EndNote&gt;</w:instrText>
      </w:r>
      <w:r w:rsidR="00621BE2" w:rsidRPr="009C58A4">
        <w:rPr>
          <w:rFonts w:ascii="Times New Roman" w:eastAsia="宋体" w:hAnsi="Times New Roman"/>
          <w:color w:val="000000" w:themeColor="text1"/>
          <w:sz w:val="24"/>
          <w:szCs w:val="24"/>
        </w:rPr>
        <w:fldChar w:fldCharType="separate"/>
      </w:r>
      <w:r w:rsidR="00621BE2" w:rsidRPr="009C58A4">
        <w:rPr>
          <w:rFonts w:ascii="Times New Roman" w:eastAsia="宋体" w:hAnsi="Times New Roman"/>
          <w:noProof/>
          <w:color w:val="000000" w:themeColor="text1"/>
          <w:sz w:val="24"/>
          <w:szCs w:val="24"/>
        </w:rPr>
        <w:t>[11]</w:t>
      </w:r>
      <w:r w:rsidR="00621BE2"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 xml:space="preserve"> and slowly stired them in a dark environment at 37 ℃. Then removed 3 mL of the solution on the outside of the dialysis bag at different time points, and added the same volume of fresh dialysate corresponding to the pH value to keep the volume of the solution outside the dialysis bag constant. The emission of Cur and Rg3 were determined with UV and calculated from the established standard curve (</w:t>
      </w:r>
      <w:r w:rsidRPr="009C58A4">
        <w:rPr>
          <w:rFonts w:ascii="Times New Roman" w:eastAsia="黑体" w:hAnsi="Times New Roman"/>
          <w:color w:val="000000" w:themeColor="text1"/>
          <w:sz w:val="24"/>
          <w:szCs w:val="24"/>
        </w:rPr>
        <w:t>Fig. S1</w:t>
      </w:r>
      <w:r w:rsidRPr="009C58A4">
        <w:rPr>
          <w:rFonts w:ascii="Times New Roman" w:eastAsia="宋体" w:hAnsi="Times New Roman"/>
          <w:color w:val="000000" w:themeColor="text1"/>
          <w:sz w:val="24"/>
          <w:szCs w:val="24"/>
        </w:rPr>
        <w:t>). All data were presented as averages and the trial was repeated three times. The cumulative release (C</w:t>
      </w:r>
      <w:r w:rsidRPr="009C58A4">
        <w:rPr>
          <w:rFonts w:ascii="Times New Roman" w:eastAsia="宋体" w:hAnsi="Times New Roman"/>
          <w:color w:val="000000" w:themeColor="text1"/>
          <w:sz w:val="24"/>
          <w:szCs w:val="24"/>
          <w:vertAlign w:val="subscript"/>
        </w:rPr>
        <w:t>A</w:t>
      </w:r>
      <w:r w:rsidRPr="009C58A4">
        <w:rPr>
          <w:rFonts w:ascii="Times New Roman" w:eastAsia="宋体" w:hAnsi="Times New Roman"/>
          <w:color w:val="000000" w:themeColor="text1"/>
          <w:sz w:val="24"/>
          <w:szCs w:val="24"/>
        </w:rPr>
        <w:t xml:space="preserve">) was calculated according to the following equation </w: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 &lt;EndNote&gt;&lt;Cite&gt;&lt;Author&gt;Yin&lt;/Author&gt;&lt;Year&gt;2023&lt;/Year&gt;&lt;RecNum&gt;72&lt;/RecNum&gt;&lt;DisplayText&gt;[11]&lt;/DisplayText&gt;&lt;record&gt;&lt;rec-number&gt;72&lt;/rec-number&gt;&lt;foreign-keys&gt;&lt;key app="EN" db-id="aettxter09dswce0pzsx0fpotxaddedzdvtv" timestamp="1705590929"&gt;72&lt;/key&gt;&lt;/foreign-keys&gt;&lt;ref-type name="Journal Article"&gt;17&lt;/ref-type&gt;&lt;contributors&gt;&lt;authors&gt;&lt;author&gt;Yin, Y.&lt;/author&gt;&lt;author&gt;Jiang, H.&lt;/author&gt;&lt;author&gt;Wang, Y.&lt;/author&gt;&lt;author&gt;Zhang, L.&lt;/author&gt;&lt;author&gt;Sun, C.&lt;/author&gt;&lt;author&gt;Xie, P.&lt;/author&gt;&lt;author&gt;Zheng, K.&lt;/author&gt;&lt;author&gt;Wang, S.&lt;/author&gt;&lt;author&gt;Yang, Q.&lt;/author&gt;&lt;/authors&gt;&lt;/contributors&gt;&lt;auth-address&gt;The Second Affiliated Hospital of Chengdu Medical College (China National Nuclear Corporation 416 Hospital), Center of Scientific Research, Chengdu Medical College, Chengdu 610500, China.&amp;#xD;School of Bioscience and Technology, Chengdu Medical College, No. 783, Xindu Avenue, Xindu District, Chengdu 610500, China.&lt;/auth-address&gt;&lt;titles&gt;&lt;title&gt;Self-Assembled Nanodelivery System with Rapamycin and Curcumin for Combined Photo-Chemotherapy of Breast Cancer&lt;/title&gt;&lt;secondary-title&gt;Pharmaceutics&lt;/secondary-title&gt;&lt;/titles&gt;&lt;periodical&gt;&lt;full-title&gt;Pharmaceutics&lt;/full-title&gt;&lt;/periodical&gt;&lt;volume&gt;15&lt;/volume&gt;&lt;number&gt;3&lt;/number&gt;&lt;edition&gt;20230305&lt;/edition&gt;&lt;keywords&gt;&lt;keyword&gt;breast cancer&lt;/keyword&gt;&lt;keyword&gt;chemo-phototherapy&lt;/keyword&gt;&lt;keyword&gt;curcumin&lt;/keyword&gt;&lt;keyword&gt;nanodelivery system&lt;/keyword&gt;&lt;keyword&gt;rapamycin&lt;/keyword&gt;&lt;/keywords&gt;&lt;dates&gt;&lt;year&gt;2023&lt;/year&gt;&lt;pub-dates&gt;&lt;date&gt;Mar 5&lt;/date&gt;&lt;/pub-dates&gt;&lt;/dates&gt;&lt;isbn&gt;1999-4923 (Print)&amp;#xD;1999-4923 (Electronic)&amp;#xD;1999-4923 (Linking)&lt;/isbn&gt;&lt;accession-num&gt;36986711&lt;/accession-num&gt;&lt;urls&gt;&lt;related-urls&gt;&lt;url&gt;https://www.ncbi.nlm.nih.gov/pubmed/36986711&lt;/url&gt;&lt;/related-urls&gt;&lt;/urls&gt;&lt;custom1&gt;The manuscript was written through the contributions of all authors, and there are no conflicts of interest to declare for this work.&lt;/custom1&gt;&lt;custom2&gt;PMC10058775&lt;/custom2&gt;&lt;electronic-resource-num&gt;10.3390/pharmaceutics15030849&lt;/electronic-resource-num&gt;&lt;/record&gt;&lt;/Cite&gt;&lt;/EndNote&gt;</w:instrText>
      </w:r>
      <w:r w:rsidR="00621BE2" w:rsidRPr="009C58A4">
        <w:rPr>
          <w:rFonts w:ascii="Times New Roman" w:eastAsia="宋体" w:hAnsi="Times New Roman"/>
          <w:color w:val="000000" w:themeColor="text1"/>
          <w:sz w:val="24"/>
          <w:szCs w:val="24"/>
        </w:rPr>
        <w:fldChar w:fldCharType="separate"/>
      </w:r>
      <w:r w:rsidR="00621BE2" w:rsidRPr="009C58A4">
        <w:rPr>
          <w:rFonts w:ascii="Times New Roman" w:eastAsia="宋体" w:hAnsi="Times New Roman"/>
          <w:noProof/>
          <w:color w:val="000000" w:themeColor="text1"/>
          <w:sz w:val="24"/>
          <w:szCs w:val="24"/>
        </w:rPr>
        <w:t>[11]</w:t>
      </w:r>
      <w:r w:rsidR="00621BE2" w:rsidRPr="009C58A4">
        <w:rPr>
          <w:rFonts w:ascii="Times New Roman" w:eastAsia="宋体" w:hAnsi="Times New Roman"/>
          <w:color w:val="000000" w:themeColor="text1"/>
          <w:sz w:val="24"/>
          <w:szCs w:val="24"/>
        </w:rPr>
        <w:fldChar w:fldCharType="end"/>
      </w:r>
      <w:r w:rsidRPr="009C58A4">
        <w:rPr>
          <w:rFonts w:ascii="宋体" w:eastAsia="宋体" w:hAnsi="宋体" w:hint="eastAsia"/>
          <w:color w:val="000000" w:themeColor="text1"/>
          <w:sz w:val="24"/>
          <w:szCs w:val="24"/>
        </w:rPr>
        <w:t>.</w:t>
      </w:r>
    </w:p>
    <w:p w14:paraId="782292AA" w14:textId="257B053A" w:rsidR="006F1BC0" w:rsidRPr="009C58A4" w:rsidRDefault="006F1BC0" w:rsidP="001907A7">
      <w:pPr>
        <w:rPr>
          <w:color w:val="000000" w:themeColor="text1"/>
        </w:rPr>
      </w:pPr>
      <w:r w:rsidRPr="009C58A4">
        <w:rPr>
          <w:rFonts w:ascii="Times New Roman" w:eastAsia="宋体" w:hAnsi="Times New Roman"/>
          <w:color w:val="000000" w:themeColor="text1"/>
          <w:sz w:val="24"/>
          <w:szCs w:val="24"/>
        </w:rPr>
        <w:t xml:space="preserve"> </w:t>
      </w:r>
      <w:r w:rsidR="00D5449E" w:rsidRPr="009C58A4">
        <w:rPr>
          <w:rFonts w:ascii="Cambria Math" w:hAnsi="Cambria Math" w:cs="Cambria Math"/>
          <w:color w:val="000000" w:themeColor="text1"/>
        </w:rPr>
        <w:br/>
      </w:r>
      <m:oMathPara>
        <m:oMath>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C</m:t>
              </m:r>
            </m:e>
            <m:sub>
              <m:r>
                <m:rPr>
                  <m:sty m:val="p"/>
                </m:rPr>
                <w:rPr>
                  <w:rFonts w:ascii="Cambria Math" w:hAnsi="Cambria Math" w:cs="Cambria Math"/>
                  <w:color w:val="000000" w:themeColor="text1"/>
                </w:rPr>
                <m:t>A</m:t>
              </m:r>
            </m:sub>
          </m:sSub>
          <m:r>
            <m:rPr>
              <m:sty m:val="p"/>
            </m:rPr>
            <w:rPr>
              <w:rFonts w:ascii="Cambria Math" w:hAnsi="Cambria Math" w:cs="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m:rPr>
                      <m:sty m:val="p"/>
                    </m:rPr>
                    <w:rPr>
                      <w:rFonts w:ascii="Cambria Math" w:hAnsi="Cambria Math"/>
                      <w:color w:val="000000" w:themeColor="text1"/>
                    </w:rPr>
                    <m:t>M</m:t>
                  </m:r>
                </m:e>
                <m:sub>
                  <m:r>
                    <m:rPr>
                      <m:sty m:val="p"/>
                    </m:rPr>
                    <w:rPr>
                      <w:rFonts w:ascii="Cambria Math" w:hAnsi="Cambria Math"/>
                      <w:color w:val="000000" w:themeColor="text1"/>
                    </w:rPr>
                    <m:t>t</m:t>
                  </m:r>
                </m:sub>
              </m:sSub>
            </m:num>
            <m:den>
              <m:sSub>
                <m:sSubPr>
                  <m:ctrlPr>
                    <w:rPr>
                      <w:rFonts w:ascii="Cambria Math" w:hAnsi="Cambria Math"/>
                      <w:color w:val="000000" w:themeColor="text1"/>
                    </w:rPr>
                  </m:ctrlPr>
                </m:sSubPr>
                <m:e>
                  <m:r>
                    <m:rPr>
                      <m:sty m:val="p"/>
                    </m:rPr>
                    <w:rPr>
                      <w:rFonts w:ascii="Cambria Math" w:hAnsi="Cambria Math"/>
                      <w:color w:val="000000" w:themeColor="text1"/>
                    </w:rPr>
                    <m:t>M</m:t>
                  </m:r>
                </m:e>
                <m:sub>
                  <m:r>
                    <m:rPr>
                      <m:sty m:val="p"/>
                    </m:rPr>
                    <w:rPr>
                      <w:rFonts w:ascii="Cambria Math" w:hAnsi="Cambria Math"/>
                      <w:color w:val="000000" w:themeColor="text1"/>
                    </w:rPr>
                    <m:t>total</m:t>
                  </m:r>
                </m:sub>
              </m:sSub>
            </m:den>
          </m:f>
          <m:r>
            <m:rPr>
              <m:sty m:val="p"/>
            </m:rPr>
            <w:rPr>
              <w:rFonts w:ascii="Cambria Math" w:hAnsi="Cambria Math"/>
              <w:color w:val="000000" w:themeColor="text1"/>
            </w:rPr>
            <m:t>×100%</m:t>
          </m:r>
        </m:oMath>
      </m:oMathPara>
    </w:p>
    <w:p w14:paraId="6161793E"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In this equation, M</w:t>
      </w:r>
      <w:r w:rsidRPr="009C58A4">
        <w:rPr>
          <w:rFonts w:ascii="Times New Roman" w:eastAsia="宋体" w:hAnsi="Times New Roman"/>
          <w:color w:val="000000" w:themeColor="text1"/>
          <w:sz w:val="24"/>
          <w:szCs w:val="24"/>
          <w:vertAlign w:val="subscript"/>
        </w:rPr>
        <w:t>t</w:t>
      </w:r>
      <w:r w:rsidRPr="009C58A4">
        <w:rPr>
          <w:rFonts w:ascii="Times New Roman" w:eastAsia="宋体" w:hAnsi="Times New Roman"/>
          <w:color w:val="000000" w:themeColor="text1"/>
          <w:sz w:val="24"/>
          <w:szCs w:val="24"/>
        </w:rPr>
        <w:t xml:space="preserve"> represents the amount of drug released from the nanoparticles at different times, and M</w:t>
      </w:r>
      <w:r w:rsidRPr="009C58A4">
        <w:rPr>
          <w:rFonts w:ascii="Times New Roman" w:eastAsia="宋体" w:hAnsi="Times New Roman"/>
          <w:color w:val="000000" w:themeColor="text1"/>
          <w:sz w:val="24"/>
          <w:szCs w:val="24"/>
          <w:vertAlign w:val="subscript"/>
        </w:rPr>
        <w:t>total</w:t>
      </w:r>
      <w:r w:rsidRPr="009C58A4">
        <w:rPr>
          <w:rFonts w:ascii="Times New Roman" w:eastAsia="宋体" w:hAnsi="Times New Roman"/>
          <w:color w:val="000000" w:themeColor="text1"/>
          <w:sz w:val="24"/>
          <w:szCs w:val="24"/>
        </w:rPr>
        <w:t xml:space="preserve"> represents the total amount of drug in the nanoparticles.</w:t>
      </w:r>
    </w:p>
    <w:p w14:paraId="73753888"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We also observed the morphology, size, and zeta potential of two drug-loaded nanoparticles at different pH environments. Briefly, PPH@C and PPH@CR were placed in saline at pH 7.4 and pH 5.5, respectively. And the morphological changes of micelles were observed using TEM, and the changes in particle size and zeta potential of PPH@C and PPH@CR at different pH were measured using DLS and zeta potentiometers.</w:t>
      </w:r>
      <w:bookmarkStart w:id="0" w:name="_GoBack"/>
      <w:bookmarkEnd w:id="0"/>
    </w:p>
    <w:p w14:paraId="7306A0A8" w14:textId="77777777" w:rsidR="006F1BC0" w:rsidRPr="009C58A4" w:rsidRDefault="006F1BC0">
      <w:pPr>
        <w:spacing w:before="260" w:after="260" w:line="360" w:lineRule="auto"/>
        <w:outlineLvl w:val="2"/>
        <w:rPr>
          <w:rFonts w:ascii="Times New Roman" w:eastAsia="宋体" w:hAnsi="Times New Roman"/>
          <w:color w:val="000000" w:themeColor="text1"/>
          <w:sz w:val="24"/>
          <w:szCs w:val="24"/>
        </w:rPr>
      </w:pPr>
      <w:r w:rsidRPr="009C58A4">
        <w:rPr>
          <w:rFonts w:ascii="Times New Roman" w:eastAsia="宋体" w:hAnsi="Times New Roman"/>
          <w:b/>
          <w:bCs/>
          <w:color w:val="000000" w:themeColor="text1"/>
          <w:sz w:val="24"/>
          <w:szCs w:val="24"/>
        </w:rPr>
        <w:t>Cells and animals</w:t>
      </w:r>
      <w:r w:rsidRPr="009C58A4">
        <w:rPr>
          <w:rFonts w:ascii="Times New Roman" w:eastAsia="宋体" w:hAnsi="Times New Roman"/>
          <w:color w:val="000000" w:themeColor="text1"/>
          <w:sz w:val="24"/>
          <w:szCs w:val="24"/>
        </w:rPr>
        <w:t xml:space="preserve"> </w:t>
      </w:r>
    </w:p>
    <w:p w14:paraId="604E3268" w14:textId="77777777" w:rsidR="006F1BC0" w:rsidRPr="009C58A4" w:rsidRDefault="006F1BC0">
      <w:pPr>
        <w:spacing w:line="360" w:lineRule="auto"/>
        <w:ind w:firstLineChars="200" w:firstLine="480"/>
        <w:rPr>
          <w:rFonts w:ascii="Times New Roman" w:hAnsi="Times New Roman"/>
          <w:color w:val="000000" w:themeColor="text1"/>
          <w:sz w:val="24"/>
          <w:szCs w:val="24"/>
        </w:rPr>
      </w:pPr>
      <w:r w:rsidRPr="009C58A4">
        <w:rPr>
          <w:rFonts w:ascii="Times New Roman" w:hAnsi="Times New Roman"/>
          <w:color w:val="000000" w:themeColor="text1"/>
          <w:sz w:val="24"/>
          <w:szCs w:val="24"/>
        </w:rPr>
        <w:t>The triple-negative breast cancer cell line 4T1 was donated by Changchun Institute of Applied Chemistry, Chinese Academy of Sciences, and cultured in RPMI 1640 medium containing 10% fetal bovine serum and 1% penicillin-streptomycin in a cell culture incubator containing 5% CO</w:t>
      </w:r>
      <w:r w:rsidRPr="009C58A4">
        <w:rPr>
          <w:rFonts w:ascii="Times New Roman" w:hAnsi="Times New Roman"/>
          <w:color w:val="000000" w:themeColor="text1"/>
          <w:sz w:val="24"/>
          <w:szCs w:val="24"/>
          <w:vertAlign w:val="subscript"/>
        </w:rPr>
        <w:t>2</w:t>
      </w:r>
      <w:r w:rsidRPr="009C58A4">
        <w:rPr>
          <w:rFonts w:ascii="Times New Roman" w:hAnsi="Times New Roman"/>
          <w:color w:val="000000" w:themeColor="text1"/>
          <w:sz w:val="24"/>
          <w:szCs w:val="24"/>
        </w:rPr>
        <w:t xml:space="preserve"> at 37 °C </w:t>
      </w:r>
      <w:r w:rsidR="00621BE2" w:rsidRPr="009C58A4">
        <w:rPr>
          <w:rFonts w:ascii="Times New Roman" w:hAnsi="Times New Roman"/>
          <w:color w:val="000000" w:themeColor="text1"/>
          <w:sz w:val="24"/>
          <w:szCs w:val="24"/>
        </w:rPr>
        <w:fldChar w:fldCharType="begin"/>
      </w:r>
      <w:r w:rsidR="00621BE2" w:rsidRPr="009C58A4">
        <w:rPr>
          <w:rFonts w:ascii="Times New Roman" w:hAnsi="Times New Roman"/>
          <w:color w:val="000000" w:themeColor="text1"/>
          <w:sz w:val="24"/>
          <w:szCs w:val="24"/>
        </w:rPr>
        <w:instrText xml:space="preserve"> ADDIN EN.CITE </w:instrText>
      </w:r>
      <w:r w:rsidR="00621BE2" w:rsidRPr="009C58A4">
        <w:rPr>
          <w:rFonts w:ascii="Times New Roman" w:hAnsi="Times New Roman"/>
          <w:color w:val="000000" w:themeColor="text1"/>
          <w:sz w:val="24"/>
          <w:szCs w:val="24"/>
        </w:rPr>
        <w:fldChar w:fldCharType="begin"/>
      </w:r>
      <w:r w:rsidR="00621BE2" w:rsidRPr="009C58A4">
        <w:rPr>
          <w:rFonts w:ascii="Times New Roman" w:hAnsi="Times New Roman"/>
          <w:color w:val="000000" w:themeColor="text1"/>
          <w:sz w:val="24"/>
          <w:szCs w:val="24"/>
        </w:rPr>
        <w:instrText xml:space="preserve"> ADDIN EN.CITE.DATA </w:instrText>
      </w:r>
      <w:r w:rsidR="00621BE2" w:rsidRPr="009C58A4">
        <w:rPr>
          <w:rFonts w:ascii="Times New Roman" w:hAnsi="Times New Roman"/>
          <w:color w:val="000000" w:themeColor="text1"/>
          <w:sz w:val="24"/>
          <w:szCs w:val="24"/>
        </w:rPr>
        <w:fldChar w:fldCharType="end"/>
      </w:r>
      <w:r w:rsidR="00621BE2" w:rsidRPr="009C58A4">
        <w:rPr>
          <w:rFonts w:ascii="Times New Roman" w:hAnsi="Times New Roman"/>
          <w:color w:val="000000" w:themeColor="text1"/>
          <w:sz w:val="24"/>
          <w:szCs w:val="24"/>
        </w:rPr>
        <w:fldChar w:fldCharType="separate"/>
      </w:r>
      <w:r w:rsidR="00621BE2" w:rsidRPr="009C58A4">
        <w:rPr>
          <w:rFonts w:ascii="Times New Roman" w:hAnsi="Times New Roman"/>
          <w:noProof/>
          <w:color w:val="000000" w:themeColor="text1"/>
          <w:sz w:val="24"/>
          <w:szCs w:val="24"/>
        </w:rPr>
        <w:t>[12]</w:t>
      </w:r>
      <w:r w:rsidR="00621BE2" w:rsidRPr="009C58A4">
        <w:rPr>
          <w:rFonts w:ascii="Times New Roman" w:hAnsi="Times New Roman"/>
          <w:color w:val="000000" w:themeColor="text1"/>
          <w:sz w:val="24"/>
          <w:szCs w:val="24"/>
        </w:rPr>
        <w:fldChar w:fldCharType="end"/>
      </w:r>
      <w:r w:rsidRPr="009C58A4">
        <w:rPr>
          <w:rFonts w:ascii="Times New Roman" w:eastAsia="宋体" w:hAnsi="Times New Roman"/>
          <w:color w:val="000000" w:themeColor="text1"/>
          <w:sz w:val="24"/>
          <w:szCs w:val="24"/>
        </w:rPr>
        <w:t>. Female BALB/c mice (6-8 weeks old) were purchased from Beijing Weitong Lihua Company, and were raised at 20 °C without specific pathogens (SPF) and allowed to acclimatize in a rearing facility for at least 7 days, and had free access to water and food before the experiment. All animal experimental protocols were approved by the Animal Ethics and Experiment Committee of Jilin University (approval number</w:t>
      </w:r>
      <w:r w:rsidRPr="009C58A4">
        <w:rPr>
          <w:rFonts w:ascii="宋体" w:eastAsia="宋体" w:hAnsi="宋体"/>
          <w:color w:val="000000" w:themeColor="text1"/>
          <w:sz w:val="24"/>
          <w:szCs w:val="24"/>
        </w:rPr>
        <w:t>：</w:t>
      </w:r>
      <w:r w:rsidRPr="009C58A4">
        <w:rPr>
          <w:rFonts w:ascii="Times New Roman" w:eastAsia="宋体" w:hAnsi="Times New Roman"/>
          <w:color w:val="000000" w:themeColor="text1"/>
          <w:sz w:val="24"/>
          <w:szCs w:val="24"/>
        </w:rPr>
        <w:t>2024 extension No. 3</w:t>
      </w:r>
      <w:r w:rsidRPr="009C58A4">
        <w:rPr>
          <w:rFonts w:ascii="Times New Roman" w:hAnsi="Times New Roman"/>
          <w:color w:val="000000" w:themeColor="text1"/>
          <w:sz w:val="24"/>
          <w:szCs w:val="24"/>
        </w:rPr>
        <w:t>)</w:t>
      </w:r>
      <w:r w:rsidRPr="009C58A4">
        <w:rPr>
          <w:rFonts w:ascii="Times New Roman" w:eastAsia="宋体" w:hAnsi="Times New Roman"/>
          <w:color w:val="000000" w:themeColor="text1"/>
          <w:sz w:val="24"/>
          <w:szCs w:val="24"/>
        </w:rPr>
        <w:t>.</w:t>
      </w:r>
    </w:p>
    <w:p w14:paraId="32F0B6D8" w14:textId="77777777" w:rsidR="006F1BC0" w:rsidRPr="009C58A4" w:rsidRDefault="006F1BC0">
      <w:pPr>
        <w:pStyle w:val="3"/>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Cytotoxicity of PPH@C and PPH@CR</w:t>
      </w:r>
    </w:p>
    <w:p w14:paraId="57A347FF"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The effects on tumor cell proliferation of empty micelles PPH and drug-loaded micelles PPH@C and PPH@CR were evaluated by CCK-8 kit. Briefly, the experiment was divided into 5 groups (PPH, Cur, PPH@C, Cur + Rg3 and PPH@CR group), and 4T1 cells (3 × 10</w:t>
      </w:r>
      <w:r w:rsidRPr="009C58A4">
        <w:rPr>
          <w:rFonts w:ascii="Times New Roman" w:eastAsia="宋体" w:hAnsi="Times New Roman"/>
          <w:color w:val="000000" w:themeColor="text1"/>
          <w:sz w:val="24"/>
          <w:szCs w:val="24"/>
          <w:vertAlign w:val="superscript"/>
        </w:rPr>
        <w:t>3</w:t>
      </w:r>
      <w:r w:rsidRPr="009C58A4">
        <w:rPr>
          <w:rFonts w:ascii="Times New Roman" w:eastAsia="宋体" w:hAnsi="Times New Roman"/>
          <w:color w:val="000000" w:themeColor="text1"/>
          <w:sz w:val="24"/>
          <w:szCs w:val="24"/>
        </w:rPr>
        <w:t xml:space="preserve"> cells/well) were inoculated and cultured in 96 well plate for 24 h, then incubated with different concentrations of PPH (0 μg/mL, 25 μg/mL, 50 μg/mL, 75 μg/mL, 100 μg/mL, 200 μg/mL), Cur, PPH@C, Cur + Rg3, and PPH@CR (the last 4 groups contained the same amount of Cur or Rg3, where Cur concentrations were 0 μg/mL, 5 μg/mL, 10 μg/mL, 20 μg/mL, 50 μg/mL and 100 μg/ mL, the concentrations of Rg3 were calculated according to the drug load of Rg3 in the PPH@CR, respectively: 0 μg/mL, 0.7 μg/mL, 1.4 μg/mL, 2.8 μg/mL, 5.6 μg/mL, 7.1 μg/mL, 14.3 μg/mL). Subsequently, 10 μL of CCK-8 reagent was added to each well and incubated for 1 h. Then the absorbance at 450 nm was determined using microplate reader and IC</w:t>
      </w:r>
      <w:r w:rsidRPr="009C58A4">
        <w:rPr>
          <w:rFonts w:ascii="Times New Roman" w:eastAsia="宋体" w:hAnsi="Times New Roman"/>
          <w:color w:val="000000" w:themeColor="text1"/>
          <w:sz w:val="24"/>
          <w:szCs w:val="24"/>
          <w:vertAlign w:val="subscript"/>
        </w:rPr>
        <w:t>50</w:t>
      </w:r>
      <w:r w:rsidRPr="009C58A4">
        <w:rPr>
          <w:rFonts w:ascii="Times New Roman" w:eastAsia="宋体" w:hAnsi="Times New Roman"/>
          <w:color w:val="000000" w:themeColor="text1"/>
          <w:sz w:val="24"/>
          <w:szCs w:val="24"/>
        </w:rPr>
        <w:t xml:space="preserve"> values were calculated using CompuSyn.</w:t>
      </w:r>
    </w:p>
    <w:p w14:paraId="6533A2C8" w14:textId="3AE5E677" w:rsidR="006F1BC0" w:rsidRPr="009C58A4" w:rsidRDefault="006F1BC0" w:rsidP="001907A7">
      <w:pPr>
        <w:spacing w:line="360" w:lineRule="auto"/>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The effect of each group of drugs on cell viability was evaluated with the following cell survival formula </w: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 </w:instrText>
      </w:r>
      <w:r w:rsidR="00621BE2" w:rsidRPr="009C58A4">
        <w:rPr>
          <w:rFonts w:ascii="Times New Roman" w:eastAsia="宋体" w:hAnsi="Times New Roman"/>
          <w:color w:val="000000" w:themeColor="text1"/>
          <w:sz w:val="24"/>
          <w:szCs w:val="24"/>
        </w:rPr>
        <w:fldChar w:fldCharType="begin"/>
      </w:r>
      <w:r w:rsidR="00621BE2" w:rsidRPr="009C58A4">
        <w:rPr>
          <w:rFonts w:ascii="Times New Roman" w:eastAsia="宋体" w:hAnsi="Times New Roman"/>
          <w:color w:val="000000" w:themeColor="text1"/>
          <w:sz w:val="24"/>
          <w:szCs w:val="24"/>
        </w:rPr>
        <w:instrText xml:space="preserve"> ADDIN EN.CITE.DATA </w:instrText>
      </w:r>
      <w:r w:rsidR="00621BE2" w:rsidRPr="009C58A4">
        <w:rPr>
          <w:rFonts w:ascii="Times New Roman" w:eastAsia="宋体" w:hAnsi="Times New Roman"/>
          <w:color w:val="000000" w:themeColor="text1"/>
          <w:sz w:val="24"/>
          <w:szCs w:val="24"/>
        </w:rPr>
        <w:fldChar w:fldCharType="end"/>
      </w:r>
      <w:r w:rsidR="00621BE2" w:rsidRPr="009C58A4">
        <w:rPr>
          <w:rFonts w:ascii="Times New Roman" w:eastAsia="宋体" w:hAnsi="Times New Roman"/>
          <w:color w:val="000000" w:themeColor="text1"/>
          <w:sz w:val="24"/>
          <w:szCs w:val="24"/>
        </w:rPr>
        <w:fldChar w:fldCharType="separate"/>
      </w:r>
      <w:r w:rsidR="00621BE2" w:rsidRPr="009C58A4">
        <w:rPr>
          <w:rFonts w:ascii="Times New Roman" w:eastAsia="宋体" w:hAnsi="Times New Roman"/>
          <w:noProof/>
          <w:color w:val="000000" w:themeColor="text1"/>
          <w:sz w:val="24"/>
          <w:szCs w:val="24"/>
        </w:rPr>
        <w:t>[13]</w:t>
      </w:r>
      <w:r w:rsidR="00621BE2"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w:t>
      </w:r>
    </w:p>
    <w:p w14:paraId="4BC6DEB7" w14:textId="182AF9F2" w:rsidR="00D5449E" w:rsidRPr="009C58A4" w:rsidRDefault="00D5449E" w:rsidP="001907A7">
      <w:pPr>
        <w:rPr>
          <w:color w:val="000000" w:themeColor="text1"/>
        </w:rPr>
      </w:pPr>
      <m:oMathPara>
        <m:oMath>
          <m:r>
            <m:rPr>
              <m:sty m:val="p"/>
            </m:rPr>
            <w:rPr>
              <w:rFonts w:ascii="Cambria Math" w:hAnsi="Cambria Math" w:cs="Cambria Math"/>
              <w:color w:val="000000" w:themeColor="text1"/>
            </w:rPr>
            <m:t>Cell viability(%)=</m:t>
          </m:r>
          <m:f>
            <m:fPr>
              <m:ctrlPr>
                <w:rPr>
                  <w:rFonts w:ascii="Cambria Math" w:hAnsi="Cambria Math"/>
                  <w:color w:val="000000" w:themeColor="text1"/>
                </w:rPr>
              </m:ctrlPr>
            </m:fPr>
            <m:num>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OD</m:t>
                  </m:r>
                </m:e>
                <m:sub>
                  <m:r>
                    <m:rPr>
                      <m:sty m:val="p"/>
                    </m:rPr>
                    <w:rPr>
                      <w:rFonts w:ascii="Cambria Math" w:hAnsi="Cambria Math" w:cs="Cambria Math"/>
                      <w:color w:val="000000" w:themeColor="text1"/>
                    </w:rPr>
                    <m:t>s</m:t>
                  </m:r>
                </m:sub>
              </m:sSub>
              <m:r>
                <m:rPr>
                  <m:sty m:val="p"/>
                </m:rPr>
                <w:rPr>
                  <w:rFonts w:ascii="Cambria Math" w:hAnsi="Cambria Math" w:cs="Cambria Math"/>
                  <w:color w:val="000000" w:themeColor="text1"/>
                </w:rPr>
                <m:t>-</m:t>
              </m:r>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OD</m:t>
                  </m:r>
                </m:e>
                <m:sub>
                  <m:r>
                    <m:rPr>
                      <m:sty m:val="p"/>
                    </m:rPr>
                    <w:rPr>
                      <w:rFonts w:ascii="Cambria Math" w:hAnsi="Cambria Math" w:cs="Cambria Math"/>
                      <w:color w:val="000000" w:themeColor="text1"/>
                    </w:rPr>
                    <m:t>b</m:t>
                  </m:r>
                </m:sub>
              </m:sSub>
            </m:num>
            <m:den>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OD</m:t>
                  </m:r>
                </m:e>
                <m:sub>
                  <m:r>
                    <m:rPr>
                      <m:sty m:val="p"/>
                    </m:rPr>
                    <w:rPr>
                      <w:rFonts w:ascii="Cambria Math" w:hAnsi="Cambria Math" w:cs="Cambria Math"/>
                      <w:color w:val="000000" w:themeColor="text1"/>
                    </w:rPr>
                    <m:t>c</m:t>
                  </m:r>
                </m:sub>
              </m:sSub>
              <m:r>
                <m:rPr>
                  <m:sty m:val="p"/>
                </m:rPr>
                <w:rPr>
                  <w:rFonts w:ascii="Cambria Math" w:hAnsi="Cambria Math" w:cs="Cambria Math"/>
                  <w:color w:val="000000" w:themeColor="text1"/>
                </w:rPr>
                <m:t>-</m:t>
              </m:r>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OD</m:t>
                  </m:r>
                </m:e>
                <m:sub>
                  <m:r>
                    <m:rPr>
                      <m:sty m:val="p"/>
                    </m:rPr>
                    <w:rPr>
                      <w:rFonts w:ascii="Cambria Math" w:hAnsi="Cambria Math" w:cs="Cambria Math"/>
                      <w:color w:val="000000" w:themeColor="text1"/>
                    </w:rPr>
                    <m:t>b</m:t>
                  </m:r>
                </m:sub>
              </m:sSub>
            </m:den>
          </m:f>
          <m:r>
            <m:rPr>
              <m:sty m:val="p"/>
            </m:rPr>
            <w:rPr>
              <w:rFonts w:ascii="Cambria Math" w:hAnsi="Cambria Math"/>
              <w:color w:val="000000" w:themeColor="text1"/>
            </w:rPr>
            <m:t>×100%</m:t>
          </m:r>
        </m:oMath>
      </m:oMathPara>
    </w:p>
    <w:p w14:paraId="275AF503"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Among them, </w:t>
      </w:r>
      <w:r w:rsidRPr="009C58A4">
        <w:rPr>
          <w:rFonts w:ascii="Times New Roman" w:eastAsia="宋体" w:hAnsi="Times New Roman"/>
          <w:i/>
          <w:color w:val="000000" w:themeColor="text1"/>
          <w:sz w:val="24"/>
          <w:szCs w:val="24"/>
        </w:rPr>
        <w:t>ODs</w:t>
      </w:r>
      <w:r w:rsidRPr="009C58A4">
        <w:rPr>
          <w:rFonts w:ascii="Times New Roman" w:eastAsia="宋体" w:hAnsi="Times New Roman"/>
          <w:color w:val="000000" w:themeColor="text1"/>
          <w:sz w:val="24"/>
          <w:szCs w:val="24"/>
        </w:rPr>
        <w:t xml:space="preserve"> and </w:t>
      </w:r>
      <w:r w:rsidR="00DD3E9E" w:rsidRPr="009C58A4">
        <w:rPr>
          <w:rFonts w:ascii="Times New Roman" w:eastAsia="宋体" w:hAnsi="Times New Roman"/>
          <w:i/>
          <w:color w:val="000000" w:themeColor="text1"/>
          <w:sz w:val="24"/>
          <w:szCs w:val="24"/>
        </w:rPr>
        <w:t>OD</w:t>
      </w:r>
      <w:r w:rsidR="00DD3E9E" w:rsidRPr="009C58A4">
        <w:rPr>
          <w:rFonts w:ascii="Times New Roman" w:eastAsia="宋体" w:hAnsi="Times New Roman"/>
          <w:i/>
          <w:color w:val="000000" w:themeColor="text1"/>
          <w:sz w:val="24"/>
          <w:szCs w:val="24"/>
          <w:vertAlign w:val="subscript"/>
        </w:rPr>
        <w:t>C</w:t>
      </w:r>
      <w:r w:rsidRPr="009C58A4">
        <w:rPr>
          <w:rFonts w:ascii="Times New Roman" w:eastAsia="宋体" w:hAnsi="Times New Roman"/>
          <w:color w:val="000000" w:themeColor="text1"/>
          <w:sz w:val="24"/>
          <w:szCs w:val="24"/>
        </w:rPr>
        <w:t xml:space="preserve">are the absorbance values of the test sample and the untreated sample, respectively. </w:t>
      </w:r>
      <w:r w:rsidRPr="009C58A4">
        <w:rPr>
          <w:rFonts w:ascii="Times New Roman" w:eastAsia="宋体" w:hAnsi="Times New Roman"/>
          <w:i/>
          <w:color w:val="000000" w:themeColor="text1"/>
          <w:sz w:val="24"/>
          <w:szCs w:val="24"/>
        </w:rPr>
        <w:t>OD</w:t>
      </w:r>
      <w:r w:rsidRPr="009C58A4">
        <w:rPr>
          <w:rFonts w:ascii="Times New Roman" w:eastAsia="宋体" w:hAnsi="Times New Roman"/>
          <w:i/>
          <w:color w:val="000000" w:themeColor="text1"/>
          <w:sz w:val="24"/>
          <w:szCs w:val="24"/>
          <w:vertAlign w:val="subscript"/>
        </w:rPr>
        <w:t>b</w:t>
      </w:r>
      <w:r w:rsidRPr="009C58A4">
        <w:rPr>
          <w:rFonts w:ascii="Times New Roman" w:eastAsia="宋体" w:hAnsi="Times New Roman"/>
          <w:color w:val="000000" w:themeColor="text1"/>
          <w:sz w:val="24"/>
          <w:szCs w:val="24"/>
        </w:rPr>
        <w:t xml:space="preserve"> is the absorbance of RPMI1640 culture medium without cells.</w:t>
      </w:r>
    </w:p>
    <w:p w14:paraId="67764875"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i/>
          <w:color w:val="000000" w:themeColor="text1"/>
          <w:sz w:val="24"/>
          <w:szCs w:val="24"/>
        </w:rPr>
        <w:t>In vitro</w:t>
      </w:r>
      <w:r w:rsidRPr="009C58A4">
        <w:rPr>
          <w:rFonts w:ascii="Times New Roman" w:eastAsia="宋体" w:hAnsi="Times New Roman"/>
          <w:b/>
          <w:bCs/>
          <w:color w:val="000000" w:themeColor="text1"/>
          <w:sz w:val="24"/>
          <w:szCs w:val="24"/>
        </w:rPr>
        <w:t xml:space="preserve"> cell uptake</w:t>
      </w:r>
    </w:p>
    <w:p w14:paraId="3FC69E93"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The entry of drugs into cells is crucial for achieving therapeutic effects. We observed the uptake of Cur, PPH@C, and PPH@CR by 4T1 cells using the intrinsic fluorescence spectrum of Cur, and the amount of Cur in the cells was proportional to the fluorescence intensity. Briefly, 4T1 cells were inoculated in 6-well plates (5.0 × 10</w:t>
      </w:r>
      <w:r w:rsidRPr="009C58A4">
        <w:rPr>
          <w:rFonts w:ascii="Times New Roman" w:eastAsia="宋体" w:hAnsi="Times New Roman"/>
          <w:color w:val="000000" w:themeColor="text1"/>
          <w:sz w:val="24"/>
          <w:szCs w:val="24"/>
          <w:vertAlign w:val="superscript"/>
        </w:rPr>
        <w:t xml:space="preserve">5 </w:t>
      </w:r>
      <w:r w:rsidRPr="009C58A4">
        <w:rPr>
          <w:rFonts w:ascii="Times New Roman" w:eastAsia="宋体" w:hAnsi="Times New Roman"/>
          <w:color w:val="000000" w:themeColor="text1"/>
          <w:sz w:val="24"/>
          <w:szCs w:val="24"/>
        </w:rPr>
        <w:t>cells/well) and cultured with RPMI 1640 at 37 ℃, then Cur, PPH@C and PPH@CR were added after the cells were attached (the concentration of Cur in each group was 50 μg/mL) and co-cultured for 0.5h, 2h and 6h. Then washed off unbound drugs and nanoparticles with PBS and fixed cells with 4% paraformaldehyde (PFA) for 30 min. Nuclei were stained with DAPI for 5 min in a dark environment, then the dye was washed off and the cells were imaged by fluorescence microscopy under excitation at 4</w:t>
      </w:r>
      <w:r w:rsidR="00F9037E" w:rsidRPr="009C58A4">
        <w:rPr>
          <w:rFonts w:ascii="Times New Roman" w:eastAsia="宋体" w:hAnsi="Times New Roman"/>
          <w:color w:val="000000" w:themeColor="text1"/>
          <w:sz w:val="24"/>
          <w:szCs w:val="24"/>
        </w:rPr>
        <w:t>25</w:t>
      </w:r>
      <w:r w:rsidRPr="009C58A4">
        <w:rPr>
          <w:rFonts w:ascii="Times New Roman" w:eastAsia="宋体" w:hAnsi="Times New Roman"/>
          <w:color w:val="000000" w:themeColor="text1"/>
          <w:sz w:val="24"/>
          <w:szCs w:val="24"/>
        </w:rPr>
        <w:t xml:space="preserve"> nm</w:t>
      </w:r>
      <w:r w:rsidR="00F9037E" w:rsidRPr="009C58A4">
        <w:rPr>
          <w:rFonts w:ascii="Times New Roman" w:hAnsi="Times New Roman"/>
          <w:color w:val="000000" w:themeColor="text1"/>
          <w:sz w:val="24"/>
          <w:szCs w:val="24"/>
        </w:rPr>
        <w:t xml:space="preserve"> </w:t>
      </w:r>
      <w:r w:rsidR="00621BE2" w:rsidRPr="009C58A4">
        <w:rPr>
          <w:rFonts w:ascii="Times New Roman" w:hAnsi="Times New Roman"/>
          <w:color w:val="000000" w:themeColor="text1"/>
          <w:sz w:val="24"/>
          <w:szCs w:val="24"/>
        </w:rPr>
        <w:fldChar w:fldCharType="begin"/>
      </w:r>
      <w:r w:rsidR="00621BE2" w:rsidRPr="009C58A4">
        <w:rPr>
          <w:rFonts w:ascii="Times New Roman" w:hAnsi="Times New Roman"/>
          <w:color w:val="000000" w:themeColor="text1"/>
          <w:sz w:val="24"/>
          <w:szCs w:val="24"/>
        </w:rPr>
        <w:instrText xml:space="preserve"> ADDIN EN.CITE </w:instrText>
      </w:r>
      <w:r w:rsidR="00621BE2" w:rsidRPr="009C58A4">
        <w:rPr>
          <w:rFonts w:ascii="Times New Roman" w:hAnsi="Times New Roman"/>
          <w:color w:val="000000" w:themeColor="text1"/>
          <w:sz w:val="24"/>
          <w:szCs w:val="24"/>
        </w:rPr>
        <w:fldChar w:fldCharType="begin"/>
      </w:r>
      <w:r w:rsidR="00621BE2" w:rsidRPr="009C58A4">
        <w:rPr>
          <w:rFonts w:ascii="Times New Roman" w:hAnsi="Times New Roman"/>
          <w:color w:val="000000" w:themeColor="text1"/>
          <w:sz w:val="24"/>
          <w:szCs w:val="24"/>
        </w:rPr>
        <w:instrText xml:space="preserve"> ADDIN EN.CITE.DATA </w:instrText>
      </w:r>
      <w:r w:rsidR="00621BE2" w:rsidRPr="009C58A4">
        <w:rPr>
          <w:rFonts w:ascii="Times New Roman" w:hAnsi="Times New Roman"/>
          <w:color w:val="000000" w:themeColor="text1"/>
          <w:sz w:val="24"/>
          <w:szCs w:val="24"/>
        </w:rPr>
        <w:fldChar w:fldCharType="end"/>
      </w:r>
      <w:r w:rsidR="00621BE2" w:rsidRPr="009C58A4">
        <w:rPr>
          <w:rFonts w:ascii="Times New Roman" w:hAnsi="Times New Roman"/>
          <w:color w:val="000000" w:themeColor="text1"/>
          <w:sz w:val="24"/>
          <w:szCs w:val="24"/>
        </w:rPr>
        <w:fldChar w:fldCharType="separate"/>
      </w:r>
      <w:r w:rsidR="00621BE2" w:rsidRPr="009C58A4">
        <w:rPr>
          <w:rFonts w:ascii="Times New Roman" w:hAnsi="Times New Roman"/>
          <w:noProof/>
          <w:color w:val="000000" w:themeColor="text1"/>
          <w:sz w:val="24"/>
          <w:szCs w:val="24"/>
        </w:rPr>
        <w:t>[14, 15]</w:t>
      </w:r>
      <w:r w:rsidR="00621BE2" w:rsidRPr="009C58A4">
        <w:rPr>
          <w:rFonts w:ascii="Times New Roman" w:hAnsi="Times New Roman"/>
          <w:color w:val="000000" w:themeColor="text1"/>
          <w:sz w:val="24"/>
          <w:szCs w:val="24"/>
        </w:rPr>
        <w:fldChar w:fldCharType="end"/>
      </w:r>
      <w:r w:rsidRPr="009C58A4">
        <w:rPr>
          <w:rFonts w:ascii="Times New Roman" w:eastAsia="宋体" w:hAnsi="Times New Roman"/>
          <w:color w:val="000000" w:themeColor="text1"/>
          <w:sz w:val="24"/>
          <w:szCs w:val="24"/>
        </w:rPr>
        <w:t>, and the fluorescence intensity of Cur was quantified using ImageJ (Bethesda, MD).</w:t>
      </w:r>
    </w:p>
    <w:p w14:paraId="41BE40B9"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Mechanism of uptake of PPH@C and PPH@CR</w:t>
      </w:r>
    </w:p>
    <w:p w14:paraId="3AC5D273" w14:textId="73F28C63"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We further investigated the uptake mechanism of Cur, drug-loaded micelles PPH@C and PPH@CR. 4T1 cells were seeded in 6-well plates (5.0 × 10</w:t>
      </w:r>
      <w:r w:rsidRPr="009C58A4">
        <w:rPr>
          <w:rFonts w:ascii="Times New Roman" w:eastAsia="宋体" w:hAnsi="Times New Roman"/>
          <w:color w:val="000000" w:themeColor="text1"/>
          <w:sz w:val="24"/>
          <w:szCs w:val="24"/>
          <w:vertAlign w:val="superscript"/>
        </w:rPr>
        <w:t>5</w:t>
      </w:r>
      <w:r w:rsidRPr="009C58A4">
        <w:rPr>
          <w:rFonts w:ascii="Times New Roman" w:eastAsia="宋体" w:hAnsi="Times New Roman"/>
          <w:color w:val="000000" w:themeColor="text1"/>
          <w:sz w:val="24"/>
          <w:szCs w:val="24"/>
        </w:rPr>
        <w:t xml:space="preserve"> cells/well) and incubated for 24 h, and pretreated with the endocytic inhibitors chlorpromazine (8.5 μg/mL), genistein (56.75 μg/mL), </w:t>
      </w:r>
      <w:r w:rsidRPr="009C58A4">
        <w:rPr>
          <w:rFonts w:ascii="Times New Roman" w:hAnsi="Times New Roman"/>
          <w:color w:val="000000" w:themeColor="text1"/>
          <w:sz w:val="24"/>
          <w:szCs w:val="24"/>
        </w:rPr>
        <w:t>5-(N,N-Hexamethylene)-amiloride</w:t>
      </w:r>
      <w:r w:rsidRPr="009C58A4">
        <w:rPr>
          <w:rFonts w:ascii="Times New Roman" w:eastAsia="宋体" w:hAnsi="Times New Roman"/>
          <w:color w:val="000000" w:themeColor="text1"/>
          <w:sz w:val="24"/>
          <w:szCs w:val="24"/>
        </w:rPr>
        <w:t xml:space="preserve"> (133 μg/mL), and wortmannin penicillin (5 </w:t>
      </w:r>
      <w:r w:rsidR="00CD5EEF" w:rsidRPr="009C58A4">
        <w:rPr>
          <w:rFonts w:ascii="Times New Roman" w:eastAsia="宋体" w:hAnsi="Times New Roman"/>
          <w:color w:val="000000" w:themeColor="text1"/>
          <w:sz w:val="24"/>
          <w:szCs w:val="24"/>
        </w:rPr>
        <w:t>μ</w:t>
      </w:r>
      <w:r w:rsidRPr="009C58A4">
        <w:rPr>
          <w:rFonts w:ascii="Times New Roman" w:eastAsia="宋体" w:hAnsi="Times New Roman"/>
          <w:color w:val="000000" w:themeColor="text1"/>
          <w:sz w:val="24"/>
          <w:szCs w:val="24"/>
        </w:rPr>
        <w:t xml:space="preserve">mol) for 1 h </w:t>
      </w:r>
      <w:r w:rsidR="001519AC" w:rsidRPr="009C58A4">
        <w:rPr>
          <w:rFonts w:ascii="Times New Roman" w:eastAsia="宋体" w:hAnsi="Times New Roman"/>
          <w:color w:val="000000" w:themeColor="text1"/>
          <w:sz w:val="24"/>
          <w:szCs w:val="24"/>
        </w:rPr>
        <w:fldChar w:fldCharType="begin"/>
      </w:r>
      <w:r w:rsidR="001519AC" w:rsidRPr="009C58A4">
        <w:rPr>
          <w:rFonts w:ascii="Times New Roman" w:eastAsia="宋体" w:hAnsi="Times New Roman"/>
          <w:color w:val="000000" w:themeColor="text1"/>
          <w:sz w:val="24"/>
          <w:szCs w:val="24"/>
        </w:rPr>
        <w:instrText xml:space="preserve"> ADDIN EN.CITE </w:instrText>
      </w:r>
      <w:r w:rsidR="001519AC" w:rsidRPr="009C58A4">
        <w:rPr>
          <w:rFonts w:ascii="Times New Roman" w:eastAsia="宋体" w:hAnsi="Times New Roman"/>
          <w:color w:val="000000" w:themeColor="text1"/>
          <w:sz w:val="24"/>
          <w:szCs w:val="24"/>
        </w:rPr>
        <w:fldChar w:fldCharType="begin"/>
      </w:r>
      <w:r w:rsidR="001519AC" w:rsidRPr="009C58A4">
        <w:rPr>
          <w:rFonts w:ascii="Times New Roman" w:eastAsia="宋体" w:hAnsi="Times New Roman"/>
          <w:color w:val="000000" w:themeColor="text1"/>
          <w:sz w:val="24"/>
          <w:szCs w:val="24"/>
        </w:rPr>
        <w:instrText xml:space="preserve"> ADDIN EN.CITE.DATA </w:instrText>
      </w:r>
      <w:r w:rsidR="001519AC" w:rsidRPr="009C58A4">
        <w:rPr>
          <w:rFonts w:ascii="Times New Roman" w:eastAsia="宋体" w:hAnsi="Times New Roman"/>
          <w:color w:val="000000" w:themeColor="text1"/>
          <w:sz w:val="24"/>
          <w:szCs w:val="24"/>
        </w:rPr>
        <w:fldChar w:fldCharType="end"/>
      </w:r>
      <w:r w:rsidR="001519AC" w:rsidRPr="009C58A4">
        <w:rPr>
          <w:rFonts w:ascii="Times New Roman" w:eastAsia="宋体" w:hAnsi="Times New Roman"/>
          <w:color w:val="000000" w:themeColor="text1"/>
          <w:sz w:val="24"/>
          <w:szCs w:val="24"/>
        </w:rPr>
        <w:fldChar w:fldCharType="separate"/>
      </w:r>
      <w:r w:rsidR="001519AC" w:rsidRPr="009C58A4">
        <w:rPr>
          <w:rFonts w:ascii="Times New Roman" w:eastAsia="宋体" w:hAnsi="Times New Roman"/>
          <w:noProof/>
          <w:color w:val="000000" w:themeColor="text1"/>
          <w:sz w:val="24"/>
          <w:szCs w:val="24"/>
        </w:rPr>
        <w:t>[2, 16]</w:t>
      </w:r>
      <w:r w:rsidR="001519AC" w:rsidRPr="009C58A4">
        <w:rPr>
          <w:rFonts w:ascii="Times New Roman" w:eastAsia="宋体" w:hAnsi="Times New Roman"/>
          <w:color w:val="000000" w:themeColor="text1"/>
          <w:sz w:val="24"/>
          <w:szCs w:val="24"/>
        </w:rPr>
        <w:fldChar w:fldCharType="end"/>
      </w:r>
      <w:r w:rsidRPr="009C58A4">
        <w:rPr>
          <w:rFonts w:ascii="宋体" w:eastAsia="宋体" w:hAnsi="宋体"/>
          <w:color w:val="000000" w:themeColor="text1"/>
          <w:sz w:val="24"/>
          <w:szCs w:val="24"/>
        </w:rPr>
        <w:t>，</w:t>
      </w:r>
      <w:r w:rsidRPr="009C58A4">
        <w:rPr>
          <w:rFonts w:ascii="Times New Roman" w:eastAsia="宋体" w:hAnsi="Times New Roman"/>
          <w:color w:val="000000" w:themeColor="text1"/>
          <w:sz w:val="24"/>
          <w:szCs w:val="24"/>
        </w:rPr>
        <w:t>followed by Cur, PPH@C, or PPH@CR (the concentration of Cur was 50 μg/mL) for 2 h. Finally, the uptake of drugs by 4T1 cells in each group was analyzed by flow cytometry.</w:t>
      </w:r>
    </w:p>
    <w:p w14:paraId="52274611" w14:textId="77777777" w:rsidR="006F1BC0" w:rsidRPr="009C58A4" w:rsidRDefault="006F1BC0">
      <w:pPr>
        <w:spacing w:before="260" w:after="260" w:line="360"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Exposure of CRT in 4T1 cells</w:t>
      </w:r>
    </w:p>
    <w:p w14:paraId="47B7CE2C"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In this experiment, we assessed the ICD condition induced by PPH@C and PPH@CR in tumor cells by detecting exposure to calreticulin (CRT) in tumor cells. Briefly, 4T1 cells (5.0 × 10</w:t>
      </w:r>
      <w:r w:rsidRPr="009C58A4">
        <w:rPr>
          <w:rFonts w:ascii="Times New Roman" w:eastAsia="宋体" w:hAnsi="Times New Roman"/>
          <w:color w:val="000000" w:themeColor="text1"/>
          <w:sz w:val="24"/>
          <w:szCs w:val="24"/>
          <w:vertAlign w:val="superscript"/>
        </w:rPr>
        <w:t>4</w:t>
      </w:r>
      <w:r w:rsidRPr="009C58A4">
        <w:rPr>
          <w:rFonts w:ascii="Times New Roman" w:eastAsia="宋体" w:hAnsi="Times New Roman"/>
          <w:color w:val="000000" w:themeColor="text1"/>
          <w:sz w:val="24"/>
          <w:szCs w:val="24"/>
        </w:rPr>
        <w:t xml:space="preserve"> cells/well) were seeded in pre-treated 24-well plates containing coverslips for 24 h, and drugs (the concentrations of Cur and Rg3 were 50 μg/mL and 7.1 μg/mL, respectively) were added to each group (PBS, Cur, PPH@C, Cur + Rg3, and PPH@CR group) to continue cultured 24 h. Then CRT primary antibodies were added and incubated overnight at 4 °C, followed by fluorescence-coupled secondary antibodies for 1 h, and finally DAPI was added for 10 min, glycerol mounted, and CRT expression was observed by fluorescence microscopy.</w:t>
      </w:r>
    </w:p>
    <w:p w14:paraId="716D3936" w14:textId="77777777" w:rsidR="006F1BC0" w:rsidRPr="009C58A4" w:rsidRDefault="006F1BC0">
      <w:pPr>
        <w:spacing w:before="260" w:after="260" w:line="360"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i/>
          <w:color w:val="000000" w:themeColor="text1"/>
          <w:sz w:val="24"/>
          <w:szCs w:val="24"/>
        </w:rPr>
        <w:t>In vitro</w:t>
      </w:r>
      <w:r w:rsidRPr="009C58A4">
        <w:rPr>
          <w:rFonts w:ascii="Times New Roman" w:eastAsia="宋体" w:hAnsi="Times New Roman"/>
          <w:b/>
          <w:bCs/>
          <w:color w:val="000000" w:themeColor="text1"/>
          <w:sz w:val="24"/>
          <w:szCs w:val="24"/>
        </w:rPr>
        <w:t xml:space="preserve"> detection of ATP and HMGB1</w:t>
      </w:r>
    </w:p>
    <w:p w14:paraId="0638B48C" w14:textId="627486D0"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ATP and HMGB-1 in 4T1 cells induced by PPH@C and PPH@CR. The experiment was also divided into 5 groups (PBS, Cur, PPH@C, Cur + Rg3 and PPH@CR group). 4T1 cells were seeded in 6-well plates at a density of 5</w:t>
      </w:r>
      <w:r w:rsidR="00F84B12" w:rsidRPr="009C58A4">
        <w:rPr>
          <w:rFonts w:ascii="Times New Roman" w:eastAsia="宋体" w:hAnsi="Times New Roman"/>
          <w:color w:val="000000" w:themeColor="text1"/>
          <w:sz w:val="24"/>
          <w:szCs w:val="24"/>
        </w:rPr>
        <w:t xml:space="preserve"> </w:t>
      </w:r>
      <w:r w:rsidRPr="009C58A4">
        <w:rPr>
          <w:rFonts w:ascii="Times New Roman" w:eastAsia="宋体" w:hAnsi="Times New Roman"/>
          <w:color w:val="000000" w:themeColor="text1"/>
          <w:sz w:val="24"/>
          <w:szCs w:val="24"/>
        </w:rPr>
        <w:t>×</w:t>
      </w:r>
      <w:r w:rsidR="00F84B12" w:rsidRPr="009C58A4">
        <w:rPr>
          <w:rFonts w:ascii="Times New Roman" w:eastAsia="宋体" w:hAnsi="Times New Roman"/>
          <w:color w:val="000000" w:themeColor="text1"/>
          <w:sz w:val="24"/>
          <w:szCs w:val="24"/>
        </w:rPr>
        <w:t xml:space="preserve"> </w:t>
      </w:r>
      <w:r w:rsidRPr="009C58A4">
        <w:rPr>
          <w:rFonts w:ascii="Times New Roman" w:eastAsia="宋体" w:hAnsi="Times New Roman"/>
          <w:color w:val="000000" w:themeColor="text1"/>
          <w:sz w:val="24"/>
          <w:szCs w:val="24"/>
        </w:rPr>
        <w:t>10</w:t>
      </w:r>
      <w:r w:rsidRPr="009C58A4">
        <w:rPr>
          <w:rFonts w:ascii="Times New Roman" w:eastAsia="宋体" w:hAnsi="Times New Roman"/>
          <w:color w:val="000000" w:themeColor="text1"/>
          <w:sz w:val="24"/>
          <w:szCs w:val="24"/>
          <w:vertAlign w:val="superscript"/>
        </w:rPr>
        <w:t>5</w:t>
      </w:r>
      <w:r w:rsidRPr="009C58A4">
        <w:rPr>
          <w:rFonts w:ascii="Times New Roman" w:eastAsia="宋体" w:hAnsi="Times New Roman"/>
          <w:color w:val="000000" w:themeColor="text1"/>
          <w:sz w:val="24"/>
          <w:szCs w:val="24"/>
        </w:rPr>
        <w:t xml:space="preserve"> cells/well for 24 h, administered (Cur and Rg3 were administered at concentrations of 50 μg/mL and 7.1 μg/mL, respectively) and continue incubated for 24 h. Then the levels of ATP and HMGB1 released by cells in each group were measured using mouse ATP ELISA kit and HMGB-1 ELISA kit, respectively. </w:t>
      </w:r>
    </w:p>
    <w:p w14:paraId="2B64B6A0" w14:textId="23053D0C" w:rsidR="001B2FAC" w:rsidRPr="009C58A4" w:rsidRDefault="001B2FAC" w:rsidP="00D2408E">
      <w:pPr>
        <w:pStyle w:val="3"/>
        <w:rPr>
          <w:rFonts w:ascii="Times New Roman" w:hAnsi="Times New Roman"/>
          <w:color w:val="000000" w:themeColor="text1"/>
          <w:sz w:val="24"/>
          <w:szCs w:val="24"/>
        </w:rPr>
      </w:pPr>
      <w:r w:rsidRPr="009C58A4">
        <w:rPr>
          <w:rFonts w:ascii="Times New Roman" w:hAnsi="Times New Roman"/>
          <w:color w:val="000000" w:themeColor="text1"/>
          <w:sz w:val="24"/>
          <w:szCs w:val="24"/>
        </w:rPr>
        <w:t>Effects of PPH@C and PPH@CR on DCs maturation and PD-L1 in 4T1 cells</w:t>
      </w:r>
    </w:p>
    <w:p w14:paraId="02032719" w14:textId="77777777" w:rsidR="001B2FAC" w:rsidRPr="009C58A4" w:rsidRDefault="001B2FAC" w:rsidP="00D2408E">
      <w:pPr>
        <w:spacing w:line="360" w:lineRule="auto"/>
        <w:ind w:firstLineChars="200" w:firstLine="480"/>
        <w:rPr>
          <w:rFonts w:ascii="Times New Roman" w:hAnsi="Times New Roman"/>
          <w:color w:val="000000" w:themeColor="text1"/>
          <w:sz w:val="24"/>
          <w:szCs w:val="24"/>
        </w:rPr>
      </w:pPr>
      <w:r w:rsidRPr="009C58A4">
        <w:rPr>
          <w:rFonts w:ascii="Times New Roman" w:hAnsi="Times New Roman"/>
          <w:color w:val="000000" w:themeColor="text1"/>
          <w:sz w:val="24"/>
          <w:szCs w:val="24"/>
        </w:rPr>
        <w:t>4T1 cells were seeded on the basolateral side of the transwell plate (5.0 × 10</w:t>
      </w:r>
      <w:r w:rsidRPr="009C58A4">
        <w:rPr>
          <w:rFonts w:ascii="Times New Roman" w:hAnsi="Times New Roman"/>
          <w:color w:val="000000" w:themeColor="text1"/>
          <w:sz w:val="24"/>
          <w:szCs w:val="24"/>
          <w:vertAlign w:val="superscript"/>
        </w:rPr>
        <w:t>5</w:t>
      </w:r>
      <w:r w:rsidRPr="009C58A4">
        <w:rPr>
          <w:rFonts w:ascii="Times New Roman" w:hAnsi="Times New Roman"/>
          <w:color w:val="000000" w:themeColor="text1"/>
          <w:sz w:val="24"/>
          <w:szCs w:val="24"/>
        </w:rPr>
        <w:t xml:space="preserve"> cells/well) and incubated for 24 h, and the experiment was divided into 5 groups, including PBS, Cur, PPH@C, Cur + Rg3 and PPH@CR groups, and the drugs in each group were added (the administration concentration of Cur was 50 μg/mL, and the administration concentration of Rg3 was 7.1 μg/ mL), then DCs were seeded at the apex after 24 h, and continue to culture for 48 hours before collecting DCs, and APC-labeled anti-mouse CD11c antibody (0.5 μg/10</w:t>
      </w:r>
      <w:r w:rsidRPr="009C58A4">
        <w:rPr>
          <w:rFonts w:ascii="Times New Roman" w:hAnsi="Times New Roman"/>
          <w:color w:val="000000" w:themeColor="text1"/>
          <w:sz w:val="24"/>
          <w:szCs w:val="24"/>
          <w:vertAlign w:val="superscript"/>
        </w:rPr>
        <w:t>6</w:t>
      </w:r>
      <w:r w:rsidRPr="009C58A4">
        <w:rPr>
          <w:rFonts w:ascii="Times New Roman" w:hAnsi="Times New Roman"/>
          <w:color w:val="000000" w:themeColor="text1"/>
          <w:sz w:val="24"/>
          <w:szCs w:val="24"/>
        </w:rPr>
        <w:t xml:space="preserve"> cells, Elabscience), PE-labeled anti-mouse CD86 antibody (0.5 μg/10</w:t>
      </w:r>
      <w:r w:rsidRPr="009C58A4">
        <w:rPr>
          <w:rFonts w:ascii="Times New Roman" w:hAnsi="Times New Roman"/>
          <w:color w:val="000000" w:themeColor="text1"/>
          <w:sz w:val="24"/>
          <w:szCs w:val="24"/>
          <w:vertAlign w:val="superscript"/>
        </w:rPr>
        <w:t>6</w:t>
      </w:r>
      <w:r w:rsidRPr="009C58A4">
        <w:rPr>
          <w:rFonts w:ascii="Times New Roman" w:hAnsi="Times New Roman"/>
          <w:color w:val="000000" w:themeColor="text1"/>
          <w:sz w:val="24"/>
          <w:szCs w:val="24"/>
        </w:rPr>
        <w:t xml:space="preserve"> cells, Elabscience) were added, and the expression of CD11c and CD86 on DCs were analyzed by flow cytometry (FCM, China, Lamina), and the obtained data were analyzed using V3.0.1.4609 software (Strata Biotech, China).</w:t>
      </w:r>
    </w:p>
    <w:p w14:paraId="4DFF9E9B" w14:textId="02E80695" w:rsidR="001B2FAC" w:rsidRPr="009C58A4" w:rsidRDefault="001B2FAC" w:rsidP="00D2408E">
      <w:pPr>
        <w:spacing w:line="360" w:lineRule="auto"/>
        <w:ind w:firstLineChars="200" w:firstLine="480"/>
        <w:rPr>
          <w:rFonts w:ascii="Times New Roman" w:hAnsi="Times New Roman"/>
          <w:color w:val="000000" w:themeColor="text1"/>
          <w:sz w:val="24"/>
          <w:szCs w:val="24"/>
        </w:rPr>
      </w:pPr>
      <w:r w:rsidRPr="009C58A4">
        <w:rPr>
          <w:rFonts w:ascii="Times New Roman" w:hAnsi="Times New Roman"/>
          <w:color w:val="000000" w:themeColor="text1"/>
          <w:sz w:val="24"/>
          <w:szCs w:val="24"/>
        </w:rPr>
        <w:t>4T1 cells were seeded in 6-well plates (5.0 × 10</w:t>
      </w:r>
      <w:r w:rsidRPr="009C58A4">
        <w:rPr>
          <w:rFonts w:ascii="Times New Roman" w:hAnsi="Times New Roman"/>
          <w:color w:val="000000" w:themeColor="text1"/>
          <w:sz w:val="24"/>
          <w:szCs w:val="24"/>
          <w:vertAlign w:val="superscript"/>
        </w:rPr>
        <w:t>5</w:t>
      </w:r>
      <w:r w:rsidRPr="009C58A4">
        <w:rPr>
          <w:rFonts w:ascii="Times New Roman" w:hAnsi="Times New Roman"/>
          <w:color w:val="000000" w:themeColor="text1"/>
          <w:sz w:val="24"/>
          <w:szCs w:val="24"/>
        </w:rPr>
        <w:t xml:space="preserve"> cells/well) and incubated for 24 h, and the experiment was also divided into 5 groups,, including PBS, Cur, PPH@C, Cur</w:t>
      </w:r>
      <w:r w:rsidR="00D2408E" w:rsidRPr="009C58A4">
        <w:rPr>
          <w:rFonts w:ascii="Times New Roman" w:hAnsi="Times New Roman"/>
          <w:color w:val="000000" w:themeColor="text1"/>
          <w:sz w:val="24"/>
          <w:szCs w:val="24"/>
        </w:rPr>
        <w:t xml:space="preserve"> </w:t>
      </w:r>
      <w:r w:rsidRPr="009C58A4">
        <w:rPr>
          <w:rFonts w:ascii="Times New Roman" w:hAnsi="Times New Roman"/>
          <w:color w:val="000000" w:themeColor="text1"/>
          <w:sz w:val="24"/>
          <w:szCs w:val="24"/>
        </w:rPr>
        <w:t>+</w:t>
      </w:r>
      <w:r w:rsidR="00D2408E" w:rsidRPr="009C58A4">
        <w:rPr>
          <w:rFonts w:ascii="Times New Roman" w:hAnsi="Times New Roman"/>
          <w:color w:val="000000" w:themeColor="text1"/>
          <w:sz w:val="24"/>
          <w:szCs w:val="24"/>
        </w:rPr>
        <w:t xml:space="preserve"> </w:t>
      </w:r>
      <w:r w:rsidRPr="009C58A4">
        <w:rPr>
          <w:rFonts w:ascii="Times New Roman" w:hAnsi="Times New Roman"/>
          <w:color w:val="000000" w:themeColor="text1"/>
          <w:sz w:val="24"/>
          <w:szCs w:val="24"/>
        </w:rPr>
        <w:t>Rg3 and PPH@CR groups, and the drugs in each group were added (the administration concentration of Cur was 50 μg/mL, and the administration c</w:t>
      </w:r>
      <w:r w:rsidR="001A0140" w:rsidRPr="009C58A4">
        <w:rPr>
          <w:rFonts w:ascii="Times New Roman" w:hAnsi="Times New Roman"/>
          <w:color w:val="000000" w:themeColor="text1"/>
          <w:sz w:val="24"/>
          <w:szCs w:val="24"/>
        </w:rPr>
        <w:t>oncentration of Rg3 was 7.1 μg/</w:t>
      </w:r>
      <w:r w:rsidRPr="009C58A4">
        <w:rPr>
          <w:rFonts w:ascii="Times New Roman" w:hAnsi="Times New Roman"/>
          <w:color w:val="000000" w:themeColor="text1"/>
          <w:sz w:val="24"/>
          <w:szCs w:val="24"/>
        </w:rPr>
        <w:t>mL) and continue to culture for 48 hours, then the cells were washed with PBS for three times. PE Anti-Mouse CD274/PD-L1 Antibody (0.5 μg/10</w:t>
      </w:r>
      <w:r w:rsidRPr="009C58A4">
        <w:rPr>
          <w:rFonts w:ascii="Times New Roman" w:hAnsi="Times New Roman"/>
          <w:color w:val="000000" w:themeColor="text1"/>
          <w:sz w:val="24"/>
          <w:szCs w:val="24"/>
          <w:vertAlign w:val="superscript"/>
        </w:rPr>
        <w:t>6</w:t>
      </w:r>
      <w:r w:rsidRPr="009C58A4">
        <w:rPr>
          <w:rFonts w:ascii="Times New Roman" w:hAnsi="Times New Roman"/>
          <w:color w:val="000000" w:themeColor="text1"/>
          <w:sz w:val="24"/>
          <w:szCs w:val="24"/>
        </w:rPr>
        <w:t xml:space="preserve"> cells, Elabscience) was added, finally PD-L1</w:t>
      </w:r>
      <w:r w:rsidRPr="009C58A4">
        <w:rPr>
          <w:rFonts w:ascii="Times New Roman" w:hAnsi="Times New Roman"/>
          <w:color w:val="000000" w:themeColor="text1"/>
          <w:sz w:val="24"/>
          <w:szCs w:val="24"/>
          <w:vertAlign w:val="superscript"/>
        </w:rPr>
        <w:t>+</w:t>
      </w:r>
      <w:r w:rsidR="000671AA" w:rsidRPr="009C58A4">
        <w:rPr>
          <w:rFonts w:ascii="Times New Roman" w:hAnsi="Times New Roman"/>
          <w:color w:val="000000" w:themeColor="text1"/>
          <w:sz w:val="24"/>
          <w:szCs w:val="24"/>
          <w:vertAlign w:val="superscript"/>
        </w:rPr>
        <w:t xml:space="preserve"> </w:t>
      </w:r>
      <w:r w:rsidRPr="009C58A4">
        <w:rPr>
          <w:rFonts w:ascii="Times New Roman" w:hAnsi="Times New Roman"/>
          <w:color w:val="000000" w:themeColor="text1"/>
          <w:sz w:val="24"/>
          <w:szCs w:val="24"/>
        </w:rPr>
        <w:t>4T1 cells were analyzed by flow cytometry</w:t>
      </w:r>
      <w:r w:rsidRPr="009C58A4">
        <w:rPr>
          <w:rFonts w:ascii="Times New Roman" w:hAnsi="Times New Roman" w:hint="eastAsia"/>
          <w:color w:val="000000" w:themeColor="text1"/>
          <w:sz w:val="24"/>
          <w:szCs w:val="24"/>
        </w:rPr>
        <w:t>,</w:t>
      </w:r>
      <w:r w:rsidRPr="009C58A4">
        <w:rPr>
          <w:rFonts w:ascii="Times New Roman" w:hAnsi="Times New Roman"/>
          <w:color w:val="000000" w:themeColor="text1"/>
          <w:sz w:val="24"/>
          <w:szCs w:val="24"/>
        </w:rPr>
        <w:t xml:space="preserve"> and the obtained data were analyzed using V3.0.1.4609 software.</w:t>
      </w:r>
    </w:p>
    <w:p w14:paraId="444C0091"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Scratch experiment</w:t>
      </w:r>
    </w:p>
    <w:p w14:paraId="32BE85D4"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Cancer cells have the ability to migrate and invade. In this study, we evaluated the migration effects of PPH@C and PPH@CR on tumor cells using scratch assays. The experiments were divided into 5 groups: PBS, Cur, PPH@C, Cur + Rg3 and PPH@CR group (Cur and Rg3 were administered at concentrations of 50 μg/mL and 7.1 μg/mL, respectively). First, 4T1 cells were seeded in 6-well plates (5</w:t>
      </w:r>
      <w:r w:rsidRPr="009C58A4">
        <w:rPr>
          <w:rFonts w:ascii="Times New Roman" w:hAnsi="Times New Roman"/>
          <w:color w:val="000000" w:themeColor="text1"/>
          <w:sz w:val="24"/>
          <w:szCs w:val="24"/>
        </w:rPr>
        <w:t xml:space="preserve"> </w:t>
      </w:r>
      <w:r w:rsidR="00DD3E9E" w:rsidRPr="009C58A4">
        <w:rPr>
          <w:rFonts w:ascii="Times New Roman" w:eastAsia="宋体" w:hAnsi="Times New Roman"/>
          <w:color w:val="000000" w:themeColor="text1"/>
          <w:sz w:val="24"/>
          <w:szCs w:val="24"/>
        </w:rPr>
        <w:t>×</w:t>
      </w:r>
      <w:r w:rsidRPr="009C58A4">
        <w:rPr>
          <w:rFonts w:ascii="Times New Roman" w:eastAsia="宋体" w:hAnsi="Times New Roman"/>
          <w:color w:val="000000" w:themeColor="text1"/>
          <w:sz w:val="24"/>
          <w:szCs w:val="24"/>
        </w:rPr>
        <w:t xml:space="preserve"> 10</w:t>
      </w:r>
      <w:r w:rsidRPr="009C58A4">
        <w:rPr>
          <w:rFonts w:ascii="Times New Roman" w:eastAsia="宋体" w:hAnsi="Times New Roman"/>
          <w:color w:val="000000" w:themeColor="text1"/>
          <w:sz w:val="24"/>
          <w:szCs w:val="24"/>
          <w:vertAlign w:val="superscript"/>
        </w:rPr>
        <w:t>5</w:t>
      </w:r>
      <w:r w:rsidRPr="009C58A4">
        <w:rPr>
          <w:rFonts w:ascii="Times New Roman" w:eastAsia="宋体" w:hAnsi="Times New Roman"/>
          <w:color w:val="000000" w:themeColor="text1"/>
          <w:sz w:val="24"/>
          <w:szCs w:val="24"/>
        </w:rPr>
        <w:t>/well) and incubated for 24 h at 37 °C, 5% CO</w:t>
      </w:r>
      <w:r w:rsidRPr="009C58A4">
        <w:rPr>
          <w:rFonts w:ascii="Times New Roman" w:eastAsia="宋体" w:hAnsi="Times New Roman"/>
          <w:color w:val="000000" w:themeColor="text1"/>
          <w:sz w:val="24"/>
          <w:szCs w:val="24"/>
          <w:vertAlign w:val="subscript"/>
        </w:rPr>
        <w:t>2</w:t>
      </w:r>
      <w:r w:rsidRPr="009C58A4">
        <w:rPr>
          <w:rFonts w:ascii="Times New Roman" w:eastAsia="宋体" w:hAnsi="Times New Roman"/>
          <w:color w:val="000000" w:themeColor="text1"/>
          <w:sz w:val="24"/>
          <w:szCs w:val="24"/>
        </w:rPr>
        <w:t>, then scratched in cell monolayers using a 200 μ</w:t>
      </w:r>
      <w:r w:rsidR="00F84B12" w:rsidRPr="009C58A4">
        <w:rPr>
          <w:rFonts w:ascii="Times New Roman" w:eastAsia="宋体" w:hAnsi="Times New Roman"/>
          <w:color w:val="000000" w:themeColor="text1"/>
          <w:sz w:val="24"/>
          <w:szCs w:val="24"/>
        </w:rPr>
        <w:t>L</w:t>
      </w:r>
      <w:r w:rsidRPr="009C58A4">
        <w:rPr>
          <w:rFonts w:ascii="Times New Roman" w:eastAsia="宋体" w:hAnsi="Times New Roman"/>
          <w:color w:val="000000" w:themeColor="text1"/>
          <w:sz w:val="24"/>
          <w:szCs w:val="24"/>
        </w:rPr>
        <w:t xml:space="preserve">pipette tip and images of the scratches were taken and measured with a microscope at 0 h, and each group of drugs was added and incubated for 24 h and 48 h, respectively, and the cell-free regions after incubation were imaged and measured using microscope </w:t>
      </w:r>
      <w:r w:rsidR="001519AC" w:rsidRPr="009C58A4">
        <w:rPr>
          <w:rFonts w:ascii="Times New Roman" w:eastAsia="宋体" w:hAnsi="Times New Roman"/>
          <w:color w:val="000000" w:themeColor="text1"/>
          <w:sz w:val="24"/>
          <w:szCs w:val="24"/>
        </w:rPr>
        <w:fldChar w:fldCharType="begin"/>
      </w:r>
      <w:r w:rsidR="001519AC" w:rsidRPr="009C58A4">
        <w:rPr>
          <w:rFonts w:ascii="Times New Roman" w:eastAsia="宋体" w:hAnsi="Times New Roman"/>
          <w:color w:val="000000" w:themeColor="text1"/>
          <w:sz w:val="24"/>
          <w:szCs w:val="24"/>
        </w:rPr>
        <w:instrText xml:space="preserve"> ADDIN EN.CITE </w:instrText>
      </w:r>
      <w:r w:rsidR="001519AC" w:rsidRPr="009C58A4">
        <w:rPr>
          <w:rFonts w:ascii="Times New Roman" w:eastAsia="宋体" w:hAnsi="Times New Roman"/>
          <w:color w:val="000000" w:themeColor="text1"/>
          <w:sz w:val="24"/>
          <w:szCs w:val="24"/>
        </w:rPr>
        <w:fldChar w:fldCharType="begin"/>
      </w:r>
      <w:r w:rsidR="001519AC" w:rsidRPr="009C58A4">
        <w:rPr>
          <w:rFonts w:ascii="Times New Roman" w:eastAsia="宋体" w:hAnsi="Times New Roman"/>
          <w:color w:val="000000" w:themeColor="text1"/>
          <w:sz w:val="24"/>
          <w:szCs w:val="24"/>
        </w:rPr>
        <w:instrText xml:space="preserve"> ADDIN EN.CITE.DATA </w:instrText>
      </w:r>
      <w:r w:rsidR="001519AC" w:rsidRPr="009C58A4">
        <w:rPr>
          <w:rFonts w:ascii="Times New Roman" w:eastAsia="宋体" w:hAnsi="Times New Roman"/>
          <w:color w:val="000000" w:themeColor="text1"/>
          <w:sz w:val="24"/>
          <w:szCs w:val="24"/>
        </w:rPr>
        <w:fldChar w:fldCharType="end"/>
      </w:r>
      <w:r w:rsidR="001519AC" w:rsidRPr="009C58A4">
        <w:rPr>
          <w:rFonts w:ascii="Times New Roman" w:eastAsia="宋体" w:hAnsi="Times New Roman"/>
          <w:color w:val="000000" w:themeColor="text1"/>
          <w:sz w:val="24"/>
          <w:szCs w:val="24"/>
        </w:rPr>
        <w:fldChar w:fldCharType="separate"/>
      </w:r>
      <w:r w:rsidR="001519AC" w:rsidRPr="009C58A4">
        <w:rPr>
          <w:rFonts w:ascii="Times New Roman" w:eastAsia="宋体" w:hAnsi="Times New Roman"/>
          <w:noProof/>
          <w:color w:val="000000" w:themeColor="text1"/>
          <w:sz w:val="24"/>
          <w:szCs w:val="24"/>
        </w:rPr>
        <w:t>[17]</w:t>
      </w:r>
      <w:r w:rsidR="001519AC" w:rsidRPr="009C58A4">
        <w:rPr>
          <w:rFonts w:ascii="Times New Roman" w:eastAsia="宋体" w:hAnsi="Times New Roman"/>
          <w:color w:val="000000" w:themeColor="text1"/>
          <w:sz w:val="24"/>
          <w:szCs w:val="24"/>
        </w:rPr>
        <w:fldChar w:fldCharType="end"/>
      </w:r>
      <w:r w:rsidRPr="009C58A4">
        <w:rPr>
          <w:rFonts w:ascii="Times New Roman" w:eastAsia="宋体" w:hAnsi="Times New Roman"/>
          <w:color w:val="000000" w:themeColor="text1"/>
          <w:sz w:val="24"/>
          <w:szCs w:val="24"/>
        </w:rPr>
        <w:t>.</w:t>
      </w:r>
    </w:p>
    <w:p w14:paraId="5220F6F9"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i/>
          <w:color w:val="000000" w:themeColor="text1"/>
          <w:sz w:val="24"/>
          <w:szCs w:val="24"/>
        </w:rPr>
        <w:t>In vivo</w:t>
      </w:r>
      <w:r w:rsidRPr="009C58A4">
        <w:rPr>
          <w:rFonts w:ascii="Times New Roman" w:eastAsia="宋体" w:hAnsi="Times New Roman"/>
          <w:b/>
          <w:bCs/>
          <w:color w:val="000000" w:themeColor="text1"/>
          <w:sz w:val="24"/>
          <w:szCs w:val="24"/>
        </w:rPr>
        <w:t xml:space="preserve"> antitumor efficacy of PPH@C and PPH@CR</w:t>
      </w:r>
    </w:p>
    <w:p w14:paraId="5449298B" w14:textId="002943A0" w:rsidR="00D5449E" w:rsidRPr="009C58A4" w:rsidRDefault="006F1BC0" w:rsidP="001907A7">
      <w:pPr>
        <w:pStyle w:val="12"/>
        <w:spacing w:line="360" w:lineRule="auto"/>
        <w:ind w:firstLine="480"/>
        <w:rPr>
          <w:rFonts w:ascii="宋体" w:hAnsi="宋体"/>
          <w:color w:val="000000" w:themeColor="text1"/>
          <w:sz w:val="24"/>
          <w:szCs w:val="24"/>
        </w:rPr>
      </w:pPr>
      <w:r w:rsidRPr="009C58A4">
        <w:rPr>
          <w:color w:val="000000" w:themeColor="text1"/>
          <w:sz w:val="24"/>
          <w:szCs w:val="24"/>
        </w:rPr>
        <w:t>Animal models of tumor-bearing mice were established. First, 4T1 cells (1</w:t>
      </w:r>
      <w:r w:rsidR="00DD3E9E" w:rsidRPr="009C58A4">
        <w:rPr>
          <w:color w:val="000000" w:themeColor="text1"/>
          <w:sz w:val="24"/>
          <w:szCs w:val="24"/>
        </w:rPr>
        <w:t xml:space="preserve"> × </w:t>
      </w:r>
      <w:r w:rsidRPr="009C58A4">
        <w:rPr>
          <w:color w:val="000000" w:themeColor="text1"/>
          <w:sz w:val="24"/>
          <w:szCs w:val="24"/>
        </w:rPr>
        <w:t>10</w:t>
      </w:r>
      <w:r w:rsidRPr="009C58A4">
        <w:rPr>
          <w:color w:val="000000" w:themeColor="text1"/>
          <w:sz w:val="24"/>
          <w:szCs w:val="24"/>
          <w:vertAlign w:val="superscript"/>
        </w:rPr>
        <w:t>6</w:t>
      </w:r>
      <w:r w:rsidRPr="009C58A4">
        <w:rPr>
          <w:color w:val="000000" w:themeColor="text1"/>
          <w:sz w:val="24"/>
          <w:szCs w:val="24"/>
        </w:rPr>
        <w:t>) were suspended in 100 μL of PBS and injected subcutaneously into the right axillary region of healthy BALB/c mice to develop solid tumors. And the tumor-bearing mice were randomly divided into 5 groups (n</w:t>
      </w:r>
      <w:r w:rsidR="001A0140" w:rsidRPr="009C58A4">
        <w:rPr>
          <w:color w:val="000000" w:themeColor="text1"/>
          <w:sz w:val="24"/>
          <w:szCs w:val="24"/>
        </w:rPr>
        <w:t xml:space="preserve"> </w:t>
      </w:r>
      <w:r w:rsidRPr="009C58A4">
        <w:rPr>
          <w:color w:val="000000" w:themeColor="text1"/>
          <w:sz w:val="24"/>
          <w:szCs w:val="24"/>
        </w:rPr>
        <w:t>=</w:t>
      </w:r>
      <w:r w:rsidR="001A0140" w:rsidRPr="009C58A4">
        <w:rPr>
          <w:color w:val="000000" w:themeColor="text1"/>
          <w:sz w:val="24"/>
          <w:szCs w:val="24"/>
        </w:rPr>
        <w:t xml:space="preserve"> </w:t>
      </w:r>
      <w:r w:rsidRPr="009C58A4">
        <w:rPr>
          <w:color w:val="000000" w:themeColor="text1"/>
          <w:sz w:val="24"/>
          <w:szCs w:val="24"/>
        </w:rPr>
        <w:t>5) when the tumor volume reached about 100 mm</w:t>
      </w:r>
      <w:r w:rsidRPr="009C58A4">
        <w:rPr>
          <w:color w:val="000000" w:themeColor="text1"/>
          <w:sz w:val="24"/>
          <w:szCs w:val="24"/>
          <w:vertAlign w:val="superscript"/>
        </w:rPr>
        <w:t>3</w:t>
      </w:r>
      <w:r w:rsidRPr="009C58A4">
        <w:rPr>
          <w:color w:val="000000" w:themeColor="text1"/>
          <w:sz w:val="24"/>
          <w:szCs w:val="24"/>
        </w:rPr>
        <w:t>, which were saline, Cur, PPH@C, Cur + Rg3, PPH@CR, respectively. Each group was injected through the tail vein for a total of 6 times, which were administered on days 1, 3, 5, 7, 9 and 11, and the administered dose of Cur was 20 mg/kg and the administered dose of Rg3 was 2.8 mg/kg (calculated based on the drug load of Rg3 in the PPH@CR). The length and width of tumors were measured daily using vernier calipers while monitoring the body weight of the mice. And the mice were sacrificed on the 12th day after initiation of treatment, then the tumor tissues of the mice in each group were collected and fixed with 4% formaldehyde, then hematoxylin-eosin staining (</w:t>
      </w:r>
      <w:r w:rsidRPr="009C58A4">
        <w:rPr>
          <w:iCs/>
          <w:color w:val="000000" w:themeColor="text1"/>
          <w:sz w:val="24"/>
          <w:szCs w:val="24"/>
        </w:rPr>
        <w:t>H&amp;E</w:t>
      </w:r>
      <w:r w:rsidRPr="009C58A4">
        <w:rPr>
          <w:color w:val="000000" w:themeColor="text1"/>
          <w:sz w:val="24"/>
          <w:szCs w:val="24"/>
        </w:rPr>
        <w:t xml:space="preserve"> staining) was performed and the cell morphology of the tumor tissues were observed using light microscopy. The tumor volume and the tumor inhibition rate (TIR) in mice were calculated according to the following formula, respectively </w:t>
      </w:r>
      <w:r w:rsidR="001519AC" w:rsidRPr="009C58A4">
        <w:rPr>
          <w:color w:val="000000" w:themeColor="text1"/>
          <w:sz w:val="24"/>
          <w:szCs w:val="24"/>
        </w:rPr>
        <w:fldChar w:fldCharType="begin"/>
      </w:r>
      <w:r w:rsidR="001519AC" w:rsidRPr="009C58A4">
        <w:rPr>
          <w:color w:val="000000" w:themeColor="text1"/>
          <w:sz w:val="24"/>
          <w:szCs w:val="24"/>
        </w:rPr>
        <w:instrText xml:space="preserve"> ADDIN EN.CITE </w:instrText>
      </w:r>
      <w:r w:rsidR="001519AC" w:rsidRPr="009C58A4">
        <w:rPr>
          <w:color w:val="000000" w:themeColor="text1"/>
          <w:sz w:val="24"/>
          <w:szCs w:val="24"/>
        </w:rPr>
        <w:fldChar w:fldCharType="begin"/>
      </w:r>
      <w:r w:rsidR="001519AC" w:rsidRPr="009C58A4">
        <w:rPr>
          <w:color w:val="000000" w:themeColor="text1"/>
          <w:sz w:val="24"/>
          <w:szCs w:val="24"/>
        </w:rPr>
        <w:instrText xml:space="preserve"> ADDIN EN.CITE.DATA </w:instrText>
      </w:r>
      <w:r w:rsidR="001519AC" w:rsidRPr="009C58A4">
        <w:rPr>
          <w:color w:val="000000" w:themeColor="text1"/>
          <w:sz w:val="24"/>
          <w:szCs w:val="24"/>
        </w:rPr>
        <w:fldChar w:fldCharType="end"/>
      </w:r>
      <w:r w:rsidR="001519AC" w:rsidRPr="009C58A4">
        <w:rPr>
          <w:color w:val="000000" w:themeColor="text1"/>
          <w:sz w:val="24"/>
          <w:szCs w:val="24"/>
        </w:rPr>
        <w:fldChar w:fldCharType="separate"/>
      </w:r>
      <w:r w:rsidR="001519AC" w:rsidRPr="009C58A4">
        <w:rPr>
          <w:noProof/>
          <w:color w:val="000000" w:themeColor="text1"/>
          <w:sz w:val="24"/>
          <w:szCs w:val="24"/>
        </w:rPr>
        <w:t>[18]</w:t>
      </w:r>
      <w:r w:rsidR="001519AC" w:rsidRPr="009C58A4">
        <w:rPr>
          <w:color w:val="000000" w:themeColor="text1"/>
          <w:sz w:val="24"/>
          <w:szCs w:val="24"/>
        </w:rPr>
        <w:fldChar w:fldCharType="end"/>
      </w:r>
      <w:r w:rsidRPr="009C58A4">
        <w:rPr>
          <w:rFonts w:ascii="宋体" w:hAnsi="宋体"/>
          <w:color w:val="000000" w:themeColor="text1"/>
          <w:sz w:val="24"/>
          <w:szCs w:val="24"/>
        </w:rPr>
        <w:t>：</w:t>
      </w:r>
    </w:p>
    <w:p w14:paraId="47AEE64B" w14:textId="77777777" w:rsidR="001907A7" w:rsidRPr="009C58A4" w:rsidRDefault="001907A7" w:rsidP="001907A7">
      <w:pPr>
        <w:pStyle w:val="12"/>
        <w:spacing w:line="360" w:lineRule="auto"/>
        <w:ind w:firstLine="480"/>
        <w:rPr>
          <w:color w:val="000000" w:themeColor="text1"/>
          <w:sz w:val="24"/>
          <w:szCs w:val="24"/>
        </w:rPr>
      </w:pPr>
    </w:p>
    <w:p w14:paraId="4166B34E" w14:textId="1BC5A83C" w:rsidR="00D5449E" w:rsidRPr="009C58A4" w:rsidRDefault="00D5449E" w:rsidP="001907A7">
      <w:pPr>
        <w:rPr>
          <w:color w:val="000000" w:themeColor="text1"/>
        </w:rPr>
      </w:pPr>
      <m:oMathPara>
        <m:oMath>
          <m:r>
            <m:rPr>
              <m:sty m:val="p"/>
            </m:rPr>
            <w:rPr>
              <w:rFonts w:ascii="Cambria Math" w:hAnsi="Cambria Math"/>
              <w:color w:val="000000" w:themeColor="text1"/>
            </w:rPr>
            <m:t>V=L×</m:t>
          </m:r>
          <m:sSup>
            <m:sSupPr>
              <m:ctrlPr>
                <w:rPr>
                  <w:rFonts w:ascii="Cambria Math" w:hAnsi="Cambria Math"/>
                  <w:color w:val="000000" w:themeColor="text1"/>
                </w:rPr>
              </m:ctrlPr>
            </m:sSupPr>
            <m:e>
              <m:r>
                <m:rPr>
                  <m:sty m:val="p"/>
                </m:rPr>
                <w:rPr>
                  <w:rFonts w:ascii="Cambria Math" w:hAnsi="Cambria Math"/>
                  <w:color w:val="000000" w:themeColor="text1"/>
                </w:rPr>
                <m:t>W</m:t>
              </m:r>
            </m:e>
            <m:sup>
              <m:r>
                <m:rPr>
                  <m:sty m:val="p"/>
                </m:rPr>
                <w:rPr>
                  <w:rFonts w:ascii="Cambria Math" w:hAnsi="Cambria Math"/>
                  <w:color w:val="000000" w:themeColor="text1"/>
                </w:rPr>
                <m:t>2</m:t>
              </m:r>
            </m:sup>
          </m:sSup>
          <m:r>
            <m:rPr>
              <m:sty m:val="p"/>
            </m:rPr>
            <w:rPr>
              <w:rFonts w:ascii="Cambria Math" w:hAnsi="Cambria Math"/>
              <w:color w:val="000000" w:themeColor="text1"/>
            </w:rPr>
            <m:t>×0.5</m:t>
          </m:r>
        </m:oMath>
      </m:oMathPara>
    </w:p>
    <w:p w14:paraId="08D3C93C" w14:textId="77777777" w:rsidR="001907A7" w:rsidRPr="009C58A4" w:rsidRDefault="001907A7" w:rsidP="001907A7">
      <w:pPr>
        <w:rPr>
          <w:color w:val="000000" w:themeColor="text1"/>
        </w:rPr>
      </w:pPr>
    </w:p>
    <w:p w14:paraId="1AD75BC7" w14:textId="76547604" w:rsidR="00A64F6B" w:rsidRPr="009C58A4" w:rsidRDefault="006F1BC0" w:rsidP="001907A7">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In this formula, V represents the tumor volume, L represents the tumor length, and W represents the tumor width. </w:t>
      </w:r>
    </w:p>
    <w:p w14:paraId="6C3ADA07" w14:textId="6DA9CD8B" w:rsidR="00030D0C" w:rsidRPr="009C58A4" w:rsidRDefault="00D5449E" w:rsidP="001907A7">
      <w:pPr>
        <w:rPr>
          <w:color w:val="000000" w:themeColor="text1"/>
        </w:rPr>
      </w:pPr>
      <m:oMathPara>
        <m:oMath>
          <m:r>
            <m:rPr>
              <m:sty m:val="p"/>
            </m:rPr>
            <w:rPr>
              <w:rFonts w:ascii="Cambria Math" w:hAnsi="Cambria Math" w:cs="Cambria Math"/>
              <w:color w:val="000000" w:themeColor="text1"/>
            </w:rPr>
            <m:t>TIR=</m:t>
          </m:r>
          <m:f>
            <m:fPr>
              <m:ctrlPr>
                <w:rPr>
                  <w:rFonts w:ascii="Cambria Math" w:hAnsi="Cambria Math"/>
                  <w:color w:val="000000" w:themeColor="text1"/>
                </w:rPr>
              </m:ctrlPr>
            </m:fPr>
            <m:num>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W</m:t>
                  </m:r>
                </m:e>
                <m:sub>
                  <m:r>
                    <m:rPr>
                      <m:sty m:val="p"/>
                    </m:rPr>
                    <w:rPr>
                      <w:rFonts w:ascii="Cambria Math" w:hAnsi="Cambria Math" w:cs="Cambria Math"/>
                      <w:color w:val="000000" w:themeColor="text1"/>
                    </w:rPr>
                    <m:t>C</m:t>
                  </m:r>
                </m:sub>
              </m:sSub>
              <m:r>
                <m:rPr>
                  <m:sty m:val="p"/>
                </m:rPr>
                <w:rPr>
                  <w:rFonts w:ascii="Cambria Math" w:hAnsi="Cambria Math" w:cs="Cambria Math"/>
                  <w:color w:val="000000" w:themeColor="text1"/>
                </w:rPr>
                <m:t>-</m:t>
              </m:r>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W</m:t>
                  </m:r>
                </m:e>
                <m:sub>
                  <m:r>
                    <m:rPr>
                      <m:sty m:val="p"/>
                    </m:rPr>
                    <w:rPr>
                      <w:rFonts w:ascii="Cambria Math" w:hAnsi="Cambria Math" w:cs="Cambria Math"/>
                      <w:color w:val="000000" w:themeColor="text1"/>
                    </w:rPr>
                    <m:t>T</m:t>
                  </m:r>
                </m:sub>
              </m:sSub>
            </m:num>
            <m:den>
              <m:sSub>
                <m:sSubPr>
                  <m:ctrlPr>
                    <w:rPr>
                      <w:rFonts w:ascii="Cambria Math" w:hAnsi="Cambria Math" w:cs="Cambria Math"/>
                      <w:color w:val="000000" w:themeColor="text1"/>
                    </w:rPr>
                  </m:ctrlPr>
                </m:sSubPr>
                <m:e>
                  <m:r>
                    <m:rPr>
                      <m:sty m:val="p"/>
                    </m:rPr>
                    <w:rPr>
                      <w:rFonts w:ascii="Cambria Math" w:hAnsi="Cambria Math" w:cs="Cambria Math"/>
                      <w:color w:val="000000" w:themeColor="text1"/>
                    </w:rPr>
                    <m:t>W</m:t>
                  </m:r>
                </m:e>
                <m:sub>
                  <m:r>
                    <m:rPr>
                      <m:sty m:val="p"/>
                    </m:rPr>
                    <w:rPr>
                      <w:rFonts w:ascii="Cambria Math" w:hAnsi="Cambria Math" w:cs="Cambria Math"/>
                      <w:color w:val="000000" w:themeColor="text1"/>
                    </w:rPr>
                    <m:t>C</m:t>
                  </m:r>
                </m:sub>
              </m:sSub>
            </m:den>
          </m:f>
          <m:r>
            <m:rPr>
              <m:sty m:val="p"/>
            </m:rPr>
            <w:rPr>
              <w:rFonts w:ascii="Cambria Math" w:hAnsi="Cambria Math"/>
              <w:color w:val="000000" w:themeColor="text1"/>
            </w:rPr>
            <m:t>×100%</m:t>
          </m:r>
        </m:oMath>
      </m:oMathPara>
    </w:p>
    <w:p w14:paraId="28CB2306"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In this formula, TIR represents </w:t>
      </w:r>
      <w:r w:rsidRPr="009C58A4">
        <w:rPr>
          <w:rFonts w:ascii="Times New Roman" w:hAnsi="Times New Roman"/>
          <w:color w:val="000000" w:themeColor="text1"/>
          <w:sz w:val="24"/>
          <w:szCs w:val="24"/>
        </w:rPr>
        <w:t>the tumor inhibition rate</w:t>
      </w:r>
      <w:r w:rsidRPr="009C58A4">
        <w:rPr>
          <w:rFonts w:ascii="Times New Roman" w:eastAsia="宋体" w:hAnsi="Times New Roman"/>
          <w:color w:val="000000" w:themeColor="text1"/>
          <w:sz w:val="24"/>
          <w:szCs w:val="24"/>
        </w:rPr>
        <w:t xml:space="preserve">, </w:t>
      </w:r>
      <w:r w:rsidRPr="009C58A4">
        <w:rPr>
          <w:rFonts w:ascii="Times New Roman" w:eastAsia="宋体" w:hAnsi="Times New Roman"/>
          <w:i/>
          <w:color w:val="000000" w:themeColor="text1"/>
          <w:sz w:val="24"/>
          <w:szCs w:val="24"/>
        </w:rPr>
        <w:t>W</w:t>
      </w:r>
      <w:r w:rsidRPr="009C58A4">
        <w:rPr>
          <w:rFonts w:ascii="Times New Roman" w:eastAsia="宋体" w:hAnsi="Times New Roman"/>
          <w:i/>
          <w:color w:val="000000" w:themeColor="text1"/>
          <w:sz w:val="24"/>
          <w:szCs w:val="24"/>
          <w:vertAlign w:val="subscript"/>
        </w:rPr>
        <w:t>C</w:t>
      </w:r>
      <w:r w:rsidRPr="009C58A4">
        <w:rPr>
          <w:rFonts w:ascii="Times New Roman" w:eastAsia="宋体" w:hAnsi="Times New Roman"/>
          <w:color w:val="000000" w:themeColor="text1"/>
          <w:sz w:val="24"/>
          <w:szCs w:val="24"/>
        </w:rPr>
        <w:t xml:space="preserve"> represents the average tumor weight of the control group, and W</w:t>
      </w:r>
      <w:r w:rsidR="00E350F9" w:rsidRPr="009C58A4">
        <w:rPr>
          <w:rFonts w:ascii="Times New Roman" w:eastAsia="宋体" w:hAnsi="Times New Roman"/>
          <w:color w:val="000000" w:themeColor="text1"/>
          <w:sz w:val="24"/>
          <w:szCs w:val="24"/>
          <w:vertAlign w:val="subscript"/>
        </w:rPr>
        <w:t>T</w:t>
      </w:r>
      <w:r w:rsidRPr="009C58A4">
        <w:rPr>
          <w:rFonts w:ascii="Times New Roman" w:eastAsia="宋体" w:hAnsi="Times New Roman"/>
          <w:color w:val="000000" w:themeColor="text1"/>
          <w:sz w:val="24"/>
          <w:szCs w:val="24"/>
        </w:rPr>
        <w:t xml:space="preserve"> represents the average tumor weight of the treatment group.</w:t>
      </w:r>
    </w:p>
    <w:p w14:paraId="140B66FD" w14:textId="77777777" w:rsidR="006F1BC0" w:rsidRPr="009C58A4" w:rsidRDefault="006F1BC0">
      <w:pPr>
        <w:pStyle w:val="3"/>
        <w:rPr>
          <w:rFonts w:ascii="Times New Roman" w:hAnsi="Times New Roman"/>
          <w:color w:val="000000" w:themeColor="text1"/>
          <w:sz w:val="24"/>
          <w:szCs w:val="24"/>
        </w:rPr>
      </w:pPr>
      <w:r w:rsidRPr="009C58A4">
        <w:rPr>
          <w:rFonts w:ascii="Times New Roman" w:hAnsi="Times New Roman"/>
          <w:color w:val="000000" w:themeColor="text1"/>
          <w:sz w:val="24"/>
          <w:szCs w:val="24"/>
        </w:rPr>
        <w:t>Detection of Ki67, CD44 and PD-L1 in tumor tissues</w:t>
      </w:r>
    </w:p>
    <w:p w14:paraId="147AA82B" w14:textId="77777777" w:rsidR="006F1BC0" w:rsidRPr="009C58A4" w:rsidRDefault="006F1BC0">
      <w:pPr>
        <w:pStyle w:val="a7"/>
        <w:widowControl/>
        <w:shd w:val="clear" w:color="auto" w:fill="FFFFFF"/>
        <w:spacing w:line="360" w:lineRule="auto"/>
        <w:ind w:firstLineChars="200" w:firstLine="480"/>
        <w:rPr>
          <w:rFonts w:ascii="Times New Roman" w:hAnsi="Times New Roman"/>
          <w:color w:val="000000" w:themeColor="text1"/>
        </w:rPr>
      </w:pPr>
      <w:r w:rsidRPr="009C58A4">
        <w:rPr>
          <w:rFonts w:ascii="Times New Roman" w:hAnsi="Times New Roman"/>
          <w:color w:val="000000" w:themeColor="text1"/>
        </w:rPr>
        <w:t>The tumor tissues of mice treated with each group of drugs (saline, Cur, PPH@C, Cur + Rg3 and PPH@CR) were collected on the 12th day after treatment</w:t>
      </w:r>
      <w:r w:rsidRPr="009C58A4">
        <w:rPr>
          <w:rFonts w:ascii="宋体" w:hAnsi="宋体"/>
          <w:color w:val="000000" w:themeColor="text1"/>
        </w:rPr>
        <w:t>，</w:t>
      </w:r>
      <w:r w:rsidRPr="009C58A4">
        <w:rPr>
          <w:rFonts w:ascii="Times New Roman" w:hAnsi="Times New Roman"/>
          <w:color w:val="000000" w:themeColor="text1"/>
        </w:rPr>
        <w:t>and fixed them with 4% formaldehyde, embedded in paraffin and made into sections. Then the diluted Ki67 (1:600), CD44 (1:800) and PD-L1 (1:1000) antibodies were added dropwise to the sections and incubated overnight at 4 °C. Subsequently, secondary antibodies were added dropwise on the sections and incubated for 50 min at room temperature in the dark, and DAB chromogenic agent was added dropwise, the sections were counterstained with hematoxylin after the color was completed, then dehydrated and sealed. Finally, the expressions of Ki67, CD44 and PD-L1 in tumor tissues of tumor-bearing mice were analyzed by microscopy.</w:t>
      </w:r>
    </w:p>
    <w:p w14:paraId="40922C33" w14:textId="77777777" w:rsidR="006F1BC0" w:rsidRPr="009C58A4" w:rsidRDefault="006F1BC0">
      <w:pPr>
        <w:pStyle w:val="3"/>
        <w:rPr>
          <w:rFonts w:ascii="Times New Roman" w:hAnsi="Times New Roman"/>
          <w:color w:val="000000" w:themeColor="text1"/>
          <w:sz w:val="24"/>
          <w:szCs w:val="24"/>
        </w:rPr>
      </w:pPr>
      <w:r w:rsidRPr="009C58A4">
        <w:rPr>
          <w:rFonts w:ascii="Times New Roman" w:hAnsi="Times New Roman"/>
          <w:color w:val="000000" w:themeColor="text1"/>
          <w:sz w:val="24"/>
          <w:szCs w:val="24"/>
        </w:rPr>
        <w:t>Detection of CRT and HMGB1 in tumor tissues</w:t>
      </w:r>
    </w:p>
    <w:p w14:paraId="42B66B4E"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 xml:space="preserve">We further examined the expression of CRT and HMGB1 in tumor tissues using immunofluorescence staining to evaluate the induction of ICD in tumor cells by PPH@C and PPH@CR </w:t>
      </w:r>
      <w:r w:rsidRPr="009C58A4">
        <w:rPr>
          <w:rFonts w:ascii="Times New Roman" w:eastAsia="宋体" w:hAnsi="Times New Roman"/>
          <w:i/>
          <w:color w:val="000000" w:themeColor="text1"/>
          <w:sz w:val="24"/>
          <w:szCs w:val="24"/>
        </w:rPr>
        <w:t>in vivo</w:t>
      </w:r>
      <w:r w:rsidRPr="009C58A4">
        <w:rPr>
          <w:rFonts w:ascii="Times New Roman" w:eastAsia="宋体" w:hAnsi="Times New Roman"/>
          <w:color w:val="000000" w:themeColor="text1"/>
          <w:sz w:val="24"/>
          <w:szCs w:val="24"/>
        </w:rPr>
        <w:t xml:space="preserve"> </w:t>
      </w:r>
      <w:r w:rsidR="001519AC" w:rsidRPr="009C58A4">
        <w:rPr>
          <w:rFonts w:ascii="Times New Roman" w:eastAsia="宋体" w:hAnsi="Times New Roman"/>
          <w:color w:val="000000" w:themeColor="text1"/>
          <w:sz w:val="24"/>
          <w:szCs w:val="24"/>
        </w:rPr>
        <w:fldChar w:fldCharType="begin"/>
      </w:r>
      <w:r w:rsidR="001519AC" w:rsidRPr="009C58A4">
        <w:rPr>
          <w:rFonts w:ascii="Times New Roman" w:eastAsia="宋体" w:hAnsi="Times New Roman"/>
          <w:color w:val="000000" w:themeColor="text1"/>
          <w:sz w:val="24"/>
          <w:szCs w:val="24"/>
        </w:rPr>
        <w:instrText xml:space="preserve"> ADDIN EN.CITE </w:instrText>
      </w:r>
      <w:r w:rsidR="001519AC" w:rsidRPr="009C58A4">
        <w:rPr>
          <w:rFonts w:ascii="Times New Roman" w:eastAsia="宋体" w:hAnsi="Times New Roman"/>
          <w:color w:val="000000" w:themeColor="text1"/>
          <w:sz w:val="24"/>
          <w:szCs w:val="24"/>
        </w:rPr>
        <w:fldChar w:fldCharType="begin"/>
      </w:r>
      <w:r w:rsidR="001519AC" w:rsidRPr="009C58A4">
        <w:rPr>
          <w:rFonts w:ascii="Times New Roman" w:eastAsia="宋体" w:hAnsi="Times New Roman"/>
          <w:color w:val="000000" w:themeColor="text1"/>
          <w:sz w:val="24"/>
          <w:szCs w:val="24"/>
        </w:rPr>
        <w:instrText xml:space="preserve"> ADDIN EN.CITE.DATA </w:instrText>
      </w:r>
      <w:r w:rsidR="001519AC" w:rsidRPr="009C58A4">
        <w:rPr>
          <w:rFonts w:ascii="Times New Roman" w:eastAsia="宋体" w:hAnsi="Times New Roman"/>
          <w:color w:val="000000" w:themeColor="text1"/>
          <w:sz w:val="24"/>
          <w:szCs w:val="24"/>
        </w:rPr>
        <w:fldChar w:fldCharType="end"/>
      </w:r>
      <w:r w:rsidR="001519AC" w:rsidRPr="009C58A4">
        <w:rPr>
          <w:rFonts w:ascii="Times New Roman" w:eastAsia="宋体" w:hAnsi="Times New Roman"/>
          <w:color w:val="000000" w:themeColor="text1"/>
          <w:sz w:val="24"/>
          <w:szCs w:val="24"/>
        </w:rPr>
        <w:fldChar w:fldCharType="separate"/>
      </w:r>
      <w:r w:rsidR="001519AC" w:rsidRPr="009C58A4">
        <w:rPr>
          <w:rFonts w:ascii="Times New Roman" w:eastAsia="宋体" w:hAnsi="Times New Roman"/>
          <w:noProof/>
          <w:color w:val="000000" w:themeColor="text1"/>
          <w:sz w:val="24"/>
          <w:szCs w:val="24"/>
        </w:rPr>
        <w:t>[19]</w:t>
      </w:r>
      <w:r w:rsidR="001519AC" w:rsidRPr="009C58A4">
        <w:rPr>
          <w:rFonts w:ascii="Times New Roman" w:eastAsia="宋体" w:hAnsi="Times New Roman"/>
          <w:color w:val="000000" w:themeColor="text1"/>
          <w:sz w:val="24"/>
          <w:szCs w:val="24"/>
        </w:rPr>
        <w:fldChar w:fldCharType="end"/>
      </w:r>
      <w:r w:rsidRPr="009C58A4">
        <w:rPr>
          <w:rFonts w:ascii="Times New Roman" w:hAnsi="Times New Roman"/>
          <w:color w:val="000000" w:themeColor="text1"/>
          <w:sz w:val="24"/>
          <w:szCs w:val="24"/>
        </w:rPr>
        <w:t xml:space="preserve">. </w:t>
      </w:r>
      <w:r w:rsidRPr="009C58A4">
        <w:rPr>
          <w:rFonts w:ascii="Times New Roman" w:eastAsia="宋体" w:hAnsi="Times New Roman"/>
          <w:color w:val="000000" w:themeColor="text1"/>
          <w:sz w:val="24"/>
          <w:szCs w:val="24"/>
        </w:rPr>
        <w:t>Briefly, tumor tissues from mice in each group were collected on day 12 after treatment and fixed with 4% paraformaldehyde. The anti-CRT primary antibody (diluted 1:200) or HMGB1-antibody (diluted 1:200) was added dropwise to the sections and placed in a 4 °C freezer overnight. Then the secondary antibody was added dropwise and the nuclei was counterstained with DAPI for 50 minutes. Finally, observed and took images using fluorescence microscopy.</w:t>
      </w:r>
    </w:p>
    <w:p w14:paraId="6B3F73D0"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 xml:space="preserve">Detection of dendritic cells </w:t>
      </w:r>
      <w:r w:rsidRPr="009C58A4">
        <w:rPr>
          <w:rFonts w:ascii="Times New Roman" w:eastAsia="宋体" w:hAnsi="Times New Roman"/>
          <w:b/>
          <w:bCs/>
          <w:i/>
          <w:color w:val="000000" w:themeColor="text1"/>
          <w:sz w:val="24"/>
          <w:szCs w:val="24"/>
        </w:rPr>
        <w:t>in vivo</w:t>
      </w:r>
    </w:p>
    <w:p w14:paraId="7C4AE2A7" w14:textId="77777777" w:rsidR="006F1BC0" w:rsidRPr="009C58A4" w:rsidRDefault="006F1BC0">
      <w:pPr>
        <w:pStyle w:val="a7"/>
        <w:widowControl/>
        <w:shd w:val="clear" w:color="auto" w:fill="FFFFFF"/>
        <w:spacing w:line="360" w:lineRule="auto"/>
        <w:ind w:firstLineChars="200" w:firstLine="480"/>
        <w:rPr>
          <w:rFonts w:ascii="Times New Roman" w:hAnsi="Times New Roman"/>
          <w:color w:val="000000" w:themeColor="text1"/>
        </w:rPr>
      </w:pPr>
      <w:r w:rsidRPr="009C58A4">
        <w:rPr>
          <w:rFonts w:ascii="Times New Roman" w:hAnsi="Times New Roman"/>
          <w:color w:val="000000" w:themeColor="text1"/>
        </w:rPr>
        <w:t xml:space="preserve">Cells undergoing ICD can promote the transformation of DCs to mature phenotype by releasing DAMPs, and mature DCs are the main antigen-presenting cells in the human body and have the characteristics of MHCII and CD86 </w:t>
      </w:r>
      <w:r w:rsidR="001519AC" w:rsidRPr="009C58A4">
        <w:rPr>
          <w:rFonts w:ascii="Times New Roman" w:hAnsi="Times New Roman"/>
          <w:color w:val="000000" w:themeColor="text1"/>
        </w:rPr>
        <w:fldChar w:fldCharType="begin"/>
      </w:r>
      <w:r w:rsidR="001519AC" w:rsidRPr="009C58A4">
        <w:rPr>
          <w:rFonts w:ascii="Times New Roman" w:hAnsi="Times New Roman"/>
          <w:color w:val="000000" w:themeColor="text1"/>
        </w:rPr>
        <w:instrText xml:space="preserve"> ADDIN EN.CITE </w:instrText>
      </w:r>
      <w:r w:rsidR="001519AC" w:rsidRPr="009C58A4">
        <w:rPr>
          <w:rFonts w:ascii="Times New Roman" w:hAnsi="Times New Roman"/>
          <w:color w:val="000000" w:themeColor="text1"/>
        </w:rPr>
        <w:fldChar w:fldCharType="begin"/>
      </w:r>
      <w:r w:rsidR="001519AC" w:rsidRPr="009C58A4">
        <w:rPr>
          <w:rFonts w:ascii="Times New Roman" w:hAnsi="Times New Roman"/>
          <w:color w:val="000000" w:themeColor="text1"/>
        </w:rPr>
        <w:instrText xml:space="preserve"> ADDIN EN.CITE.DATA </w:instrText>
      </w:r>
      <w:r w:rsidR="001519AC" w:rsidRPr="009C58A4">
        <w:rPr>
          <w:rFonts w:ascii="Times New Roman" w:hAnsi="Times New Roman"/>
          <w:color w:val="000000" w:themeColor="text1"/>
        </w:rPr>
        <w:fldChar w:fldCharType="end"/>
      </w:r>
      <w:r w:rsidR="001519AC" w:rsidRPr="009C58A4">
        <w:rPr>
          <w:rFonts w:ascii="Times New Roman" w:hAnsi="Times New Roman"/>
          <w:color w:val="000000" w:themeColor="text1"/>
        </w:rPr>
        <w:fldChar w:fldCharType="separate"/>
      </w:r>
      <w:r w:rsidR="001519AC" w:rsidRPr="009C58A4">
        <w:rPr>
          <w:rFonts w:ascii="Times New Roman" w:hAnsi="Times New Roman"/>
          <w:noProof/>
          <w:color w:val="000000" w:themeColor="text1"/>
        </w:rPr>
        <w:t>[20]</w:t>
      </w:r>
      <w:r w:rsidR="001519AC" w:rsidRPr="009C58A4">
        <w:rPr>
          <w:rFonts w:ascii="Times New Roman" w:hAnsi="Times New Roman"/>
          <w:color w:val="000000" w:themeColor="text1"/>
        </w:rPr>
        <w:fldChar w:fldCharType="end"/>
      </w:r>
      <w:r w:rsidRPr="009C58A4">
        <w:rPr>
          <w:rFonts w:ascii="Times New Roman" w:hAnsi="Times New Roman"/>
          <w:color w:val="000000" w:themeColor="text1"/>
        </w:rPr>
        <w:t>. We detected mature DCs in tumor tissue by flow cytometry in this study, briefly, the collected tumor tissues from each group of mice were placed in culture dishes containing medium and cut into small pieces, then digested using medium containing type IV collagenase (100 U/mL) to obtain a single-cell suspension of tumor tissue, and APC-labeled anti-mouse CD11c antibody (0.5 μg/10</w:t>
      </w:r>
      <w:r w:rsidRPr="009C58A4">
        <w:rPr>
          <w:rFonts w:ascii="Times New Roman" w:hAnsi="Times New Roman"/>
          <w:color w:val="000000" w:themeColor="text1"/>
          <w:vertAlign w:val="superscript"/>
        </w:rPr>
        <w:t>6</w:t>
      </w:r>
      <w:r w:rsidRPr="009C58A4">
        <w:rPr>
          <w:rFonts w:ascii="Times New Roman" w:hAnsi="Times New Roman"/>
          <w:color w:val="000000" w:themeColor="text1"/>
        </w:rPr>
        <w:t xml:space="preserve"> cells, Elabscience), PE-labeled anti-mouse CD86 antibody (0.5 μg/10</w:t>
      </w:r>
      <w:r w:rsidRPr="009C58A4">
        <w:rPr>
          <w:rFonts w:ascii="Times New Roman" w:hAnsi="Times New Roman"/>
          <w:color w:val="000000" w:themeColor="text1"/>
          <w:vertAlign w:val="superscript"/>
        </w:rPr>
        <w:t>6</w:t>
      </w:r>
      <w:r w:rsidRPr="009C58A4">
        <w:rPr>
          <w:rFonts w:ascii="Times New Roman" w:hAnsi="Times New Roman"/>
          <w:color w:val="000000" w:themeColor="text1"/>
        </w:rPr>
        <w:t xml:space="preserve"> cells, Elabscience) were added to the cell suspension and incubated on ice for 40 min in the dark. Finally, the expression of CD11c and CD86 on DCs were analyzed by flow cytometry.</w:t>
      </w:r>
    </w:p>
    <w:p w14:paraId="5FE616AE" w14:textId="77777777" w:rsidR="006F1BC0" w:rsidRPr="009C58A4" w:rsidRDefault="006F1BC0">
      <w:pPr>
        <w:pStyle w:val="a7"/>
        <w:widowControl/>
        <w:shd w:val="clear" w:color="auto" w:fill="FFFFFF"/>
        <w:spacing w:line="360" w:lineRule="auto"/>
        <w:ind w:firstLineChars="200" w:firstLine="480"/>
        <w:rPr>
          <w:rFonts w:ascii="Times New Roman" w:hAnsi="Times New Roman"/>
          <w:color w:val="000000" w:themeColor="text1"/>
        </w:rPr>
      </w:pPr>
      <w:r w:rsidRPr="009C58A4">
        <w:rPr>
          <w:rFonts w:ascii="Times New Roman" w:hAnsi="Times New Roman"/>
          <w:color w:val="000000" w:themeColor="text1"/>
        </w:rPr>
        <w:t>We further examined mature DCs in mouse spleen tissue. First, the collected mice spleens were minced and sieved, and the cells were resuspended using pre-chilled erythrocyte lysate and incubated on ice for 5 min. Centrifuged the cells again and discarded the supernatant and added APC-labeled anti-mouse CD11c antibody (0.5 μg/10</w:t>
      </w:r>
      <w:r w:rsidRPr="009C58A4">
        <w:rPr>
          <w:rFonts w:ascii="Times New Roman" w:hAnsi="Times New Roman"/>
          <w:color w:val="000000" w:themeColor="text1"/>
          <w:vertAlign w:val="superscript"/>
        </w:rPr>
        <w:t>6</w:t>
      </w:r>
      <w:r w:rsidRPr="009C58A4">
        <w:rPr>
          <w:rFonts w:ascii="Times New Roman" w:hAnsi="Times New Roman"/>
          <w:color w:val="000000" w:themeColor="text1"/>
        </w:rPr>
        <w:t xml:space="preserve"> cells, Elabscience), PE-labeled anti-mouse CD86 antibody (0.5 μg/10</w:t>
      </w:r>
      <w:r w:rsidRPr="009C58A4">
        <w:rPr>
          <w:rFonts w:ascii="Times New Roman" w:hAnsi="Times New Roman"/>
          <w:color w:val="000000" w:themeColor="text1"/>
          <w:vertAlign w:val="superscript"/>
        </w:rPr>
        <w:t>6</w:t>
      </w:r>
      <w:r w:rsidRPr="009C58A4">
        <w:rPr>
          <w:rFonts w:ascii="Times New Roman" w:hAnsi="Times New Roman"/>
          <w:color w:val="000000" w:themeColor="text1"/>
        </w:rPr>
        <w:t xml:space="preserve"> cells, Elabscience), and incubated on ice for 40 min in the dark. Finally, the expression of CD11c and CD86 on DCs were analyzed by flow cytometry and the obtained data were analyzed using V3.0.1.4609 software (Stratus Biotech, China).</w:t>
      </w:r>
    </w:p>
    <w:p w14:paraId="1900EE59" w14:textId="77777777" w:rsidR="006F1BC0" w:rsidRPr="009C58A4" w:rsidRDefault="006F1BC0">
      <w:pPr>
        <w:spacing w:before="260" w:after="260" w:line="412" w:lineRule="auto"/>
        <w:outlineLvl w:val="2"/>
        <w:rPr>
          <w:rFonts w:ascii="Times New Roman" w:eastAsia="宋体" w:hAnsi="Times New Roman"/>
          <w:b/>
          <w:bCs/>
          <w:color w:val="000000" w:themeColor="text1"/>
          <w:sz w:val="24"/>
          <w:szCs w:val="24"/>
        </w:rPr>
      </w:pPr>
      <w:r w:rsidRPr="009C58A4">
        <w:rPr>
          <w:rFonts w:ascii="Times New Roman" w:eastAsia="宋体" w:hAnsi="Times New Roman"/>
          <w:b/>
          <w:bCs/>
          <w:color w:val="000000" w:themeColor="text1"/>
          <w:sz w:val="24"/>
          <w:szCs w:val="24"/>
        </w:rPr>
        <w:t>Detection of CD8</w:t>
      </w:r>
      <w:r w:rsidRPr="009C58A4">
        <w:rPr>
          <w:rFonts w:ascii="Times New Roman" w:eastAsia="宋体" w:hAnsi="Times New Roman"/>
          <w:b/>
          <w:bCs/>
          <w:color w:val="000000" w:themeColor="text1"/>
          <w:sz w:val="24"/>
          <w:szCs w:val="24"/>
          <w:vertAlign w:val="superscript"/>
        </w:rPr>
        <w:t>+</w:t>
      </w:r>
      <w:r w:rsidRPr="009C58A4">
        <w:rPr>
          <w:rFonts w:ascii="Times New Roman" w:eastAsia="宋体" w:hAnsi="Times New Roman"/>
          <w:b/>
          <w:bCs/>
          <w:color w:val="000000" w:themeColor="text1"/>
          <w:sz w:val="24"/>
          <w:szCs w:val="24"/>
        </w:rPr>
        <w:t xml:space="preserve"> T cells and CD4</w:t>
      </w:r>
      <w:r w:rsidRPr="009C58A4">
        <w:rPr>
          <w:rFonts w:ascii="Times New Roman" w:eastAsia="宋体" w:hAnsi="Times New Roman"/>
          <w:b/>
          <w:bCs/>
          <w:color w:val="000000" w:themeColor="text1"/>
          <w:sz w:val="24"/>
          <w:szCs w:val="24"/>
          <w:vertAlign w:val="superscript"/>
        </w:rPr>
        <w:t>+</w:t>
      </w:r>
      <w:r w:rsidRPr="009C58A4">
        <w:rPr>
          <w:rFonts w:ascii="Times New Roman" w:eastAsia="宋体" w:hAnsi="Times New Roman"/>
          <w:b/>
          <w:bCs/>
          <w:color w:val="000000" w:themeColor="text1"/>
          <w:sz w:val="24"/>
          <w:szCs w:val="24"/>
        </w:rPr>
        <w:t xml:space="preserve"> T cells </w:t>
      </w:r>
      <w:r w:rsidRPr="009C58A4">
        <w:rPr>
          <w:rFonts w:ascii="Times New Roman" w:eastAsia="宋体" w:hAnsi="Times New Roman"/>
          <w:b/>
          <w:bCs/>
          <w:i/>
          <w:color w:val="000000" w:themeColor="text1"/>
          <w:sz w:val="24"/>
          <w:szCs w:val="24"/>
        </w:rPr>
        <w:t>in vivo</w:t>
      </w:r>
    </w:p>
    <w:p w14:paraId="53C49DB4" w14:textId="77777777" w:rsidR="006F1BC0" w:rsidRPr="009C58A4" w:rsidRDefault="006F1BC0">
      <w:pPr>
        <w:pStyle w:val="a7"/>
        <w:widowControl/>
        <w:shd w:val="clear" w:color="auto" w:fill="FFFFFF"/>
        <w:spacing w:before="400" w:after="400" w:line="360" w:lineRule="auto"/>
        <w:ind w:firstLineChars="200" w:firstLine="480"/>
        <w:rPr>
          <w:rFonts w:ascii="Times New Roman" w:hAnsi="Times New Roman"/>
          <w:color w:val="000000" w:themeColor="text1"/>
        </w:rPr>
      </w:pPr>
      <w:r w:rsidRPr="009C58A4">
        <w:rPr>
          <w:rFonts w:ascii="Times New Roman" w:hAnsi="Times New Roman"/>
          <w:color w:val="000000" w:themeColor="text1"/>
        </w:rPr>
        <w:t>ICD induces DCs maturation and further activates adaptive immune responses, including the proliferation of cytotoxic T lymphocytes (CD8</w:t>
      </w:r>
      <w:r w:rsidRPr="009C58A4">
        <w:rPr>
          <w:rFonts w:ascii="Times New Roman" w:hAnsi="Times New Roman"/>
          <w:color w:val="000000" w:themeColor="text1"/>
          <w:vertAlign w:val="superscript"/>
        </w:rPr>
        <w:t>+</w:t>
      </w:r>
      <w:r w:rsidRPr="009C58A4">
        <w:rPr>
          <w:rFonts w:ascii="Times New Roman" w:hAnsi="Times New Roman"/>
          <w:color w:val="000000" w:themeColor="text1"/>
        </w:rPr>
        <w:t xml:space="preserve"> T lymphocytes) and helper T lymphocytes (CD4</w:t>
      </w:r>
      <w:r w:rsidRPr="009C58A4">
        <w:rPr>
          <w:rFonts w:ascii="Times New Roman" w:hAnsi="Times New Roman"/>
          <w:color w:val="000000" w:themeColor="text1"/>
          <w:vertAlign w:val="superscript"/>
        </w:rPr>
        <w:t>+</w:t>
      </w:r>
      <w:r w:rsidRPr="009C58A4">
        <w:rPr>
          <w:rFonts w:ascii="Times New Roman" w:hAnsi="Times New Roman"/>
          <w:color w:val="000000" w:themeColor="text1"/>
        </w:rPr>
        <w:t xml:space="preserve"> T lymphocytes) </w:t>
      </w:r>
      <w:r w:rsidR="001519AC" w:rsidRPr="009C58A4">
        <w:rPr>
          <w:rFonts w:ascii="Times New Roman" w:hAnsi="Times New Roman"/>
          <w:color w:val="000000" w:themeColor="text1"/>
        </w:rPr>
        <w:fldChar w:fldCharType="begin"/>
      </w:r>
      <w:r w:rsidR="001519AC" w:rsidRPr="009C58A4">
        <w:rPr>
          <w:rFonts w:ascii="Times New Roman" w:hAnsi="Times New Roman"/>
          <w:color w:val="000000" w:themeColor="text1"/>
        </w:rPr>
        <w:instrText xml:space="preserve"> ADDIN EN.CITE </w:instrText>
      </w:r>
      <w:r w:rsidR="001519AC" w:rsidRPr="009C58A4">
        <w:rPr>
          <w:rFonts w:ascii="Times New Roman" w:hAnsi="Times New Roman"/>
          <w:color w:val="000000" w:themeColor="text1"/>
        </w:rPr>
        <w:fldChar w:fldCharType="begin"/>
      </w:r>
      <w:r w:rsidR="001519AC" w:rsidRPr="009C58A4">
        <w:rPr>
          <w:rFonts w:ascii="Times New Roman" w:hAnsi="Times New Roman"/>
          <w:color w:val="000000" w:themeColor="text1"/>
        </w:rPr>
        <w:instrText xml:space="preserve"> ADDIN EN.CITE.DATA </w:instrText>
      </w:r>
      <w:r w:rsidR="001519AC" w:rsidRPr="009C58A4">
        <w:rPr>
          <w:rFonts w:ascii="Times New Roman" w:hAnsi="Times New Roman"/>
          <w:color w:val="000000" w:themeColor="text1"/>
        </w:rPr>
        <w:fldChar w:fldCharType="end"/>
      </w:r>
      <w:r w:rsidR="001519AC" w:rsidRPr="009C58A4">
        <w:rPr>
          <w:rFonts w:ascii="Times New Roman" w:hAnsi="Times New Roman"/>
          <w:color w:val="000000" w:themeColor="text1"/>
        </w:rPr>
        <w:fldChar w:fldCharType="separate"/>
      </w:r>
      <w:r w:rsidR="001519AC" w:rsidRPr="009C58A4">
        <w:rPr>
          <w:rFonts w:ascii="Times New Roman" w:hAnsi="Times New Roman"/>
          <w:noProof/>
          <w:color w:val="000000" w:themeColor="text1"/>
        </w:rPr>
        <w:t>[21]</w:t>
      </w:r>
      <w:r w:rsidR="001519AC" w:rsidRPr="009C58A4">
        <w:rPr>
          <w:rFonts w:ascii="Times New Roman" w:hAnsi="Times New Roman"/>
          <w:color w:val="000000" w:themeColor="text1"/>
        </w:rPr>
        <w:fldChar w:fldCharType="end"/>
      </w:r>
      <w:r w:rsidRPr="009C58A4">
        <w:rPr>
          <w:rFonts w:ascii="Times New Roman" w:hAnsi="Times New Roman"/>
          <w:color w:val="000000" w:themeColor="text1"/>
          <w:shd w:val="clear" w:color="auto" w:fill="FFFFFF"/>
        </w:rPr>
        <w:t>.</w:t>
      </w:r>
      <w:r w:rsidRPr="009C58A4">
        <w:rPr>
          <w:rFonts w:ascii="Times New Roman" w:hAnsi="Times New Roman"/>
          <w:color w:val="000000" w:themeColor="text1"/>
        </w:rPr>
        <w:t xml:space="preserve"> In this study, we examined the ratio of CD8</w:t>
      </w:r>
      <w:r w:rsidRPr="009C58A4">
        <w:rPr>
          <w:rFonts w:ascii="Times New Roman" w:hAnsi="Times New Roman"/>
          <w:color w:val="000000" w:themeColor="text1"/>
          <w:vertAlign w:val="superscript"/>
        </w:rPr>
        <w:t>+</w:t>
      </w:r>
      <w:r w:rsidRPr="009C58A4">
        <w:rPr>
          <w:rFonts w:ascii="Times New Roman" w:hAnsi="Times New Roman"/>
          <w:color w:val="000000" w:themeColor="text1"/>
        </w:rPr>
        <w:t xml:space="preserve"> T cells and CD4</w:t>
      </w:r>
      <w:r w:rsidRPr="009C58A4">
        <w:rPr>
          <w:rFonts w:ascii="Times New Roman" w:hAnsi="Times New Roman"/>
          <w:color w:val="000000" w:themeColor="text1"/>
          <w:vertAlign w:val="superscript"/>
        </w:rPr>
        <w:t>+</w:t>
      </w:r>
      <w:r w:rsidRPr="009C58A4">
        <w:rPr>
          <w:rFonts w:ascii="Times New Roman" w:hAnsi="Times New Roman"/>
          <w:color w:val="000000" w:themeColor="text1"/>
        </w:rPr>
        <w:t xml:space="preserve"> T cells in tumor tissues as well as spleen tissues using flow cytometry </w:t>
      </w:r>
      <w:r w:rsidR="001519AC" w:rsidRPr="009C58A4">
        <w:rPr>
          <w:rFonts w:ascii="Times New Roman" w:hAnsi="Times New Roman"/>
          <w:color w:val="000000" w:themeColor="text1"/>
        </w:rPr>
        <w:fldChar w:fldCharType="begin"/>
      </w:r>
      <w:r w:rsidR="001519AC" w:rsidRPr="009C58A4">
        <w:rPr>
          <w:rFonts w:ascii="Times New Roman" w:hAnsi="Times New Roman"/>
          <w:color w:val="000000" w:themeColor="text1"/>
        </w:rPr>
        <w:instrText xml:space="preserve"> ADDIN EN.CITE </w:instrText>
      </w:r>
      <w:r w:rsidR="001519AC" w:rsidRPr="009C58A4">
        <w:rPr>
          <w:rFonts w:ascii="Times New Roman" w:hAnsi="Times New Roman"/>
          <w:color w:val="000000" w:themeColor="text1"/>
        </w:rPr>
        <w:fldChar w:fldCharType="begin"/>
      </w:r>
      <w:r w:rsidR="001519AC" w:rsidRPr="009C58A4">
        <w:rPr>
          <w:rFonts w:ascii="Times New Roman" w:hAnsi="Times New Roman"/>
          <w:color w:val="000000" w:themeColor="text1"/>
        </w:rPr>
        <w:instrText xml:space="preserve"> ADDIN EN.CITE.DATA </w:instrText>
      </w:r>
      <w:r w:rsidR="001519AC" w:rsidRPr="009C58A4">
        <w:rPr>
          <w:rFonts w:ascii="Times New Roman" w:hAnsi="Times New Roman"/>
          <w:color w:val="000000" w:themeColor="text1"/>
        </w:rPr>
        <w:fldChar w:fldCharType="end"/>
      </w:r>
      <w:r w:rsidR="001519AC" w:rsidRPr="009C58A4">
        <w:rPr>
          <w:rFonts w:ascii="Times New Roman" w:hAnsi="Times New Roman"/>
          <w:color w:val="000000" w:themeColor="text1"/>
        </w:rPr>
        <w:fldChar w:fldCharType="separate"/>
      </w:r>
      <w:r w:rsidR="001519AC" w:rsidRPr="009C58A4">
        <w:rPr>
          <w:rFonts w:ascii="Times New Roman" w:hAnsi="Times New Roman"/>
          <w:noProof/>
          <w:color w:val="000000" w:themeColor="text1"/>
        </w:rPr>
        <w:t>[22]</w:t>
      </w:r>
      <w:r w:rsidR="001519AC" w:rsidRPr="009C58A4">
        <w:rPr>
          <w:rFonts w:ascii="Times New Roman" w:hAnsi="Times New Roman"/>
          <w:color w:val="000000" w:themeColor="text1"/>
        </w:rPr>
        <w:fldChar w:fldCharType="end"/>
      </w:r>
      <w:r w:rsidRPr="009C58A4">
        <w:rPr>
          <w:rFonts w:ascii="Times New Roman" w:hAnsi="Times New Roman"/>
          <w:color w:val="000000" w:themeColor="text1"/>
          <w:shd w:val="clear" w:color="auto" w:fill="FFFFFF"/>
        </w:rPr>
        <w:t xml:space="preserve">. </w:t>
      </w:r>
      <w:r w:rsidRPr="009C58A4">
        <w:rPr>
          <w:rFonts w:ascii="Times New Roman" w:hAnsi="Times New Roman"/>
          <w:color w:val="000000" w:themeColor="text1"/>
        </w:rPr>
        <w:t>First, the tumor tissues and spleens of mice were isolated and prepared into cell suspension (Look at the "</w:t>
      </w:r>
      <w:r w:rsidRPr="009C58A4">
        <w:rPr>
          <w:color w:val="000000" w:themeColor="text1"/>
        </w:rPr>
        <w:t xml:space="preserve"> </w:t>
      </w:r>
      <w:r w:rsidRPr="009C58A4">
        <w:rPr>
          <w:rFonts w:ascii="Times New Roman" w:hAnsi="Times New Roman"/>
          <w:color w:val="000000" w:themeColor="text1"/>
        </w:rPr>
        <w:t xml:space="preserve">Detection of dendritic cells </w:t>
      </w:r>
      <w:r w:rsidRPr="009C58A4">
        <w:rPr>
          <w:rFonts w:ascii="Times New Roman" w:hAnsi="Times New Roman"/>
          <w:i/>
          <w:color w:val="000000" w:themeColor="text1"/>
        </w:rPr>
        <w:t>in vivo</w:t>
      </w:r>
      <w:r w:rsidRPr="009C58A4">
        <w:rPr>
          <w:rFonts w:ascii="Times New Roman" w:hAnsi="Times New Roman"/>
          <w:color w:val="000000" w:themeColor="text1"/>
        </w:rPr>
        <w:t>" section) on the 12th day after the start of treatment. Then PITC-labeled anti-CD8 antibody (0.2 μg/10</w:t>
      </w:r>
      <w:r w:rsidRPr="009C58A4">
        <w:rPr>
          <w:rFonts w:ascii="Times New Roman" w:hAnsi="Times New Roman"/>
          <w:color w:val="000000" w:themeColor="text1"/>
          <w:vertAlign w:val="superscript"/>
        </w:rPr>
        <w:t>6</w:t>
      </w:r>
      <w:r w:rsidRPr="009C58A4">
        <w:rPr>
          <w:rFonts w:ascii="Times New Roman" w:hAnsi="Times New Roman"/>
          <w:color w:val="000000" w:themeColor="text1"/>
        </w:rPr>
        <w:t xml:space="preserve"> cells, Elabscience) and PerCP-labeled anti-CD4 antibody (0.25 μg/10</w:t>
      </w:r>
      <w:r w:rsidRPr="009C58A4">
        <w:rPr>
          <w:rFonts w:ascii="Times New Roman" w:hAnsi="Times New Roman"/>
          <w:color w:val="000000" w:themeColor="text1"/>
          <w:vertAlign w:val="superscript"/>
        </w:rPr>
        <w:t>6</w:t>
      </w:r>
      <w:r w:rsidRPr="009C58A4">
        <w:rPr>
          <w:rFonts w:ascii="Times New Roman" w:hAnsi="Times New Roman"/>
          <w:color w:val="000000" w:themeColor="text1"/>
        </w:rPr>
        <w:t xml:space="preserve"> cells, Elabscience) were added to the prepared single-cell suspension to distinguish between CD8</w:t>
      </w:r>
      <w:r w:rsidRPr="009C58A4">
        <w:rPr>
          <w:rFonts w:ascii="Times New Roman" w:hAnsi="Times New Roman"/>
          <w:color w:val="000000" w:themeColor="text1"/>
          <w:vertAlign w:val="superscript"/>
        </w:rPr>
        <w:t>+</w:t>
      </w:r>
      <w:r w:rsidRPr="009C58A4">
        <w:rPr>
          <w:rFonts w:ascii="Times New Roman" w:hAnsi="Times New Roman"/>
          <w:color w:val="000000" w:themeColor="text1"/>
        </w:rPr>
        <w:t xml:space="preserve"> T lymphocytes and CD4</w:t>
      </w:r>
      <w:r w:rsidRPr="009C58A4">
        <w:rPr>
          <w:rFonts w:ascii="Times New Roman" w:hAnsi="Times New Roman"/>
          <w:color w:val="000000" w:themeColor="text1"/>
          <w:vertAlign w:val="superscript"/>
        </w:rPr>
        <w:t>+</w:t>
      </w:r>
      <w:r w:rsidRPr="009C58A4">
        <w:rPr>
          <w:rFonts w:ascii="Times New Roman" w:hAnsi="Times New Roman"/>
          <w:color w:val="000000" w:themeColor="text1"/>
        </w:rPr>
        <w:t xml:space="preserve"> T lymphocytes and incubated on ice for 40 min in the dark. Finally, the test was performed by flow cytometry and the obtained data was analyzed.</w:t>
      </w:r>
    </w:p>
    <w:p w14:paraId="38E2E645" w14:textId="77777777" w:rsidR="006F1BC0" w:rsidRPr="009C58A4" w:rsidRDefault="006F1BC0">
      <w:pPr>
        <w:pStyle w:val="3"/>
        <w:rPr>
          <w:rFonts w:ascii="Times New Roman" w:eastAsia="宋体" w:hAnsi="Times New Roman"/>
          <w:color w:val="000000" w:themeColor="text1"/>
          <w:sz w:val="24"/>
          <w:szCs w:val="24"/>
        </w:rPr>
      </w:pPr>
      <w:r w:rsidRPr="009C58A4">
        <w:rPr>
          <w:rFonts w:ascii="Times New Roman" w:eastAsia="宋体" w:hAnsi="Times New Roman"/>
          <w:i/>
          <w:color w:val="000000" w:themeColor="text1"/>
          <w:sz w:val="24"/>
          <w:szCs w:val="24"/>
        </w:rPr>
        <w:t>In vivo</w:t>
      </w:r>
      <w:r w:rsidRPr="009C58A4">
        <w:rPr>
          <w:rFonts w:ascii="Times New Roman" w:eastAsia="宋体" w:hAnsi="Times New Roman"/>
          <w:color w:val="000000" w:themeColor="text1"/>
          <w:sz w:val="24"/>
          <w:szCs w:val="24"/>
        </w:rPr>
        <w:t xml:space="preserve"> safety</w:t>
      </w:r>
    </w:p>
    <w:p w14:paraId="73A8C3C6" w14:textId="77777777" w:rsidR="006F1BC0" w:rsidRPr="009C58A4" w:rsidRDefault="006F1BC0">
      <w:pPr>
        <w:pStyle w:val="12"/>
        <w:spacing w:line="360" w:lineRule="auto"/>
        <w:ind w:firstLine="480"/>
        <w:rPr>
          <w:color w:val="000000" w:themeColor="text1"/>
          <w:sz w:val="24"/>
          <w:szCs w:val="24"/>
        </w:rPr>
      </w:pPr>
      <w:r w:rsidRPr="009C58A4">
        <w:rPr>
          <w:color w:val="000000" w:themeColor="text1"/>
          <w:sz w:val="24"/>
          <w:szCs w:val="24"/>
        </w:rPr>
        <w:t>Venous blood was collected from mice for biochemical and complete blood count testing before the end of treatment. And the main organs of mice (heart, liver, spleen, lung and kidney) were collected at the end of treatment, and fixed with 4% paraformaldehyde and stained with H&amp;E to evaluate the histomorphological changes of the main organs of mice after treatment.</w:t>
      </w:r>
    </w:p>
    <w:p w14:paraId="2C6B738C" w14:textId="77777777" w:rsidR="006F1BC0" w:rsidRPr="009C58A4" w:rsidRDefault="006F1BC0">
      <w:pPr>
        <w:pStyle w:val="3"/>
        <w:rPr>
          <w:rFonts w:ascii="Times New Roman" w:eastAsia="宋体" w:hAnsi="Times New Roman"/>
          <w:b w:val="0"/>
          <w:bCs w:val="0"/>
          <w:color w:val="000000" w:themeColor="text1"/>
          <w:sz w:val="24"/>
          <w:szCs w:val="24"/>
        </w:rPr>
      </w:pPr>
      <w:r w:rsidRPr="009C58A4">
        <w:rPr>
          <w:rFonts w:ascii="Times New Roman" w:eastAsia="宋体" w:hAnsi="Times New Roman"/>
          <w:color w:val="000000" w:themeColor="text1"/>
          <w:sz w:val="24"/>
          <w:szCs w:val="24"/>
        </w:rPr>
        <w:t>Statistical analysis</w:t>
      </w:r>
      <w:r w:rsidRPr="009C58A4">
        <w:rPr>
          <w:rFonts w:ascii="Times New Roman" w:eastAsia="宋体" w:hAnsi="Times New Roman"/>
          <w:b w:val="0"/>
          <w:bCs w:val="0"/>
          <w:color w:val="000000" w:themeColor="text1"/>
          <w:sz w:val="24"/>
          <w:szCs w:val="24"/>
        </w:rPr>
        <w:t xml:space="preserve"> </w:t>
      </w:r>
    </w:p>
    <w:p w14:paraId="313C9C00" w14:textId="77777777" w:rsidR="006F1BC0" w:rsidRPr="009C58A4" w:rsidRDefault="006F1BC0">
      <w:pPr>
        <w:spacing w:line="360" w:lineRule="auto"/>
        <w:ind w:firstLineChars="200" w:firstLine="48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Statistical analysis was performed using GraphPad Prism software, and all data were expressed as mean ± standard deviation. The t-test was used to analyze the statistical differences between the groups, and *p&lt;0.05 was considered statistical difference, **p&lt;0.01 was considered significant difference, and ***p&lt;0.001 was considered extremely significant difference.</w:t>
      </w:r>
    </w:p>
    <w:p w14:paraId="67DAAE2E" w14:textId="4F2CAA66" w:rsidR="00F75D04" w:rsidRPr="009C58A4" w:rsidRDefault="008969F6" w:rsidP="00B345F1">
      <w:pPr>
        <w:spacing w:line="360" w:lineRule="auto"/>
        <w:jc w:val="center"/>
        <w:rPr>
          <w:rFonts w:ascii="Times New Roman" w:eastAsia="宋体" w:hAnsi="Times New Roman"/>
          <w:color w:val="000000" w:themeColor="text1"/>
          <w:sz w:val="24"/>
          <w:szCs w:val="24"/>
        </w:rPr>
      </w:pPr>
      <w:r w:rsidRPr="008969F6">
        <w:rPr>
          <w:rFonts w:ascii="Times New Roman" w:eastAsia="宋体" w:hAnsi="Times New Roman"/>
          <w:noProof/>
          <w:color w:val="000000" w:themeColor="text1"/>
          <w:sz w:val="24"/>
          <w:szCs w:val="24"/>
        </w:rPr>
        <w:drawing>
          <wp:inline distT="0" distB="0" distL="0" distR="0" wp14:anchorId="5390CB8A" wp14:editId="4D9C1087">
            <wp:extent cx="3990340" cy="4547068"/>
            <wp:effectExtent l="0" t="0" r="0" b="6350"/>
            <wp:docPr id="6" name="图片 6" descr="D:\投稿\文章里的图\Fig.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投稿\文章里的图\Fig.S3.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128" t="2730" r="16195" b="20617"/>
                    <a:stretch/>
                  </pic:blipFill>
                  <pic:spPr bwMode="auto">
                    <a:xfrm>
                      <a:off x="0" y="0"/>
                      <a:ext cx="3991407" cy="4548284"/>
                    </a:xfrm>
                    <a:prstGeom prst="rect">
                      <a:avLst/>
                    </a:prstGeom>
                    <a:noFill/>
                    <a:ln>
                      <a:noFill/>
                    </a:ln>
                    <a:extLst>
                      <a:ext uri="{53640926-AAD7-44D8-BBD7-CCE9431645EC}">
                        <a14:shadowObscured xmlns:a14="http://schemas.microsoft.com/office/drawing/2010/main"/>
                      </a:ext>
                    </a:extLst>
                  </pic:spPr>
                </pic:pic>
              </a:graphicData>
            </a:graphic>
          </wp:inline>
        </w:drawing>
      </w:r>
    </w:p>
    <w:p w14:paraId="30DDFD8C" w14:textId="58DE8444" w:rsidR="00A94291" w:rsidRPr="009C58A4" w:rsidRDefault="006F1BC0" w:rsidP="00AB35B4">
      <w:pPr>
        <w:rPr>
          <w:rFonts w:ascii="Times New Roman" w:eastAsia="宋体" w:hAnsi="Times New Roman"/>
          <w:color w:val="000000" w:themeColor="text1"/>
          <w:szCs w:val="21"/>
        </w:rPr>
      </w:pPr>
      <w:r w:rsidRPr="009C58A4">
        <w:rPr>
          <w:rFonts w:ascii="Times New Roman" w:hAnsi="Times New Roman"/>
          <w:b/>
          <w:color w:val="000000" w:themeColor="text1"/>
          <w:szCs w:val="21"/>
        </w:rPr>
        <w:t>Fig.</w:t>
      </w:r>
      <w:r w:rsidRPr="009C58A4">
        <w:rPr>
          <w:rFonts w:ascii="Times New Roman" w:eastAsia="黑体" w:hAnsi="Times New Roman"/>
          <w:b/>
          <w:color w:val="000000" w:themeColor="text1"/>
          <w:szCs w:val="21"/>
        </w:rPr>
        <w:t xml:space="preserve"> S3</w:t>
      </w:r>
      <w:r w:rsidRPr="009C58A4">
        <w:rPr>
          <w:rFonts w:ascii="Times New Roman" w:eastAsia="宋体" w:hAnsi="Times New Roman"/>
          <w:b/>
          <w:color w:val="000000" w:themeColor="text1"/>
          <w:szCs w:val="21"/>
        </w:rPr>
        <w:t xml:space="preserve"> </w:t>
      </w:r>
      <w:r w:rsidRPr="009C58A4">
        <w:rPr>
          <w:rFonts w:ascii="Times New Roman" w:eastAsia="宋体" w:hAnsi="Times New Roman"/>
          <w:color w:val="000000" w:themeColor="text1"/>
          <w:szCs w:val="21"/>
        </w:rPr>
        <w:t xml:space="preserve">Characterization of polymers. </w:t>
      </w:r>
      <w:r w:rsidRPr="009C58A4">
        <w:rPr>
          <w:rFonts w:ascii="Times New Roman" w:eastAsia="宋体" w:hAnsi="Times New Roman"/>
          <w:b/>
          <w:color w:val="000000" w:themeColor="text1"/>
          <w:szCs w:val="21"/>
        </w:rPr>
        <w:t xml:space="preserve">(a) </w:t>
      </w:r>
      <w:r w:rsidRPr="009C58A4">
        <w:rPr>
          <w:rFonts w:ascii="Times New Roman" w:eastAsia="宋体" w:hAnsi="Times New Roman"/>
          <w:color w:val="000000" w:themeColor="text1"/>
          <w:szCs w:val="21"/>
        </w:rPr>
        <w:t xml:space="preserve">The </w:t>
      </w:r>
      <w:r w:rsidRPr="009C58A4">
        <w:rPr>
          <w:rFonts w:ascii="Times New Roman" w:eastAsia="宋体" w:hAnsi="Times New Roman"/>
          <w:color w:val="000000" w:themeColor="text1"/>
          <w:szCs w:val="21"/>
          <w:vertAlign w:val="superscript"/>
        </w:rPr>
        <w:t>1</w:t>
      </w:r>
      <w:r w:rsidR="00B64928" w:rsidRPr="009C58A4">
        <w:rPr>
          <w:rFonts w:ascii="Times New Roman" w:eastAsia="宋体" w:hAnsi="Times New Roman"/>
          <w:color w:val="000000" w:themeColor="text1"/>
          <w:szCs w:val="21"/>
        </w:rPr>
        <w:t>H-</w:t>
      </w:r>
      <w:r w:rsidRPr="009C58A4">
        <w:rPr>
          <w:rFonts w:ascii="Times New Roman" w:eastAsia="宋体" w:hAnsi="Times New Roman"/>
          <w:color w:val="000000" w:themeColor="text1"/>
          <w:szCs w:val="21"/>
        </w:rPr>
        <w:t>NMR spectrum of PDEA-PGMA in CDCl</w:t>
      </w:r>
      <w:r w:rsidRPr="009C58A4">
        <w:rPr>
          <w:rFonts w:ascii="Times New Roman" w:eastAsia="宋体" w:hAnsi="Times New Roman"/>
          <w:color w:val="000000" w:themeColor="text1"/>
          <w:szCs w:val="21"/>
          <w:vertAlign w:val="subscript"/>
        </w:rPr>
        <w:t>3</w:t>
      </w:r>
      <w:r w:rsidRPr="009C58A4">
        <w:rPr>
          <w:rFonts w:ascii="Times New Roman" w:eastAsia="宋体" w:hAnsi="Times New Roman"/>
          <w:color w:val="000000" w:themeColor="text1"/>
          <w:szCs w:val="21"/>
        </w:rPr>
        <w:t xml:space="preserve">. </w:t>
      </w:r>
      <w:r w:rsidRPr="009C58A4">
        <w:rPr>
          <w:rFonts w:ascii="Times New Roman" w:eastAsia="宋体" w:hAnsi="Times New Roman"/>
          <w:b/>
          <w:color w:val="000000" w:themeColor="text1"/>
          <w:szCs w:val="21"/>
        </w:rPr>
        <w:t xml:space="preserve">(b) </w:t>
      </w:r>
      <w:r w:rsidRPr="009C58A4">
        <w:rPr>
          <w:rFonts w:ascii="Times New Roman" w:eastAsia="宋体" w:hAnsi="Times New Roman"/>
          <w:color w:val="000000" w:themeColor="text1"/>
          <w:szCs w:val="21"/>
        </w:rPr>
        <w:t>The</w:t>
      </w:r>
      <w:r w:rsidRPr="009C58A4">
        <w:rPr>
          <w:rFonts w:ascii="Times New Roman" w:eastAsia="宋体" w:hAnsi="Times New Roman"/>
          <w:color w:val="000000" w:themeColor="text1"/>
          <w:szCs w:val="21"/>
          <w:vertAlign w:val="superscript"/>
        </w:rPr>
        <w:t xml:space="preserve"> 1</w:t>
      </w:r>
      <w:r w:rsidR="00B64928" w:rsidRPr="009C58A4">
        <w:rPr>
          <w:rFonts w:ascii="Times New Roman" w:eastAsia="宋体" w:hAnsi="Times New Roman"/>
          <w:color w:val="000000" w:themeColor="text1"/>
          <w:szCs w:val="21"/>
        </w:rPr>
        <w:t>H-</w:t>
      </w:r>
      <w:r w:rsidRPr="009C58A4">
        <w:rPr>
          <w:rFonts w:ascii="Times New Roman" w:eastAsia="宋体" w:hAnsi="Times New Roman"/>
          <w:color w:val="000000" w:themeColor="text1"/>
          <w:szCs w:val="21"/>
        </w:rPr>
        <w:t>NMR spectrum of PDEA-PGED in CDCl</w:t>
      </w:r>
      <w:r w:rsidRPr="009C58A4">
        <w:rPr>
          <w:rFonts w:ascii="Times New Roman" w:eastAsia="宋体" w:hAnsi="Times New Roman"/>
          <w:color w:val="000000" w:themeColor="text1"/>
          <w:szCs w:val="21"/>
          <w:vertAlign w:val="subscript"/>
        </w:rPr>
        <w:t>3</w:t>
      </w:r>
      <w:r w:rsidRPr="009C58A4">
        <w:rPr>
          <w:rFonts w:ascii="Times New Roman" w:eastAsia="宋体" w:hAnsi="Times New Roman"/>
          <w:color w:val="000000" w:themeColor="text1"/>
          <w:szCs w:val="21"/>
        </w:rPr>
        <w:t xml:space="preserve">. </w:t>
      </w:r>
      <w:r w:rsidRPr="009C58A4">
        <w:rPr>
          <w:rFonts w:ascii="Times New Roman" w:eastAsia="宋体" w:hAnsi="Times New Roman"/>
          <w:b/>
          <w:color w:val="000000" w:themeColor="text1"/>
          <w:szCs w:val="21"/>
        </w:rPr>
        <w:t>(c)</w:t>
      </w:r>
      <w:r w:rsidRPr="009C58A4">
        <w:rPr>
          <w:rFonts w:ascii="Times New Roman" w:eastAsia="宋体" w:hAnsi="Times New Roman"/>
          <w:color w:val="000000" w:themeColor="text1"/>
          <w:szCs w:val="21"/>
        </w:rPr>
        <w:t xml:space="preserve"> The</w:t>
      </w:r>
      <w:r w:rsidRPr="009C58A4">
        <w:rPr>
          <w:rFonts w:ascii="Times New Roman" w:eastAsia="宋体" w:hAnsi="Times New Roman"/>
          <w:color w:val="000000" w:themeColor="text1"/>
          <w:szCs w:val="21"/>
          <w:vertAlign w:val="superscript"/>
        </w:rPr>
        <w:t xml:space="preserve"> 1</w:t>
      </w:r>
      <w:r w:rsidR="00B64928" w:rsidRPr="009C58A4">
        <w:rPr>
          <w:rFonts w:ascii="Times New Roman" w:eastAsia="宋体" w:hAnsi="Times New Roman"/>
          <w:color w:val="000000" w:themeColor="text1"/>
          <w:szCs w:val="21"/>
        </w:rPr>
        <w:t>H-</w:t>
      </w:r>
      <w:r w:rsidRPr="009C58A4">
        <w:rPr>
          <w:rFonts w:ascii="Times New Roman" w:eastAsia="宋体" w:hAnsi="Times New Roman"/>
          <w:color w:val="000000" w:themeColor="text1"/>
          <w:szCs w:val="21"/>
        </w:rPr>
        <w:t>NMR spectrum of OPDEA-PGED in CDCl</w:t>
      </w:r>
      <w:r w:rsidRPr="009C58A4">
        <w:rPr>
          <w:rFonts w:ascii="Times New Roman" w:eastAsia="宋体" w:hAnsi="Times New Roman"/>
          <w:color w:val="000000" w:themeColor="text1"/>
          <w:szCs w:val="21"/>
          <w:vertAlign w:val="subscript"/>
        </w:rPr>
        <w:t>3</w:t>
      </w:r>
      <w:r w:rsidRPr="009C58A4">
        <w:rPr>
          <w:rFonts w:ascii="Times New Roman" w:eastAsia="宋体" w:hAnsi="Times New Roman"/>
          <w:color w:val="000000" w:themeColor="text1"/>
          <w:szCs w:val="21"/>
        </w:rPr>
        <w:t xml:space="preserve">. </w:t>
      </w:r>
      <w:r w:rsidRPr="009C58A4">
        <w:rPr>
          <w:rFonts w:ascii="Times New Roman" w:eastAsia="宋体" w:hAnsi="Times New Roman"/>
          <w:b/>
          <w:color w:val="000000" w:themeColor="text1"/>
          <w:szCs w:val="21"/>
        </w:rPr>
        <w:t>(d)</w:t>
      </w:r>
      <w:r w:rsidRPr="009C58A4">
        <w:rPr>
          <w:rFonts w:ascii="Times New Roman" w:eastAsia="宋体" w:hAnsi="Times New Roman"/>
          <w:color w:val="000000" w:themeColor="text1"/>
          <w:szCs w:val="21"/>
        </w:rPr>
        <w:t xml:space="preserve"> The</w:t>
      </w:r>
      <w:r w:rsidRPr="009C58A4">
        <w:rPr>
          <w:rFonts w:ascii="Times New Roman" w:eastAsia="宋体" w:hAnsi="Times New Roman"/>
          <w:color w:val="000000" w:themeColor="text1"/>
          <w:szCs w:val="21"/>
          <w:vertAlign w:val="superscript"/>
        </w:rPr>
        <w:t xml:space="preserve"> 1</w:t>
      </w:r>
      <w:r w:rsidR="00B64928" w:rsidRPr="009C58A4">
        <w:rPr>
          <w:rFonts w:ascii="Times New Roman" w:eastAsia="宋体" w:hAnsi="Times New Roman"/>
          <w:color w:val="000000" w:themeColor="text1"/>
          <w:szCs w:val="21"/>
        </w:rPr>
        <w:t>H-</w:t>
      </w:r>
      <w:r w:rsidRPr="009C58A4">
        <w:rPr>
          <w:rFonts w:ascii="Times New Roman" w:eastAsia="宋体" w:hAnsi="Times New Roman"/>
          <w:color w:val="000000" w:themeColor="text1"/>
          <w:szCs w:val="21"/>
        </w:rPr>
        <w:t>NMR spectrum of OPDEA-PGED-5HA in CDCl</w:t>
      </w:r>
      <w:r w:rsidRPr="009C58A4">
        <w:rPr>
          <w:rFonts w:ascii="Times New Roman" w:eastAsia="宋体" w:hAnsi="Times New Roman"/>
          <w:color w:val="000000" w:themeColor="text1"/>
          <w:szCs w:val="21"/>
          <w:vertAlign w:val="subscript"/>
        </w:rPr>
        <w:t>3</w:t>
      </w:r>
      <w:r w:rsidRPr="009C58A4">
        <w:rPr>
          <w:rFonts w:ascii="Times New Roman" w:eastAsia="宋体" w:hAnsi="Times New Roman"/>
          <w:color w:val="000000" w:themeColor="text1"/>
          <w:szCs w:val="21"/>
        </w:rPr>
        <w:t>.</w:t>
      </w:r>
      <w:r w:rsidRPr="009C58A4">
        <w:rPr>
          <w:rFonts w:ascii="Times New Roman" w:eastAsia="宋体" w:hAnsi="Times New Roman"/>
          <w:b/>
          <w:color w:val="000000" w:themeColor="text1"/>
          <w:szCs w:val="21"/>
        </w:rPr>
        <w:t xml:space="preserve"> (e)</w:t>
      </w:r>
      <w:r w:rsidRPr="009C58A4">
        <w:rPr>
          <w:rFonts w:ascii="Times New Roman" w:eastAsia="宋体" w:hAnsi="Times New Roman"/>
          <w:color w:val="000000" w:themeColor="text1"/>
          <w:szCs w:val="21"/>
        </w:rPr>
        <w:t xml:space="preserve"> The IR spectra of PDEA-PGED and OPDEA-PGED. (f) The</w:t>
      </w:r>
      <w:r w:rsidR="00AB35B4" w:rsidRPr="009C58A4">
        <w:rPr>
          <w:rFonts w:ascii="Times New Roman" w:eastAsia="宋体" w:hAnsi="Times New Roman"/>
          <w:color w:val="000000" w:themeColor="text1"/>
          <w:szCs w:val="21"/>
        </w:rPr>
        <w:t xml:space="preserve"> IR spectrum of OPDEA-PGED-5HA.</w:t>
      </w:r>
    </w:p>
    <w:p w14:paraId="6E318F72" w14:textId="670EAA52" w:rsidR="005E1EEA" w:rsidRPr="00916C7D" w:rsidRDefault="00916C7D" w:rsidP="00916C7D">
      <w:pPr>
        <w:jc w:val="center"/>
        <w:rPr>
          <w:rFonts w:ascii="Times New Roman" w:eastAsia="宋体" w:hAnsi="Times New Roman"/>
          <w:color w:val="000000" w:themeColor="text1"/>
          <w:szCs w:val="21"/>
        </w:rPr>
      </w:pPr>
      <w:r w:rsidRPr="00916C7D">
        <w:rPr>
          <w:rFonts w:ascii="Times New Roman" w:eastAsia="宋体" w:hAnsi="Times New Roman"/>
          <w:noProof/>
          <w:color w:val="000000" w:themeColor="text1"/>
          <w:szCs w:val="21"/>
        </w:rPr>
        <w:drawing>
          <wp:inline distT="0" distB="0" distL="0" distR="0" wp14:anchorId="1BABAC1E" wp14:editId="509F017D">
            <wp:extent cx="3290888" cy="3960524"/>
            <wp:effectExtent l="0" t="0" r="5080" b="1905"/>
            <wp:docPr id="1" name="图片 1" descr="D:\投稿\文章里的图\Fig.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投稿\文章里的图\Fig.S4.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624" t="5945" r="15201" b="20056"/>
                    <a:stretch/>
                  </pic:blipFill>
                  <pic:spPr bwMode="auto">
                    <a:xfrm>
                      <a:off x="0" y="0"/>
                      <a:ext cx="3304743" cy="3977199"/>
                    </a:xfrm>
                    <a:prstGeom prst="rect">
                      <a:avLst/>
                    </a:prstGeom>
                    <a:noFill/>
                    <a:ln>
                      <a:noFill/>
                    </a:ln>
                    <a:extLst>
                      <a:ext uri="{53640926-AAD7-44D8-BBD7-CCE9431645EC}">
                        <a14:shadowObscured xmlns:a14="http://schemas.microsoft.com/office/drawing/2010/main"/>
                      </a:ext>
                    </a:extLst>
                  </pic:spPr>
                </pic:pic>
              </a:graphicData>
            </a:graphic>
          </wp:inline>
        </w:drawing>
      </w:r>
    </w:p>
    <w:p w14:paraId="15335ADD" w14:textId="62AFF462" w:rsidR="005E1EEA" w:rsidRPr="009C58A4" w:rsidRDefault="005E1EEA" w:rsidP="00AB35B4">
      <w:pPr>
        <w:rPr>
          <w:rFonts w:ascii="Times New Roman" w:hAnsi="Times New Roman"/>
          <w:iCs/>
          <w:color w:val="000000" w:themeColor="text1"/>
          <w:szCs w:val="21"/>
        </w:rPr>
      </w:pPr>
      <w:r w:rsidRPr="009C58A4">
        <w:rPr>
          <w:rFonts w:ascii="Times New Roman" w:eastAsia="黑体" w:hAnsi="Times New Roman" w:hint="eastAsia"/>
          <w:b/>
          <w:color w:val="000000" w:themeColor="text1"/>
          <w:szCs w:val="21"/>
        </w:rPr>
        <w:t>Fig.</w:t>
      </w:r>
      <w:r w:rsidRPr="009C58A4">
        <w:rPr>
          <w:rFonts w:ascii="Times New Roman" w:eastAsia="黑体" w:hAnsi="Times New Roman"/>
          <w:b/>
          <w:color w:val="000000" w:themeColor="text1"/>
          <w:szCs w:val="21"/>
        </w:rPr>
        <w:t xml:space="preserve"> S4 </w:t>
      </w:r>
      <w:r w:rsidRPr="009C58A4">
        <w:rPr>
          <w:rFonts w:ascii="Times New Roman" w:eastAsia="黑体" w:hAnsi="Times New Roman"/>
          <w:color w:val="000000" w:themeColor="text1"/>
          <w:szCs w:val="21"/>
        </w:rPr>
        <w:t xml:space="preserve">Stability of PPH, PPH@C and PPH@CR </w:t>
      </w:r>
      <w:r w:rsidRPr="009C58A4">
        <w:rPr>
          <w:rFonts w:ascii="Times New Roman" w:hAnsi="Times New Roman"/>
          <w:iCs/>
          <w:color w:val="000000" w:themeColor="text1"/>
          <w:szCs w:val="21"/>
        </w:rPr>
        <w:t xml:space="preserve">under saline and </w:t>
      </w:r>
      <w:r w:rsidRPr="009C58A4">
        <w:rPr>
          <w:rFonts w:ascii="Times New Roman" w:eastAsia="黑体" w:hAnsi="Times New Roman"/>
          <w:color w:val="000000" w:themeColor="text1"/>
          <w:szCs w:val="21"/>
        </w:rPr>
        <w:t>4 °C</w:t>
      </w:r>
      <w:r w:rsidRPr="009C58A4">
        <w:rPr>
          <w:rFonts w:ascii="Times New Roman" w:hAnsi="Times New Roman"/>
          <w:iCs/>
          <w:color w:val="000000" w:themeColor="text1"/>
          <w:szCs w:val="21"/>
        </w:rPr>
        <w:t xml:space="preserve"> within 30 days</w:t>
      </w:r>
      <w:r w:rsidRPr="009C58A4">
        <w:rPr>
          <w:rFonts w:ascii="Times New Roman" w:eastAsia="黑体" w:hAnsi="Times New Roman"/>
          <w:color w:val="000000" w:themeColor="text1"/>
          <w:szCs w:val="21"/>
        </w:rPr>
        <w:t>.</w:t>
      </w:r>
      <w:r w:rsidRPr="009C58A4">
        <w:rPr>
          <w:rFonts w:ascii="Times New Roman" w:eastAsia="黑体" w:hAnsi="Times New Roman" w:hint="eastAsia"/>
          <w:color w:val="000000" w:themeColor="text1"/>
          <w:szCs w:val="21"/>
        </w:rPr>
        <w:t xml:space="preserve"> </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a</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 xml:space="preserve"> </w:t>
      </w:r>
      <w:r w:rsidRPr="009C58A4">
        <w:rPr>
          <w:rFonts w:ascii="Times New Roman" w:hAnsi="Times New Roman"/>
          <w:iCs/>
          <w:color w:val="000000" w:themeColor="text1"/>
          <w:szCs w:val="21"/>
        </w:rPr>
        <w:t xml:space="preserve">The particle size change of </w:t>
      </w:r>
      <w:r w:rsidRPr="009C58A4">
        <w:rPr>
          <w:rFonts w:ascii="Times New Roman" w:eastAsia="黑体" w:hAnsi="Times New Roman"/>
          <w:color w:val="000000" w:themeColor="text1"/>
          <w:szCs w:val="21"/>
        </w:rPr>
        <w:t>empty micelle PPH</w:t>
      </w:r>
      <w:r w:rsidRPr="009C58A4">
        <w:rPr>
          <w:rFonts w:ascii="Times New Roman" w:hAnsi="Times New Roman"/>
          <w:iCs/>
          <w:color w:val="000000" w:themeColor="text1"/>
          <w:szCs w:val="21"/>
        </w:rPr>
        <w:t>.</w:t>
      </w:r>
      <w:r w:rsidRPr="009C58A4">
        <w:rPr>
          <w:rFonts w:ascii="Times New Roman" w:eastAsia="黑体" w:hAnsi="Times New Roman"/>
          <w:color w:val="000000" w:themeColor="text1"/>
          <w:szCs w:val="21"/>
        </w:rPr>
        <w:t xml:space="preserve"> </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b</w:t>
      </w:r>
      <w:r w:rsidRPr="009C58A4">
        <w:rPr>
          <w:rFonts w:ascii="Times New Roman" w:eastAsia="黑体" w:hAnsi="Times New Roman" w:hint="eastAsia"/>
          <w:b/>
          <w:color w:val="000000" w:themeColor="text1"/>
          <w:szCs w:val="21"/>
        </w:rPr>
        <w:t>)</w:t>
      </w:r>
      <w:r w:rsidRPr="009C58A4">
        <w:rPr>
          <w:rFonts w:ascii="Times New Roman" w:eastAsia="黑体" w:hAnsi="Times New Roman"/>
          <w:color w:val="000000" w:themeColor="text1"/>
          <w:szCs w:val="21"/>
        </w:rPr>
        <w:t xml:space="preserve"> The zeta potential change of empty micelle PPH</w:t>
      </w:r>
      <w:r w:rsidRPr="009C58A4">
        <w:rPr>
          <w:rFonts w:ascii="Times New Roman" w:hAnsi="Times New Roman"/>
          <w:iCs/>
          <w:color w:val="000000" w:themeColor="text1"/>
          <w:szCs w:val="21"/>
        </w:rPr>
        <w:t>.</w:t>
      </w:r>
      <w:r w:rsidRPr="009C58A4">
        <w:rPr>
          <w:rFonts w:ascii="Times New Roman" w:hAnsi="Times New Roman"/>
          <w:b/>
          <w:iCs/>
          <w:color w:val="000000" w:themeColor="text1"/>
          <w:szCs w:val="21"/>
        </w:rPr>
        <w:t xml:space="preserve"> </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c</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 xml:space="preserve"> </w:t>
      </w:r>
      <w:r w:rsidRPr="009C58A4">
        <w:rPr>
          <w:rFonts w:ascii="Times New Roman" w:hAnsi="Times New Roman"/>
          <w:iCs/>
          <w:color w:val="000000" w:themeColor="text1"/>
          <w:szCs w:val="21"/>
        </w:rPr>
        <w:t xml:space="preserve">The particle size change of </w:t>
      </w:r>
      <w:r w:rsidRPr="009C58A4">
        <w:rPr>
          <w:rFonts w:ascii="Times New Roman" w:eastAsia="黑体" w:hAnsi="Times New Roman"/>
          <w:color w:val="000000" w:themeColor="text1"/>
          <w:szCs w:val="21"/>
        </w:rPr>
        <w:t>drug-loaded micelle PPH@C</w:t>
      </w:r>
      <w:r w:rsidRPr="009C58A4">
        <w:rPr>
          <w:rFonts w:ascii="Times New Roman" w:hAnsi="Times New Roman"/>
          <w:iCs/>
          <w:color w:val="000000" w:themeColor="text1"/>
          <w:szCs w:val="21"/>
        </w:rPr>
        <w:t xml:space="preserve">. </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d</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 xml:space="preserve"> </w:t>
      </w:r>
      <w:r w:rsidRPr="009C58A4">
        <w:rPr>
          <w:rFonts w:ascii="Times New Roman" w:eastAsia="黑体" w:hAnsi="Times New Roman"/>
          <w:color w:val="000000" w:themeColor="text1"/>
          <w:szCs w:val="21"/>
        </w:rPr>
        <w:t>The zeta potential change of</w:t>
      </w:r>
      <w:r w:rsidRPr="009C58A4">
        <w:rPr>
          <w:rFonts w:ascii="Times New Roman" w:hAnsi="Times New Roman"/>
          <w:iCs/>
          <w:color w:val="000000" w:themeColor="text1"/>
          <w:szCs w:val="21"/>
        </w:rPr>
        <w:t xml:space="preserve"> </w:t>
      </w:r>
      <w:r w:rsidRPr="009C58A4">
        <w:rPr>
          <w:rFonts w:ascii="Times New Roman" w:eastAsia="黑体" w:hAnsi="Times New Roman"/>
          <w:color w:val="000000" w:themeColor="text1"/>
          <w:szCs w:val="21"/>
        </w:rPr>
        <w:t>drug-loaded micelle PPH@C</w:t>
      </w:r>
      <w:r w:rsidRPr="009C58A4">
        <w:rPr>
          <w:rFonts w:ascii="Times New Roman" w:hAnsi="Times New Roman"/>
          <w:iCs/>
          <w:color w:val="000000" w:themeColor="text1"/>
          <w:szCs w:val="21"/>
        </w:rPr>
        <w:t xml:space="preserve">. </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e</w:t>
      </w:r>
      <w:r w:rsidRPr="009C58A4">
        <w:rPr>
          <w:rFonts w:ascii="Times New Roman" w:eastAsia="黑体" w:hAnsi="Times New Roman" w:hint="eastAsia"/>
          <w:b/>
          <w:color w:val="000000" w:themeColor="text1"/>
          <w:szCs w:val="21"/>
        </w:rPr>
        <w:t>)</w:t>
      </w:r>
      <w:r w:rsidRPr="009C58A4">
        <w:rPr>
          <w:rFonts w:ascii="Times New Roman" w:eastAsia="黑体" w:hAnsi="Times New Roman"/>
          <w:color w:val="000000" w:themeColor="text1"/>
          <w:szCs w:val="21"/>
        </w:rPr>
        <w:t xml:space="preserve"> </w:t>
      </w:r>
      <w:r w:rsidRPr="009C58A4">
        <w:rPr>
          <w:rFonts w:ascii="Times New Roman" w:hAnsi="Times New Roman"/>
          <w:iCs/>
          <w:color w:val="000000" w:themeColor="text1"/>
          <w:szCs w:val="21"/>
        </w:rPr>
        <w:t xml:space="preserve">The particle size change of </w:t>
      </w:r>
      <w:r w:rsidRPr="009C58A4">
        <w:rPr>
          <w:rFonts w:ascii="Times New Roman" w:eastAsia="黑体" w:hAnsi="Times New Roman"/>
          <w:color w:val="000000" w:themeColor="text1"/>
          <w:szCs w:val="21"/>
        </w:rPr>
        <w:t>drug-loaded micelle PPH@CR</w:t>
      </w:r>
      <w:r w:rsidRPr="009C58A4">
        <w:rPr>
          <w:rFonts w:ascii="Times New Roman" w:hAnsi="Times New Roman"/>
          <w:iCs/>
          <w:color w:val="000000" w:themeColor="text1"/>
          <w:szCs w:val="21"/>
        </w:rPr>
        <w:t xml:space="preserve">. </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f</w:t>
      </w:r>
      <w:r w:rsidRPr="009C58A4">
        <w:rPr>
          <w:rFonts w:ascii="Times New Roman" w:eastAsia="黑体" w:hAnsi="Times New Roman" w:hint="eastAsia"/>
          <w:b/>
          <w:color w:val="000000" w:themeColor="text1"/>
          <w:szCs w:val="21"/>
        </w:rPr>
        <w:t>)</w:t>
      </w:r>
      <w:r w:rsidRPr="009C58A4">
        <w:rPr>
          <w:rFonts w:ascii="Times New Roman" w:eastAsia="黑体" w:hAnsi="Times New Roman"/>
          <w:b/>
          <w:color w:val="000000" w:themeColor="text1"/>
          <w:szCs w:val="21"/>
        </w:rPr>
        <w:t xml:space="preserve"> </w:t>
      </w:r>
      <w:r w:rsidRPr="009C58A4">
        <w:rPr>
          <w:rFonts w:ascii="Times New Roman" w:eastAsia="黑体" w:hAnsi="Times New Roman"/>
          <w:color w:val="000000" w:themeColor="text1"/>
          <w:szCs w:val="21"/>
        </w:rPr>
        <w:t>The zeta potential change of</w:t>
      </w:r>
      <w:r w:rsidRPr="009C58A4">
        <w:rPr>
          <w:rFonts w:ascii="Times New Roman" w:hAnsi="Times New Roman"/>
          <w:iCs/>
          <w:color w:val="000000" w:themeColor="text1"/>
          <w:szCs w:val="21"/>
        </w:rPr>
        <w:t xml:space="preserve"> </w:t>
      </w:r>
      <w:r w:rsidRPr="009C58A4">
        <w:rPr>
          <w:rFonts w:ascii="Times New Roman" w:eastAsia="黑体" w:hAnsi="Times New Roman"/>
          <w:color w:val="000000" w:themeColor="text1"/>
          <w:szCs w:val="21"/>
        </w:rPr>
        <w:t>drug-loaded micelle PPH@CR</w:t>
      </w:r>
      <w:r w:rsidRPr="009C58A4">
        <w:rPr>
          <w:rFonts w:ascii="Times New Roman" w:hAnsi="Times New Roman"/>
          <w:iCs/>
          <w:color w:val="000000" w:themeColor="text1"/>
          <w:szCs w:val="21"/>
        </w:rPr>
        <w:t>.</w:t>
      </w:r>
    </w:p>
    <w:p w14:paraId="4F54BB26" w14:textId="77777777" w:rsidR="00F83D3B" w:rsidRPr="009C58A4" w:rsidRDefault="00F83D3B" w:rsidP="001907A7">
      <w:pPr>
        <w:rPr>
          <w:rFonts w:ascii="Times New Roman" w:eastAsia="宋体" w:hAnsi="Times New Roman"/>
          <w:color w:val="000000" w:themeColor="text1"/>
          <w:sz w:val="24"/>
        </w:rPr>
      </w:pPr>
    </w:p>
    <w:p w14:paraId="119D9523" w14:textId="3A227687" w:rsidR="00F83D3B" w:rsidRPr="009C58A4" w:rsidRDefault="00F83D3B" w:rsidP="00F83D3B">
      <w:pPr>
        <w:spacing w:line="360" w:lineRule="auto"/>
        <w:jc w:val="center"/>
        <w:rPr>
          <w:rFonts w:ascii="Times New Roman" w:eastAsia="宋体" w:hAnsi="Times New Roman"/>
          <w:bCs/>
          <w:color w:val="000000" w:themeColor="text1"/>
          <w:sz w:val="24"/>
          <w:szCs w:val="24"/>
        </w:rPr>
      </w:pPr>
      <w:r w:rsidRPr="009C58A4">
        <w:rPr>
          <w:rFonts w:ascii="Times New Roman" w:eastAsia="宋体" w:hAnsi="Times New Roman"/>
          <w:b/>
          <w:color w:val="000000" w:themeColor="text1"/>
          <w:sz w:val="24"/>
          <w:szCs w:val="24"/>
        </w:rPr>
        <w:t>Table</w:t>
      </w:r>
      <w:r w:rsidRPr="009C58A4">
        <w:rPr>
          <w:rFonts w:ascii="Times New Roman" w:eastAsia="黑体" w:hAnsi="Times New Roman"/>
          <w:b/>
          <w:color w:val="000000" w:themeColor="text1"/>
          <w:sz w:val="24"/>
          <w:szCs w:val="24"/>
        </w:rPr>
        <w:t xml:space="preserve"> </w:t>
      </w:r>
      <w:r w:rsidRPr="009C58A4">
        <w:rPr>
          <w:rFonts w:ascii="Times New Roman" w:hAnsi="Times New Roman"/>
          <w:b/>
          <w:color w:val="000000" w:themeColor="text1"/>
          <w:sz w:val="24"/>
          <w:szCs w:val="24"/>
        </w:rPr>
        <w:t>S1.</w:t>
      </w:r>
      <w:r w:rsidRPr="009C58A4">
        <w:rPr>
          <w:rFonts w:ascii="Times New Roman" w:hAnsi="Times New Roman" w:hint="eastAsia"/>
          <w:color w:val="000000" w:themeColor="text1"/>
          <w:sz w:val="24"/>
          <w:szCs w:val="24"/>
        </w:rPr>
        <w:t xml:space="preserve"> </w:t>
      </w:r>
      <w:r w:rsidRPr="009C58A4">
        <w:rPr>
          <w:rFonts w:ascii="Times New Roman" w:hAnsi="Times New Roman"/>
          <w:iCs/>
          <w:color w:val="000000" w:themeColor="text1"/>
          <w:sz w:val="24"/>
          <w:szCs w:val="24"/>
        </w:rPr>
        <w:t>The</w:t>
      </w:r>
      <w:r w:rsidRPr="009C58A4">
        <w:rPr>
          <w:rFonts w:ascii="Times New Roman" w:eastAsia="宋体" w:hAnsi="Times New Roman"/>
          <w:bCs/>
          <w:color w:val="000000" w:themeColor="text1"/>
          <w:sz w:val="24"/>
          <w:szCs w:val="24"/>
        </w:rPr>
        <w:t xml:space="preserve"> drug loading and encapsulation rate of PPH@C and PPH@CR</w:t>
      </w:r>
    </w:p>
    <w:tbl>
      <w:tblPr>
        <w:tblStyle w:val="af0"/>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9C58A4" w:rsidRPr="009C58A4" w14:paraId="76E8CD4C" w14:textId="77777777" w:rsidTr="00AC3E06">
        <w:tc>
          <w:tcPr>
            <w:tcW w:w="2765" w:type="dxa"/>
            <w:tcBorders>
              <w:top w:val="single" w:sz="4" w:space="0" w:color="auto"/>
              <w:bottom w:val="single" w:sz="4" w:space="0" w:color="auto"/>
            </w:tcBorders>
          </w:tcPr>
          <w:p w14:paraId="25F18E4A" w14:textId="2ADBF28C"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b/>
                <w:color w:val="000000" w:themeColor="text1"/>
                <w:sz w:val="24"/>
              </w:rPr>
              <w:t>Sample</w:t>
            </w:r>
          </w:p>
        </w:tc>
        <w:tc>
          <w:tcPr>
            <w:tcW w:w="2765" w:type="dxa"/>
            <w:tcBorders>
              <w:top w:val="single" w:sz="4" w:space="0" w:color="auto"/>
              <w:bottom w:val="single" w:sz="4" w:space="0" w:color="auto"/>
            </w:tcBorders>
          </w:tcPr>
          <w:p w14:paraId="3EEC6874" w14:textId="0D330B8E"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b/>
                <w:color w:val="000000" w:themeColor="text1"/>
                <w:sz w:val="24"/>
              </w:rPr>
              <w:t>DL (%)</w:t>
            </w:r>
          </w:p>
        </w:tc>
        <w:tc>
          <w:tcPr>
            <w:tcW w:w="2766" w:type="dxa"/>
            <w:tcBorders>
              <w:top w:val="single" w:sz="4" w:space="0" w:color="auto"/>
              <w:bottom w:val="single" w:sz="4" w:space="0" w:color="auto"/>
            </w:tcBorders>
          </w:tcPr>
          <w:p w14:paraId="0E6FED21" w14:textId="78BE3817"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b/>
                <w:color w:val="000000" w:themeColor="text1"/>
                <w:sz w:val="24"/>
              </w:rPr>
              <w:t>EE (%)</w:t>
            </w:r>
          </w:p>
        </w:tc>
      </w:tr>
      <w:tr w:rsidR="009C58A4" w:rsidRPr="009C58A4" w14:paraId="2BC041EA" w14:textId="77777777" w:rsidTr="00AC3E06">
        <w:tc>
          <w:tcPr>
            <w:tcW w:w="2765" w:type="dxa"/>
            <w:tcBorders>
              <w:top w:val="single" w:sz="4" w:space="0" w:color="auto"/>
            </w:tcBorders>
          </w:tcPr>
          <w:p w14:paraId="5C18D34B" w14:textId="5871AC16"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PPH@C</w:t>
            </w:r>
          </w:p>
        </w:tc>
        <w:tc>
          <w:tcPr>
            <w:tcW w:w="2765" w:type="dxa"/>
            <w:tcBorders>
              <w:top w:val="single" w:sz="4" w:space="0" w:color="auto"/>
            </w:tcBorders>
          </w:tcPr>
          <w:p w14:paraId="3F6ED9A9" w14:textId="575AB462"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 xml:space="preserve">14.47 </w:t>
            </w:r>
            <w:r w:rsidRPr="009C58A4">
              <w:rPr>
                <w:rStyle w:val="font11"/>
                <w:rFonts w:ascii="Times New Roman" w:eastAsia="宋体" w:hAnsi="Times New Roman" w:hint="default"/>
                <w:color w:val="000000" w:themeColor="text1"/>
              </w:rPr>
              <w:t xml:space="preserve">± </w:t>
            </w:r>
            <w:r w:rsidRPr="009C58A4">
              <w:rPr>
                <w:rStyle w:val="font01"/>
                <w:rFonts w:ascii="Times New Roman" w:hAnsi="Times New Roman" w:hint="default"/>
                <w:color w:val="000000" w:themeColor="text1"/>
              </w:rPr>
              <w:t>2.66</w:t>
            </w:r>
          </w:p>
        </w:tc>
        <w:tc>
          <w:tcPr>
            <w:tcW w:w="2766" w:type="dxa"/>
            <w:tcBorders>
              <w:top w:val="single" w:sz="4" w:space="0" w:color="auto"/>
            </w:tcBorders>
          </w:tcPr>
          <w:p w14:paraId="1AA0F413" w14:textId="3FB78EED"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62.70 ± 11.55</w:t>
            </w:r>
          </w:p>
        </w:tc>
      </w:tr>
      <w:tr w:rsidR="009C58A4" w:rsidRPr="009C58A4" w14:paraId="0F57B13D" w14:textId="77777777" w:rsidTr="00AC3E06">
        <w:tc>
          <w:tcPr>
            <w:tcW w:w="2765" w:type="dxa"/>
            <w:vMerge w:val="restart"/>
          </w:tcPr>
          <w:p w14:paraId="09AD6CA7" w14:textId="505B07FD"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PPH@CR</w:t>
            </w:r>
          </w:p>
        </w:tc>
        <w:tc>
          <w:tcPr>
            <w:tcW w:w="2765" w:type="dxa"/>
          </w:tcPr>
          <w:p w14:paraId="5D2DF073" w14:textId="4BCE412D"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14.15 ± 2.33 (Cur)</w:t>
            </w:r>
          </w:p>
        </w:tc>
        <w:tc>
          <w:tcPr>
            <w:tcW w:w="2766" w:type="dxa"/>
          </w:tcPr>
          <w:p w14:paraId="466E44F1" w14:textId="1F3A2D44"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61.4 ± 5.11 (Cur)</w:t>
            </w:r>
          </w:p>
        </w:tc>
      </w:tr>
      <w:tr w:rsidR="00AC3E06" w:rsidRPr="009C58A4" w14:paraId="705E161E" w14:textId="77777777" w:rsidTr="00AC3E06">
        <w:tc>
          <w:tcPr>
            <w:tcW w:w="2765" w:type="dxa"/>
            <w:vMerge/>
          </w:tcPr>
          <w:p w14:paraId="323722EA" w14:textId="77777777" w:rsidR="00AC3E06" w:rsidRPr="009C58A4" w:rsidRDefault="00AC3E06" w:rsidP="00F83D3B">
            <w:pPr>
              <w:spacing w:line="360" w:lineRule="auto"/>
              <w:jc w:val="center"/>
              <w:rPr>
                <w:rFonts w:ascii="Times New Roman" w:hAnsi="Times New Roman"/>
                <w:bCs/>
                <w:color w:val="000000" w:themeColor="text1"/>
                <w:sz w:val="24"/>
                <w:szCs w:val="24"/>
              </w:rPr>
            </w:pPr>
          </w:p>
        </w:tc>
        <w:tc>
          <w:tcPr>
            <w:tcW w:w="2765" w:type="dxa"/>
          </w:tcPr>
          <w:p w14:paraId="084335DD" w14:textId="4F74E26A"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2.26 ± 1.42 (Rg3)</w:t>
            </w:r>
          </w:p>
        </w:tc>
        <w:tc>
          <w:tcPr>
            <w:tcW w:w="2766" w:type="dxa"/>
          </w:tcPr>
          <w:p w14:paraId="1576245F" w14:textId="284E42AB" w:rsidR="00AC3E06" w:rsidRPr="009C58A4" w:rsidRDefault="00AC3E06" w:rsidP="00F83D3B">
            <w:pPr>
              <w:spacing w:line="360" w:lineRule="auto"/>
              <w:jc w:val="center"/>
              <w:rPr>
                <w:rFonts w:ascii="Times New Roman" w:hAnsi="Times New Roman"/>
                <w:bCs/>
                <w:color w:val="000000" w:themeColor="text1"/>
                <w:sz w:val="24"/>
                <w:szCs w:val="24"/>
              </w:rPr>
            </w:pPr>
            <w:r w:rsidRPr="009C58A4">
              <w:rPr>
                <w:rFonts w:ascii="Times New Roman" w:hAnsi="Times New Roman"/>
                <w:color w:val="000000" w:themeColor="text1"/>
                <w:sz w:val="24"/>
              </w:rPr>
              <w:t>12.29 ± 2.64 (Rg3)</w:t>
            </w:r>
          </w:p>
        </w:tc>
      </w:tr>
    </w:tbl>
    <w:p w14:paraId="54F0FB27" w14:textId="6F00DC5A" w:rsidR="00F84B12" w:rsidRPr="009C58A4" w:rsidRDefault="00F84B12" w:rsidP="00AB35B4">
      <w:pPr>
        <w:rPr>
          <w:rFonts w:ascii="Times New Roman" w:eastAsia="宋体" w:hAnsi="Times New Roman"/>
          <w:b/>
          <w:color w:val="000000" w:themeColor="text1"/>
          <w:szCs w:val="21"/>
        </w:rPr>
      </w:pPr>
    </w:p>
    <w:p w14:paraId="3BDFE4AE" w14:textId="77777777" w:rsidR="00F84B12" w:rsidRPr="009C58A4" w:rsidRDefault="00AB35B4" w:rsidP="00AB35B4">
      <w:pPr>
        <w:rPr>
          <w:rFonts w:ascii="Times New Roman" w:hAnsi="Times New Roman"/>
          <w:iCs/>
          <w:color w:val="000000" w:themeColor="text1"/>
          <w:sz w:val="24"/>
          <w:szCs w:val="24"/>
        </w:rPr>
      </w:pPr>
      <w:r w:rsidRPr="009C58A4">
        <w:rPr>
          <w:rFonts w:ascii="Times New Roman" w:eastAsia="宋体" w:hAnsi="Times New Roman"/>
          <w:b/>
          <w:color w:val="000000" w:themeColor="text1"/>
          <w:sz w:val="24"/>
          <w:szCs w:val="24"/>
        </w:rPr>
        <w:t xml:space="preserve">Table </w:t>
      </w:r>
      <w:r w:rsidR="00F83D3B" w:rsidRPr="009C58A4">
        <w:rPr>
          <w:rFonts w:ascii="Times New Roman" w:hAnsi="Times New Roman"/>
          <w:b/>
          <w:color w:val="000000" w:themeColor="text1"/>
          <w:sz w:val="24"/>
          <w:szCs w:val="24"/>
        </w:rPr>
        <w:t>S2</w:t>
      </w:r>
      <w:r w:rsidRPr="009C58A4">
        <w:rPr>
          <w:rFonts w:ascii="Times New Roman" w:hAnsi="Times New Roman"/>
          <w:color w:val="000000" w:themeColor="text1"/>
          <w:sz w:val="24"/>
          <w:szCs w:val="24"/>
        </w:rPr>
        <w:t xml:space="preserve">. </w:t>
      </w:r>
      <w:r w:rsidRPr="009C58A4">
        <w:rPr>
          <w:rFonts w:ascii="Times New Roman" w:hAnsi="Times New Roman"/>
          <w:iCs/>
          <w:color w:val="000000" w:themeColor="text1"/>
          <w:sz w:val="24"/>
          <w:szCs w:val="24"/>
        </w:rPr>
        <w:t>The particle size changes of</w:t>
      </w:r>
      <w:r w:rsidRPr="009C58A4">
        <w:rPr>
          <w:rFonts w:ascii="Times New Roman" w:eastAsia="黑体" w:hAnsi="Times New Roman"/>
          <w:color w:val="000000" w:themeColor="text1"/>
          <w:sz w:val="24"/>
          <w:szCs w:val="24"/>
        </w:rPr>
        <w:t xml:space="preserve"> PPH, PPH@C</w:t>
      </w:r>
      <w:r w:rsidRPr="009C58A4">
        <w:rPr>
          <w:rFonts w:ascii="Times New Roman" w:hAnsi="Times New Roman"/>
          <w:iCs/>
          <w:color w:val="000000" w:themeColor="text1"/>
          <w:sz w:val="24"/>
          <w:szCs w:val="24"/>
        </w:rPr>
        <w:t xml:space="preserve"> and </w:t>
      </w:r>
      <w:r w:rsidRPr="009C58A4">
        <w:rPr>
          <w:rFonts w:ascii="Times New Roman" w:eastAsia="黑体" w:hAnsi="Times New Roman"/>
          <w:color w:val="000000" w:themeColor="text1"/>
          <w:sz w:val="24"/>
          <w:szCs w:val="24"/>
        </w:rPr>
        <w:t>PPH@CR</w:t>
      </w:r>
      <w:r w:rsidRPr="009C58A4">
        <w:rPr>
          <w:rFonts w:ascii="Times New Roman" w:hAnsi="Times New Roman"/>
          <w:iCs/>
          <w:color w:val="000000" w:themeColor="text1"/>
          <w:sz w:val="24"/>
          <w:szCs w:val="24"/>
        </w:rPr>
        <w:t xml:space="preserve"> under saline and </w:t>
      </w:r>
      <w:r w:rsidRPr="009C58A4">
        <w:rPr>
          <w:rFonts w:ascii="Times New Roman" w:eastAsia="黑体" w:hAnsi="Times New Roman"/>
          <w:color w:val="000000" w:themeColor="text1"/>
          <w:sz w:val="24"/>
          <w:szCs w:val="24"/>
        </w:rPr>
        <w:t>4 °C</w:t>
      </w:r>
      <w:r w:rsidRPr="009C58A4">
        <w:rPr>
          <w:rFonts w:ascii="Times New Roman" w:hAnsi="Times New Roman"/>
          <w:iCs/>
          <w:color w:val="000000" w:themeColor="text1"/>
          <w:sz w:val="24"/>
          <w:szCs w:val="24"/>
        </w:rPr>
        <w:t xml:space="preserve"> within 30 days</w:t>
      </w:r>
    </w:p>
    <w:tbl>
      <w:tblPr>
        <w:tblW w:w="8522" w:type="dxa"/>
        <w:jc w:val="center"/>
        <w:tblBorders>
          <w:bottom w:val="single" w:sz="4" w:space="0" w:color="auto"/>
          <w:insideH w:val="single" w:sz="4" w:space="0" w:color="auto"/>
          <w:insideV w:val="single" w:sz="4" w:space="0" w:color="auto"/>
        </w:tblBorders>
        <w:tblLook w:val="0000" w:firstRow="0" w:lastRow="0" w:firstColumn="0" w:lastColumn="0" w:noHBand="0" w:noVBand="0"/>
      </w:tblPr>
      <w:tblGrid>
        <w:gridCol w:w="1843"/>
        <w:gridCol w:w="1701"/>
        <w:gridCol w:w="2835"/>
        <w:gridCol w:w="315"/>
        <w:gridCol w:w="1828"/>
      </w:tblGrid>
      <w:tr w:rsidR="009C58A4" w:rsidRPr="009C58A4" w14:paraId="01CB8A47" w14:textId="77777777" w:rsidTr="001A0140">
        <w:trPr>
          <w:jc w:val="center"/>
        </w:trPr>
        <w:tc>
          <w:tcPr>
            <w:tcW w:w="1843" w:type="dxa"/>
            <w:tcBorders>
              <w:top w:val="single" w:sz="4" w:space="0" w:color="auto"/>
              <w:left w:val="nil"/>
              <w:bottom w:val="single" w:sz="4" w:space="0" w:color="auto"/>
              <w:right w:val="nil"/>
            </w:tcBorders>
          </w:tcPr>
          <w:p w14:paraId="1754B510" w14:textId="77777777" w:rsidR="00AB35B4" w:rsidRPr="009C58A4" w:rsidRDefault="00AB35B4" w:rsidP="00A64F6B">
            <w:pPr>
              <w:ind w:firstLineChars="100" w:firstLine="240"/>
              <w:jc w:val="center"/>
              <w:rPr>
                <w:rFonts w:ascii="Times New Roman" w:hAnsi="Times New Roman"/>
                <w:b/>
                <w:bCs/>
                <w:color w:val="000000" w:themeColor="text1"/>
                <w:sz w:val="24"/>
              </w:rPr>
            </w:pPr>
            <w:r w:rsidRPr="009C58A4">
              <w:rPr>
                <w:rFonts w:ascii="Times New Roman" w:hAnsi="Times New Roman"/>
                <w:b/>
                <w:bCs/>
                <w:color w:val="000000" w:themeColor="text1"/>
                <w:sz w:val="24"/>
              </w:rPr>
              <w:t>Time (day)</w:t>
            </w:r>
          </w:p>
        </w:tc>
        <w:tc>
          <w:tcPr>
            <w:tcW w:w="1701" w:type="dxa"/>
            <w:tcBorders>
              <w:top w:val="single" w:sz="4" w:space="0" w:color="auto"/>
              <w:left w:val="nil"/>
              <w:bottom w:val="single" w:sz="4" w:space="0" w:color="auto"/>
              <w:right w:val="nil"/>
            </w:tcBorders>
          </w:tcPr>
          <w:p w14:paraId="27B2F617" w14:textId="77777777" w:rsidR="00AB35B4" w:rsidRPr="009C58A4" w:rsidRDefault="00AB35B4" w:rsidP="00A64F6B">
            <w:pPr>
              <w:jc w:val="center"/>
              <w:rPr>
                <w:rFonts w:ascii="Times New Roman" w:hAnsi="Times New Roman"/>
                <w:b/>
                <w:bCs/>
                <w:color w:val="000000" w:themeColor="text1"/>
                <w:sz w:val="24"/>
              </w:rPr>
            </w:pPr>
            <w:r w:rsidRPr="009C58A4">
              <w:rPr>
                <w:rFonts w:ascii="Times New Roman" w:hAnsi="Times New Roman"/>
                <w:b/>
                <w:color w:val="000000" w:themeColor="text1"/>
                <w:sz w:val="24"/>
              </w:rPr>
              <w:t>PPH</w:t>
            </w:r>
            <w:r w:rsidR="00CA3A2C" w:rsidRPr="009C58A4">
              <w:rPr>
                <w:rFonts w:ascii="Times New Roman" w:hAnsi="Times New Roman"/>
                <w:b/>
                <w:color w:val="000000" w:themeColor="text1"/>
                <w:sz w:val="24"/>
              </w:rPr>
              <w:t xml:space="preserve"> (nm)</w:t>
            </w:r>
          </w:p>
        </w:tc>
        <w:tc>
          <w:tcPr>
            <w:tcW w:w="2835" w:type="dxa"/>
            <w:tcBorders>
              <w:top w:val="single" w:sz="4" w:space="0" w:color="auto"/>
              <w:left w:val="nil"/>
              <w:bottom w:val="single" w:sz="4" w:space="0" w:color="auto"/>
              <w:right w:val="nil"/>
            </w:tcBorders>
          </w:tcPr>
          <w:p w14:paraId="17978A94" w14:textId="77777777" w:rsidR="00AB35B4" w:rsidRPr="009C58A4" w:rsidRDefault="00AB35B4" w:rsidP="00A64F6B">
            <w:pPr>
              <w:jc w:val="center"/>
              <w:rPr>
                <w:rFonts w:ascii="Times New Roman" w:hAnsi="Times New Roman"/>
                <w:b/>
                <w:bCs/>
                <w:color w:val="000000" w:themeColor="text1"/>
                <w:sz w:val="24"/>
              </w:rPr>
            </w:pPr>
            <w:r w:rsidRPr="009C58A4">
              <w:rPr>
                <w:rFonts w:ascii="Times New Roman" w:hAnsi="Times New Roman"/>
                <w:b/>
                <w:color w:val="000000" w:themeColor="text1"/>
                <w:sz w:val="24"/>
              </w:rPr>
              <w:t>PPH@C</w:t>
            </w:r>
            <w:r w:rsidR="00CA3A2C" w:rsidRPr="009C58A4">
              <w:rPr>
                <w:rFonts w:ascii="Times New Roman" w:hAnsi="Times New Roman"/>
                <w:b/>
                <w:color w:val="000000" w:themeColor="text1"/>
                <w:sz w:val="24"/>
              </w:rPr>
              <w:t xml:space="preserve"> (nm)</w:t>
            </w:r>
          </w:p>
        </w:tc>
        <w:tc>
          <w:tcPr>
            <w:tcW w:w="2143" w:type="dxa"/>
            <w:gridSpan w:val="2"/>
            <w:tcBorders>
              <w:top w:val="single" w:sz="4" w:space="0" w:color="auto"/>
              <w:left w:val="nil"/>
              <w:bottom w:val="single" w:sz="4" w:space="0" w:color="auto"/>
              <w:right w:val="nil"/>
            </w:tcBorders>
          </w:tcPr>
          <w:p w14:paraId="2BAC086A" w14:textId="77777777" w:rsidR="00AB35B4" w:rsidRPr="009C58A4" w:rsidRDefault="00AB35B4" w:rsidP="00A64F6B">
            <w:pPr>
              <w:jc w:val="center"/>
              <w:rPr>
                <w:rFonts w:ascii="Times New Roman" w:hAnsi="Times New Roman"/>
                <w:b/>
                <w:bCs/>
                <w:color w:val="000000" w:themeColor="text1"/>
                <w:sz w:val="24"/>
              </w:rPr>
            </w:pPr>
            <w:r w:rsidRPr="009C58A4">
              <w:rPr>
                <w:rFonts w:ascii="Times New Roman" w:hAnsi="Times New Roman"/>
                <w:b/>
                <w:color w:val="000000" w:themeColor="text1"/>
                <w:sz w:val="24"/>
              </w:rPr>
              <w:t>PPH@CR</w:t>
            </w:r>
            <w:r w:rsidR="00CA3A2C" w:rsidRPr="009C58A4">
              <w:rPr>
                <w:rFonts w:ascii="Times New Roman" w:hAnsi="Times New Roman"/>
                <w:b/>
                <w:color w:val="000000" w:themeColor="text1"/>
                <w:sz w:val="24"/>
              </w:rPr>
              <w:t xml:space="preserve"> (nm)</w:t>
            </w:r>
          </w:p>
        </w:tc>
      </w:tr>
      <w:tr w:rsidR="009C58A4" w:rsidRPr="009C58A4" w14:paraId="34808064" w14:textId="77777777" w:rsidTr="001A0140">
        <w:trPr>
          <w:jc w:val="center"/>
        </w:trPr>
        <w:tc>
          <w:tcPr>
            <w:tcW w:w="1843" w:type="dxa"/>
            <w:tcBorders>
              <w:top w:val="single" w:sz="4" w:space="0" w:color="auto"/>
              <w:left w:val="nil"/>
              <w:bottom w:val="nil"/>
              <w:right w:val="nil"/>
            </w:tcBorders>
          </w:tcPr>
          <w:p w14:paraId="78846902"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1</w:t>
            </w:r>
          </w:p>
        </w:tc>
        <w:tc>
          <w:tcPr>
            <w:tcW w:w="1701" w:type="dxa"/>
            <w:tcBorders>
              <w:top w:val="single" w:sz="4" w:space="0" w:color="auto"/>
              <w:left w:val="nil"/>
              <w:bottom w:val="nil"/>
              <w:right w:val="nil"/>
            </w:tcBorders>
            <w:vAlign w:val="center"/>
          </w:tcPr>
          <w:p w14:paraId="0ABD59CF" w14:textId="77777777" w:rsidR="00AB35B4" w:rsidRPr="009C58A4" w:rsidRDefault="00AB35B4" w:rsidP="00A64F6B">
            <w:pPr>
              <w:widowControl/>
              <w:jc w:val="center"/>
              <w:rPr>
                <w:rFonts w:ascii="Times New Roman" w:hAnsi="Times New Roman"/>
                <w:color w:val="000000" w:themeColor="text1"/>
                <w:kern w:val="0"/>
                <w:sz w:val="24"/>
              </w:rPr>
            </w:pPr>
            <w:r w:rsidRPr="009C58A4">
              <w:rPr>
                <w:rFonts w:ascii="Times New Roman" w:hAnsi="Times New Roman"/>
                <w:color w:val="000000" w:themeColor="text1"/>
                <w:sz w:val="24"/>
              </w:rPr>
              <w:t xml:space="preserve">103.46 </w:t>
            </w:r>
            <w:r w:rsidRPr="009C58A4">
              <w:rPr>
                <w:rStyle w:val="font11"/>
                <w:rFonts w:ascii="Times New Roman" w:hAnsi="Times New Roman" w:hint="default"/>
                <w:color w:val="000000" w:themeColor="text1"/>
              </w:rPr>
              <w:t xml:space="preserve">± </w:t>
            </w:r>
            <w:r w:rsidRPr="009C58A4">
              <w:rPr>
                <w:rStyle w:val="font01"/>
                <w:rFonts w:ascii="Times New Roman" w:hAnsi="Times New Roman" w:hint="default"/>
                <w:color w:val="000000" w:themeColor="text1"/>
              </w:rPr>
              <w:t>8.88</w:t>
            </w:r>
          </w:p>
        </w:tc>
        <w:tc>
          <w:tcPr>
            <w:tcW w:w="3150" w:type="dxa"/>
            <w:gridSpan w:val="2"/>
            <w:tcBorders>
              <w:top w:val="single" w:sz="4" w:space="0" w:color="auto"/>
              <w:left w:val="nil"/>
              <w:bottom w:val="nil"/>
              <w:right w:val="nil"/>
            </w:tcBorders>
            <w:vAlign w:val="center"/>
          </w:tcPr>
          <w:p w14:paraId="1D2B09C8" w14:textId="77777777" w:rsidR="00AB35B4" w:rsidRPr="009C58A4" w:rsidRDefault="00AB35B4" w:rsidP="00A64F6B">
            <w:pPr>
              <w:widowControl/>
              <w:jc w:val="center"/>
              <w:rPr>
                <w:rFonts w:ascii="Times New Roman" w:hAnsi="Times New Roman"/>
                <w:color w:val="000000" w:themeColor="text1"/>
                <w:kern w:val="0"/>
                <w:sz w:val="24"/>
              </w:rPr>
            </w:pPr>
            <w:r w:rsidRPr="009C58A4">
              <w:rPr>
                <w:rFonts w:ascii="Times New Roman" w:hAnsi="Times New Roman"/>
                <w:color w:val="000000" w:themeColor="text1"/>
                <w:sz w:val="24"/>
              </w:rPr>
              <w:t xml:space="preserve">117.15 </w:t>
            </w:r>
            <w:r w:rsidRPr="009C58A4">
              <w:rPr>
                <w:rStyle w:val="font11"/>
                <w:rFonts w:ascii="Times New Roman" w:hAnsi="Times New Roman" w:hint="default"/>
                <w:color w:val="000000" w:themeColor="text1"/>
              </w:rPr>
              <w:t xml:space="preserve">± </w:t>
            </w:r>
            <w:r w:rsidRPr="009C58A4">
              <w:rPr>
                <w:rStyle w:val="font01"/>
                <w:rFonts w:ascii="Times New Roman" w:hAnsi="Times New Roman" w:hint="default"/>
                <w:color w:val="000000" w:themeColor="text1"/>
              </w:rPr>
              <w:t>2.55</w:t>
            </w:r>
          </w:p>
        </w:tc>
        <w:tc>
          <w:tcPr>
            <w:tcW w:w="1828" w:type="dxa"/>
            <w:tcBorders>
              <w:top w:val="single" w:sz="4" w:space="0" w:color="auto"/>
              <w:left w:val="nil"/>
              <w:bottom w:val="nil"/>
              <w:right w:val="nil"/>
            </w:tcBorders>
            <w:vAlign w:val="center"/>
          </w:tcPr>
          <w:p w14:paraId="1722FE3F" w14:textId="77777777" w:rsidR="00AB35B4" w:rsidRPr="009C58A4" w:rsidRDefault="00AB35B4" w:rsidP="001A0140">
            <w:pPr>
              <w:widowControl/>
              <w:rPr>
                <w:rFonts w:ascii="Times New Roman" w:hAnsi="Times New Roman"/>
                <w:color w:val="000000" w:themeColor="text1"/>
                <w:kern w:val="0"/>
                <w:sz w:val="24"/>
              </w:rPr>
            </w:pPr>
            <w:r w:rsidRPr="009C58A4">
              <w:rPr>
                <w:rFonts w:ascii="Times New Roman" w:hAnsi="Times New Roman"/>
                <w:color w:val="000000" w:themeColor="text1"/>
                <w:sz w:val="24"/>
              </w:rPr>
              <w:t>82.66 ± 4.27</w:t>
            </w:r>
          </w:p>
        </w:tc>
      </w:tr>
      <w:tr w:rsidR="009C58A4" w:rsidRPr="009C58A4" w14:paraId="54018F99" w14:textId="77777777" w:rsidTr="001A0140">
        <w:trPr>
          <w:jc w:val="center"/>
        </w:trPr>
        <w:tc>
          <w:tcPr>
            <w:tcW w:w="1843" w:type="dxa"/>
            <w:tcBorders>
              <w:top w:val="nil"/>
              <w:left w:val="nil"/>
              <w:bottom w:val="nil"/>
              <w:right w:val="nil"/>
            </w:tcBorders>
          </w:tcPr>
          <w:p w14:paraId="40CA5D6F"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5</w:t>
            </w:r>
          </w:p>
        </w:tc>
        <w:tc>
          <w:tcPr>
            <w:tcW w:w="1701" w:type="dxa"/>
            <w:tcBorders>
              <w:top w:val="nil"/>
              <w:left w:val="nil"/>
              <w:bottom w:val="nil"/>
              <w:right w:val="nil"/>
            </w:tcBorders>
            <w:vAlign w:val="center"/>
          </w:tcPr>
          <w:p w14:paraId="2E6F54C0"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96.98 ± 2.49</w:t>
            </w:r>
          </w:p>
        </w:tc>
        <w:tc>
          <w:tcPr>
            <w:tcW w:w="3150" w:type="dxa"/>
            <w:gridSpan w:val="2"/>
            <w:tcBorders>
              <w:top w:val="nil"/>
              <w:left w:val="nil"/>
              <w:bottom w:val="nil"/>
              <w:right w:val="nil"/>
            </w:tcBorders>
            <w:vAlign w:val="center"/>
          </w:tcPr>
          <w:p w14:paraId="00131309"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114.81 ± 10.89</w:t>
            </w:r>
          </w:p>
        </w:tc>
        <w:tc>
          <w:tcPr>
            <w:tcW w:w="1828" w:type="dxa"/>
            <w:tcBorders>
              <w:top w:val="nil"/>
              <w:left w:val="nil"/>
              <w:bottom w:val="nil"/>
              <w:right w:val="nil"/>
            </w:tcBorders>
            <w:vAlign w:val="center"/>
          </w:tcPr>
          <w:p w14:paraId="76CDE61B" w14:textId="77777777" w:rsidR="00AB35B4" w:rsidRPr="009C58A4" w:rsidRDefault="00AB35B4" w:rsidP="001A0140">
            <w:pPr>
              <w:rPr>
                <w:rFonts w:ascii="Times New Roman" w:hAnsi="Times New Roman"/>
                <w:color w:val="000000" w:themeColor="text1"/>
                <w:sz w:val="24"/>
              </w:rPr>
            </w:pPr>
            <w:r w:rsidRPr="009C58A4">
              <w:rPr>
                <w:rFonts w:ascii="Times New Roman" w:hAnsi="Times New Roman"/>
                <w:color w:val="000000" w:themeColor="text1"/>
                <w:sz w:val="24"/>
              </w:rPr>
              <w:t>56.06 ± 5.42</w:t>
            </w:r>
          </w:p>
        </w:tc>
      </w:tr>
      <w:tr w:rsidR="009C58A4" w:rsidRPr="009C58A4" w14:paraId="27CE86F2" w14:textId="77777777" w:rsidTr="001A0140">
        <w:trPr>
          <w:trHeight w:val="65"/>
          <w:jc w:val="center"/>
        </w:trPr>
        <w:tc>
          <w:tcPr>
            <w:tcW w:w="1843" w:type="dxa"/>
            <w:tcBorders>
              <w:top w:val="nil"/>
              <w:left w:val="nil"/>
              <w:bottom w:val="nil"/>
              <w:right w:val="nil"/>
            </w:tcBorders>
          </w:tcPr>
          <w:p w14:paraId="5AEEB660"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10</w:t>
            </w:r>
          </w:p>
        </w:tc>
        <w:tc>
          <w:tcPr>
            <w:tcW w:w="1701" w:type="dxa"/>
            <w:tcBorders>
              <w:top w:val="nil"/>
              <w:left w:val="nil"/>
              <w:bottom w:val="nil"/>
              <w:right w:val="nil"/>
            </w:tcBorders>
            <w:vAlign w:val="center"/>
          </w:tcPr>
          <w:p w14:paraId="12D759E5"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84.37 ± 2.54</w:t>
            </w:r>
          </w:p>
        </w:tc>
        <w:tc>
          <w:tcPr>
            <w:tcW w:w="3150" w:type="dxa"/>
            <w:gridSpan w:val="2"/>
            <w:tcBorders>
              <w:top w:val="nil"/>
              <w:left w:val="nil"/>
              <w:bottom w:val="nil"/>
              <w:right w:val="nil"/>
            </w:tcBorders>
            <w:vAlign w:val="center"/>
          </w:tcPr>
          <w:p w14:paraId="6AA05193"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111.96 ± 10.68</w:t>
            </w:r>
          </w:p>
        </w:tc>
        <w:tc>
          <w:tcPr>
            <w:tcW w:w="1828" w:type="dxa"/>
            <w:tcBorders>
              <w:top w:val="nil"/>
              <w:left w:val="nil"/>
              <w:bottom w:val="nil"/>
              <w:right w:val="nil"/>
            </w:tcBorders>
            <w:vAlign w:val="center"/>
          </w:tcPr>
          <w:p w14:paraId="236654C3" w14:textId="77777777" w:rsidR="00AB35B4" w:rsidRPr="009C58A4" w:rsidRDefault="00AB35B4" w:rsidP="001A0140">
            <w:pPr>
              <w:rPr>
                <w:rFonts w:ascii="Times New Roman" w:hAnsi="Times New Roman"/>
                <w:color w:val="000000" w:themeColor="text1"/>
                <w:sz w:val="24"/>
              </w:rPr>
            </w:pPr>
            <w:r w:rsidRPr="009C58A4">
              <w:rPr>
                <w:rFonts w:ascii="Times New Roman" w:hAnsi="Times New Roman"/>
                <w:color w:val="000000" w:themeColor="text1"/>
                <w:sz w:val="24"/>
              </w:rPr>
              <w:t>73.56 ± 5.08</w:t>
            </w:r>
          </w:p>
        </w:tc>
      </w:tr>
      <w:tr w:rsidR="009C58A4" w:rsidRPr="009C58A4" w14:paraId="22A659BD" w14:textId="77777777" w:rsidTr="001A0140">
        <w:trPr>
          <w:trHeight w:val="54"/>
          <w:jc w:val="center"/>
        </w:trPr>
        <w:tc>
          <w:tcPr>
            <w:tcW w:w="1843" w:type="dxa"/>
            <w:tcBorders>
              <w:top w:val="nil"/>
              <w:left w:val="nil"/>
              <w:bottom w:val="nil"/>
              <w:right w:val="nil"/>
            </w:tcBorders>
          </w:tcPr>
          <w:p w14:paraId="391BBE0B"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20</w:t>
            </w:r>
          </w:p>
        </w:tc>
        <w:tc>
          <w:tcPr>
            <w:tcW w:w="1701" w:type="dxa"/>
            <w:tcBorders>
              <w:top w:val="nil"/>
              <w:left w:val="nil"/>
              <w:bottom w:val="nil"/>
              <w:right w:val="nil"/>
            </w:tcBorders>
            <w:vAlign w:val="center"/>
          </w:tcPr>
          <w:p w14:paraId="78567473"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95.66 ± 2.66</w:t>
            </w:r>
          </w:p>
        </w:tc>
        <w:tc>
          <w:tcPr>
            <w:tcW w:w="3150" w:type="dxa"/>
            <w:gridSpan w:val="2"/>
            <w:tcBorders>
              <w:top w:val="nil"/>
              <w:left w:val="nil"/>
              <w:bottom w:val="nil"/>
              <w:right w:val="nil"/>
            </w:tcBorders>
            <w:vAlign w:val="center"/>
          </w:tcPr>
          <w:p w14:paraId="27BE526B"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130.42 ± 8.58</w:t>
            </w:r>
          </w:p>
        </w:tc>
        <w:tc>
          <w:tcPr>
            <w:tcW w:w="1828" w:type="dxa"/>
            <w:tcBorders>
              <w:top w:val="nil"/>
              <w:left w:val="nil"/>
              <w:bottom w:val="nil"/>
              <w:right w:val="nil"/>
            </w:tcBorders>
            <w:vAlign w:val="center"/>
          </w:tcPr>
          <w:p w14:paraId="4B6CA943" w14:textId="77777777" w:rsidR="00AB35B4" w:rsidRPr="009C58A4" w:rsidRDefault="00AB35B4" w:rsidP="001A0140">
            <w:pPr>
              <w:rPr>
                <w:rFonts w:ascii="Times New Roman" w:hAnsi="Times New Roman"/>
                <w:color w:val="000000" w:themeColor="text1"/>
                <w:sz w:val="24"/>
              </w:rPr>
            </w:pPr>
            <w:r w:rsidRPr="009C58A4">
              <w:rPr>
                <w:rFonts w:ascii="Times New Roman" w:hAnsi="Times New Roman"/>
                <w:color w:val="000000" w:themeColor="text1"/>
                <w:sz w:val="24"/>
              </w:rPr>
              <w:t>64.41 ± 4.53</w:t>
            </w:r>
          </w:p>
        </w:tc>
      </w:tr>
      <w:tr w:rsidR="009C58A4" w:rsidRPr="009C58A4" w14:paraId="7A974A60" w14:textId="77777777" w:rsidTr="001A0140">
        <w:trPr>
          <w:jc w:val="center"/>
        </w:trPr>
        <w:tc>
          <w:tcPr>
            <w:tcW w:w="1843" w:type="dxa"/>
            <w:tcBorders>
              <w:top w:val="nil"/>
              <w:left w:val="nil"/>
              <w:bottom w:val="single" w:sz="4" w:space="0" w:color="auto"/>
              <w:right w:val="nil"/>
            </w:tcBorders>
          </w:tcPr>
          <w:p w14:paraId="62CD7ECD"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30</w:t>
            </w:r>
          </w:p>
        </w:tc>
        <w:tc>
          <w:tcPr>
            <w:tcW w:w="1701" w:type="dxa"/>
            <w:tcBorders>
              <w:top w:val="nil"/>
              <w:left w:val="nil"/>
              <w:bottom w:val="single" w:sz="4" w:space="0" w:color="auto"/>
              <w:right w:val="nil"/>
            </w:tcBorders>
            <w:vAlign w:val="center"/>
          </w:tcPr>
          <w:p w14:paraId="008661D5"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95.8</w:t>
            </w:r>
            <w:r w:rsidR="00CA3A2C" w:rsidRPr="009C58A4">
              <w:rPr>
                <w:rFonts w:ascii="Times New Roman" w:hAnsi="Times New Roman"/>
                <w:color w:val="000000" w:themeColor="text1"/>
                <w:sz w:val="24"/>
              </w:rPr>
              <w:t>0</w:t>
            </w:r>
            <w:r w:rsidRPr="009C58A4">
              <w:rPr>
                <w:rFonts w:ascii="Times New Roman" w:hAnsi="Times New Roman"/>
                <w:color w:val="000000" w:themeColor="text1"/>
                <w:sz w:val="24"/>
              </w:rPr>
              <w:t xml:space="preserve"> ± 2.53</w:t>
            </w:r>
          </w:p>
        </w:tc>
        <w:tc>
          <w:tcPr>
            <w:tcW w:w="3150" w:type="dxa"/>
            <w:gridSpan w:val="2"/>
            <w:tcBorders>
              <w:top w:val="nil"/>
              <w:left w:val="nil"/>
              <w:bottom w:val="single" w:sz="4" w:space="0" w:color="auto"/>
              <w:right w:val="nil"/>
            </w:tcBorders>
            <w:vAlign w:val="center"/>
          </w:tcPr>
          <w:p w14:paraId="3E63D64F"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120.06 ± 13.88</w:t>
            </w:r>
          </w:p>
        </w:tc>
        <w:tc>
          <w:tcPr>
            <w:tcW w:w="1828" w:type="dxa"/>
            <w:tcBorders>
              <w:top w:val="nil"/>
              <w:left w:val="nil"/>
              <w:bottom w:val="single" w:sz="4" w:space="0" w:color="auto"/>
              <w:right w:val="nil"/>
            </w:tcBorders>
            <w:vAlign w:val="center"/>
          </w:tcPr>
          <w:p w14:paraId="17217BCE" w14:textId="77777777" w:rsidR="00AB35B4" w:rsidRPr="009C58A4" w:rsidRDefault="00AB35B4" w:rsidP="001A0140">
            <w:pPr>
              <w:rPr>
                <w:rFonts w:ascii="Times New Roman" w:hAnsi="Times New Roman"/>
                <w:color w:val="000000" w:themeColor="text1"/>
                <w:sz w:val="24"/>
              </w:rPr>
            </w:pPr>
            <w:r w:rsidRPr="009C58A4">
              <w:rPr>
                <w:rFonts w:ascii="Times New Roman" w:hAnsi="Times New Roman"/>
                <w:color w:val="000000" w:themeColor="text1"/>
                <w:sz w:val="24"/>
              </w:rPr>
              <w:t>73.24 ± 4.17</w:t>
            </w:r>
          </w:p>
        </w:tc>
      </w:tr>
    </w:tbl>
    <w:p w14:paraId="190D3C17" w14:textId="77777777" w:rsidR="00AB35B4" w:rsidRPr="009C58A4" w:rsidRDefault="00AB35B4" w:rsidP="00AB35B4">
      <w:pPr>
        <w:rPr>
          <w:rFonts w:ascii="Times New Roman" w:hAnsi="Times New Roman"/>
          <w:color w:val="000000" w:themeColor="text1"/>
          <w:szCs w:val="21"/>
        </w:rPr>
      </w:pPr>
      <w:r w:rsidRPr="009C58A4">
        <w:rPr>
          <w:rFonts w:ascii="Times New Roman" w:hAnsi="Times New Roman"/>
          <w:color w:val="000000" w:themeColor="text1"/>
          <w:szCs w:val="21"/>
        </w:rPr>
        <w:t>The data are presented as means ± SD (</w:t>
      </w:r>
      <w:r w:rsidRPr="009C58A4">
        <w:rPr>
          <w:rFonts w:ascii="Times New Roman" w:hAnsi="Times New Roman"/>
          <w:i/>
          <w:iCs/>
          <w:color w:val="000000" w:themeColor="text1"/>
          <w:szCs w:val="21"/>
        </w:rPr>
        <w:t xml:space="preserve">n </w:t>
      </w:r>
      <w:r w:rsidRPr="009C58A4">
        <w:rPr>
          <w:rFonts w:ascii="Times New Roman" w:hAnsi="Times New Roman"/>
          <w:color w:val="000000" w:themeColor="text1"/>
          <w:szCs w:val="21"/>
        </w:rPr>
        <w:t>= 3).</w:t>
      </w:r>
    </w:p>
    <w:p w14:paraId="2BC6F188" w14:textId="77777777" w:rsidR="00AB35B4" w:rsidRPr="009C58A4" w:rsidRDefault="00AB35B4" w:rsidP="00AB35B4">
      <w:pPr>
        <w:rPr>
          <w:rFonts w:ascii="Times New Roman" w:hAnsi="Times New Roman"/>
          <w:color w:val="000000" w:themeColor="text1"/>
          <w:sz w:val="24"/>
        </w:rPr>
      </w:pPr>
    </w:p>
    <w:p w14:paraId="0A2CCA92" w14:textId="77777777" w:rsidR="00AB35B4" w:rsidRPr="009C58A4" w:rsidRDefault="00AB35B4" w:rsidP="00AB35B4">
      <w:pPr>
        <w:rPr>
          <w:rFonts w:ascii="Times New Roman" w:hAnsi="Times New Roman"/>
          <w:color w:val="000000" w:themeColor="text1"/>
          <w:sz w:val="24"/>
          <w:szCs w:val="24"/>
          <w:shd w:val="clear" w:color="auto" w:fill="FFFFFF"/>
        </w:rPr>
      </w:pPr>
      <w:r w:rsidRPr="009C58A4">
        <w:rPr>
          <w:rFonts w:ascii="Times New Roman" w:eastAsia="宋体" w:hAnsi="Times New Roman"/>
          <w:b/>
          <w:color w:val="000000" w:themeColor="text1"/>
          <w:sz w:val="24"/>
          <w:szCs w:val="24"/>
        </w:rPr>
        <w:t xml:space="preserve">Table </w:t>
      </w:r>
      <w:r w:rsidR="00F83D3B" w:rsidRPr="009C58A4">
        <w:rPr>
          <w:rFonts w:ascii="Times New Roman" w:hAnsi="Times New Roman"/>
          <w:b/>
          <w:color w:val="000000" w:themeColor="text1"/>
          <w:sz w:val="24"/>
          <w:szCs w:val="24"/>
        </w:rPr>
        <w:t>S3</w:t>
      </w:r>
      <w:r w:rsidRPr="009C58A4">
        <w:rPr>
          <w:rFonts w:ascii="Times New Roman" w:hAnsi="Times New Roman"/>
          <w:b/>
          <w:color w:val="000000" w:themeColor="text1"/>
          <w:sz w:val="24"/>
          <w:szCs w:val="24"/>
        </w:rPr>
        <w:t>.</w:t>
      </w:r>
      <w:r w:rsidRPr="009C58A4">
        <w:rPr>
          <w:rFonts w:ascii="Times New Roman" w:hAnsi="Times New Roman"/>
          <w:bCs/>
          <w:color w:val="000000" w:themeColor="text1"/>
          <w:sz w:val="24"/>
          <w:szCs w:val="24"/>
        </w:rPr>
        <w:t xml:space="preserve"> </w:t>
      </w:r>
      <w:r w:rsidRPr="009C58A4">
        <w:rPr>
          <w:rFonts w:ascii="Times New Roman" w:eastAsia="黑体" w:hAnsi="Times New Roman"/>
          <w:color w:val="000000" w:themeColor="text1"/>
          <w:sz w:val="24"/>
          <w:szCs w:val="24"/>
        </w:rPr>
        <w:t>The zeta potential changes of</w:t>
      </w:r>
      <w:r w:rsidRPr="009C58A4">
        <w:rPr>
          <w:rFonts w:ascii="Times New Roman" w:hAnsi="Times New Roman"/>
          <w:bCs/>
          <w:color w:val="000000" w:themeColor="text1"/>
          <w:sz w:val="24"/>
          <w:szCs w:val="24"/>
        </w:rPr>
        <w:t xml:space="preserve"> </w:t>
      </w:r>
      <w:r w:rsidRPr="009C58A4">
        <w:rPr>
          <w:rFonts w:ascii="Times New Roman" w:eastAsia="黑体" w:hAnsi="Times New Roman"/>
          <w:color w:val="000000" w:themeColor="text1"/>
          <w:sz w:val="24"/>
          <w:szCs w:val="24"/>
        </w:rPr>
        <w:t>PPH, PPH@C</w:t>
      </w:r>
      <w:r w:rsidRPr="009C58A4">
        <w:rPr>
          <w:rFonts w:ascii="Times New Roman" w:hAnsi="Times New Roman"/>
          <w:iCs/>
          <w:color w:val="000000" w:themeColor="text1"/>
          <w:sz w:val="24"/>
          <w:szCs w:val="24"/>
        </w:rPr>
        <w:t xml:space="preserve"> and </w:t>
      </w:r>
      <w:r w:rsidRPr="009C58A4">
        <w:rPr>
          <w:rFonts w:ascii="Times New Roman" w:eastAsia="黑体" w:hAnsi="Times New Roman"/>
          <w:color w:val="000000" w:themeColor="text1"/>
          <w:sz w:val="24"/>
          <w:szCs w:val="24"/>
        </w:rPr>
        <w:t>PPH@CR</w:t>
      </w:r>
      <w:r w:rsidRPr="009C58A4">
        <w:rPr>
          <w:rFonts w:ascii="Times New Roman" w:hAnsi="Times New Roman"/>
          <w:iCs/>
          <w:color w:val="000000" w:themeColor="text1"/>
          <w:sz w:val="24"/>
          <w:szCs w:val="24"/>
        </w:rPr>
        <w:t xml:space="preserve"> under saline and </w:t>
      </w:r>
      <w:r w:rsidRPr="009C58A4">
        <w:rPr>
          <w:rFonts w:ascii="Times New Roman" w:eastAsia="黑体" w:hAnsi="Times New Roman"/>
          <w:color w:val="000000" w:themeColor="text1"/>
          <w:sz w:val="24"/>
          <w:szCs w:val="24"/>
        </w:rPr>
        <w:t>4 °C</w:t>
      </w:r>
      <w:r w:rsidRPr="009C58A4">
        <w:rPr>
          <w:rFonts w:ascii="Times New Roman" w:hAnsi="Times New Roman"/>
          <w:iCs/>
          <w:color w:val="000000" w:themeColor="text1"/>
          <w:sz w:val="24"/>
          <w:szCs w:val="24"/>
        </w:rPr>
        <w:t xml:space="preserve"> within 30 days</w:t>
      </w:r>
    </w:p>
    <w:tbl>
      <w:tblPr>
        <w:tblW w:w="8522" w:type="dxa"/>
        <w:jc w:val="center"/>
        <w:tblBorders>
          <w:bottom w:val="single" w:sz="4" w:space="0" w:color="auto"/>
          <w:insideH w:val="single" w:sz="4" w:space="0" w:color="auto"/>
          <w:insideV w:val="single" w:sz="4" w:space="0" w:color="auto"/>
        </w:tblBorders>
        <w:tblLook w:val="0000" w:firstRow="0" w:lastRow="0" w:firstColumn="0" w:lastColumn="0" w:noHBand="0" w:noVBand="0"/>
      </w:tblPr>
      <w:tblGrid>
        <w:gridCol w:w="1843"/>
        <w:gridCol w:w="203"/>
        <w:gridCol w:w="1923"/>
        <w:gridCol w:w="2127"/>
        <w:gridCol w:w="2426"/>
      </w:tblGrid>
      <w:tr w:rsidR="009C58A4" w:rsidRPr="009C58A4" w14:paraId="0A13B56F" w14:textId="77777777" w:rsidTr="001A0140">
        <w:trPr>
          <w:jc w:val="center"/>
        </w:trPr>
        <w:tc>
          <w:tcPr>
            <w:tcW w:w="1843" w:type="dxa"/>
            <w:tcBorders>
              <w:top w:val="single" w:sz="4" w:space="0" w:color="auto"/>
              <w:left w:val="nil"/>
              <w:bottom w:val="single" w:sz="4" w:space="0" w:color="auto"/>
              <w:right w:val="nil"/>
            </w:tcBorders>
          </w:tcPr>
          <w:p w14:paraId="7364068C" w14:textId="77777777" w:rsidR="00AB35B4" w:rsidRPr="009C58A4" w:rsidRDefault="00AB35B4" w:rsidP="001425E1">
            <w:pPr>
              <w:jc w:val="center"/>
              <w:rPr>
                <w:rFonts w:ascii="Times New Roman" w:hAnsi="Times New Roman"/>
                <w:b/>
                <w:bCs/>
                <w:color w:val="000000" w:themeColor="text1"/>
                <w:sz w:val="24"/>
              </w:rPr>
            </w:pPr>
            <w:r w:rsidRPr="009C58A4">
              <w:rPr>
                <w:rFonts w:ascii="Times New Roman" w:hAnsi="Times New Roman"/>
                <w:b/>
                <w:bCs/>
                <w:color w:val="000000" w:themeColor="text1"/>
                <w:sz w:val="24"/>
              </w:rPr>
              <w:t>Time (day)</w:t>
            </w:r>
          </w:p>
        </w:tc>
        <w:tc>
          <w:tcPr>
            <w:tcW w:w="2126" w:type="dxa"/>
            <w:gridSpan w:val="2"/>
            <w:tcBorders>
              <w:top w:val="single" w:sz="4" w:space="0" w:color="auto"/>
              <w:left w:val="nil"/>
              <w:bottom w:val="single" w:sz="4" w:space="0" w:color="auto"/>
              <w:right w:val="nil"/>
            </w:tcBorders>
          </w:tcPr>
          <w:p w14:paraId="5F5C1BF3" w14:textId="77777777" w:rsidR="00AB35B4" w:rsidRPr="009C58A4" w:rsidRDefault="00AB35B4" w:rsidP="00F84B12">
            <w:pPr>
              <w:jc w:val="center"/>
              <w:rPr>
                <w:rFonts w:ascii="Times New Roman" w:hAnsi="Times New Roman"/>
                <w:b/>
                <w:bCs/>
                <w:color w:val="000000" w:themeColor="text1"/>
                <w:sz w:val="24"/>
              </w:rPr>
            </w:pPr>
            <w:r w:rsidRPr="009C58A4">
              <w:rPr>
                <w:rFonts w:ascii="Times New Roman" w:hAnsi="Times New Roman"/>
                <w:b/>
                <w:color w:val="000000" w:themeColor="text1"/>
                <w:sz w:val="24"/>
              </w:rPr>
              <w:t>PPH</w:t>
            </w:r>
            <w:r w:rsidR="00F84B12" w:rsidRPr="009C58A4">
              <w:rPr>
                <w:rFonts w:ascii="Times New Roman" w:hAnsi="Times New Roman"/>
                <w:b/>
                <w:color w:val="000000" w:themeColor="text1"/>
                <w:sz w:val="24"/>
              </w:rPr>
              <w:t xml:space="preserve"> (mV)</w:t>
            </w:r>
          </w:p>
        </w:tc>
        <w:tc>
          <w:tcPr>
            <w:tcW w:w="2127" w:type="dxa"/>
            <w:tcBorders>
              <w:top w:val="single" w:sz="4" w:space="0" w:color="auto"/>
              <w:left w:val="nil"/>
              <w:bottom w:val="single" w:sz="4" w:space="0" w:color="auto"/>
              <w:right w:val="nil"/>
            </w:tcBorders>
          </w:tcPr>
          <w:p w14:paraId="6BA9131D" w14:textId="77777777" w:rsidR="00AB35B4" w:rsidRPr="009C58A4" w:rsidRDefault="00AB35B4" w:rsidP="00A64F6B">
            <w:pPr>
              <w:ind w:firstLineChars="100" w:firstLine="240"/>
              <w:jc w:val="center"/>
              <w:rPr>
                <w:rFonts w:ascii="Times New Roman" w:hAnsi="Times New Roman"/>
                <w:b/>
                <w:bCs/>
                <w:color w:val="000000" w:themeColor="text1"/>
                <w:sz w:val="24"/>
              </w:rPr>
            </w:pPr>
            <w:r w:rsidRPr="009C58A4">
              <w:rPr>
                <w:rFonts w:ascii="Times New Roman" w:hAnsi="Times New Roman"/>
                <w:b/>
                <w:color w:val="000000" w:themeColor="text1"/>
                <w:sz w:val="24"/>
              </w:rPr>
              <w:t>PPH@C</w:t>
            </w:r>
            <w:r w:rsidR="00F84B12" w:rsidRPr="009C58A4">
              <w:rPr>
                <w:rFonts w:ascii="Times New Roman" w:hAnsi="Times New Roman"/>
                <w:b/>
                <w:color w:val="000000" w:themeColor="text1"/>
                <w:sz w:val="24"/>
              </w:rPr>
              <w:t xml:space="preserve"> (mV)</w:t>
            </w:r>
          </w:p>
        </w:tc>
        <w:tc>
          <w:tcPr>
            <w:tcW w:w="2426" w:type="dxa"/>
            <w:tcBorders>
              <w:top w:val="single" w:sz="4" w:space="0" w:color="auto"/>
              <w:left w:val="nil"/>
              <w:bottom w:val="single" w:sz="4" w:space="0" w:color="auto"/>
              <w:right w:val="nil"/>
            </w:tcBorders>
          </w:tcPr>
          <w:p w14:paraId="504F3792" w14:textId="77777777" w:rsidR="00AB35B4" w:rsidRPr="009C58A4" w:rsidRDefault="00AB35B4" w:rsidP="00A64F6B">
            <w:pPr>
              <w:ind w:firstLineChars="100" w:firstLine="240"/>
              <w:jc w:val="center"/>
              <w:rPr>
                <w:rFonts w:ascii="Times New Roman" w:hAnsi="Times New Roman"/>
                <w:b/>
                <w:bCs/>
                <w:color w:val="000000" w:themeColor="text1"/>
                <w:sz w:val="24"/>
              </w:rPr>
            </w:pPr>
            <w:r w:rsidRPr="009C58A4">
              <w:rPr>
                <w:rFonts w:ascii="Times New Roman" w:hAnsi="Times New Roman"/>
                <w:b/>
                <w:color w:val="000000" w:themeColor="text1"/>
                <w:sz w:val="24"/>
              </w:rPr>
              <w:t>PPH@CR</w:t>
            </w:r>
            <w:r w:rsidR="00F84B12" w:rsidRPr="009C58A4">
              <w:rPr>
                <w:rFonts w:ascii="Times New Roman" w:hAnsi="Times New Roman"/>
                <w:b/>
                <w:color w:val="000000" w:themeColor="text1"/>
                <w:sz w:val="24"/>
              </w:rPr>
              <w:t xml:space="preserve"> (mV)</w:t>
            </w:r>
          </w:p>
        </w:tc>
      </w:tr>
      <w:tr w:rsidR="009C58A4" w:rsidRPr="009C58A4" w14:paraId="38B500DE" w14:textId="77777777" w:rsidTr="001A0140">
        <w:trPr>
          <w:jc w:val="center"/>
        </w:trPr>
        <w:tc>
          <w:tcPr>
            <w:tcW w:w="2046" w:type="dxa"/>
            <w:gridSpan w:val="2"/>
            <w:tcBorders>
              <w:top w:val="single" w:sz="4" w:space="0" w:color="auto"/>
              <w:left w:val="nil"/>
              <w:bottom w:val="nil"/>
              <w:right w:val="nil"/>
            </w:tcBorders>
          </w:tcPr>
          <w:p w14:paraId="31240B30"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1</w:t>
            </w:r>
          </w:p>
        </w:tc>
        <w:tc>
          <w:tcPr>
            <w:tcW w:w="1923" w:type="dxa"/>
            <w:tcBorders>
              <w:top w:val="single" w:sz="4" w:space="0" w:color="auto"/>
              <w:left w:val="nil"/>
              <w:bottom w:val="nil"/>
              <w:right w:val="nil"/>
            </w:tcBorders>
          </w:tcPr>
          <w:p w14:paraId="4ECDFC30"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-6.45 ± 1.17</w:t>
            </w:r>
          </w:p>
        </w:tc>
        <w:tc>
          <w:tcPr>
            <w:tcW w:w="2127" w:type="dxa"/>
            <w:tcBorders>
              <w:top w:val="single" w:sz="4" w:space="0" w:color="auto"/>
              <w:left w:val="nil"/>
              <w:bottom w:val="nil"/>
              <w:right w:val="nil"/>
            </w:tcBorders>
          </w:tcPr>
          <w:p w14:paraId="4F50AFC7"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-2.35 ± 1.45</w:t>
            </w:r>
          </w:p>
        </w:tc>
        <w:tc>
          <w:tcPr>
            <w:tcW w:w="2426" w:type="dxa"/>
            <w:tcBorders>
              <w:top w:val="single" w:sz="4" w:space="0" w:color="auto"/>
              <w:left w:val="nil"/>
              <w:bottom w:val="nil"/>
              <w:right w:val="nil"/>
            </w:tcBorders>
          </w:tcPr>
          <w:p w14:paraId="6574462C"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-8.24 ± 1.72</w:t>
            </w:r>
          </w:p>
        </w:tc>
      </w:tr>
      <w:tr w:rsidR="009C58A4" w:rsidRPr="009C58A4" w14:paraId="1DC440F5" w14:textId="77777777" w:rsidTr="001A0140">
        <w:trPr>
          <w:jc w:val="center"/>
        </w:trPr>
        <w:tc>
          <w:tcPr>
            <w:tcW w:w="2046" w:type="dxa"/>
            <w:gridSpan w:val="2"/>
            <w:tcBorders>
              <w:top w:val="nil"/>
              <w:left w:val="nil"/>
              <w:bottom w:val="nil"/>
              <w:right w:val="nil"/>
            </w:tcBorders>
          </w:tcPr>
          <w:p w14:paraId="12EF1A4B"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5</w:t>
            </w:r>
          </w:p>
        </w:tc>
        <w:tc>
          <w:tcPr>
            <w:tcW w:w="1923" w:type="dxa"/>
            <w:tcBorders>
              <w:top w:val="nil"/>
              <w:left w:val="nil"/>
              <w:bottom w:val="nil"/>
              <w:right w:val="nil"/>
            </w:tcBorders>
          </w:tcPr>
          <w:p w14:paraId="79D07A52"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-19.92 ± 2.32</w:t>
            </w:r>
          </w:p>
        </w:tc>
        <w:tc>
          <w:tcPr>
            <w:tcW w:w="2127" w:type="dxa"/>
            <w:tcBorders>
              <w:top w:val="nil"/>
              <w:left w:val="nil"/>
              <w:bottom w:val="nil"/>
              <w:right w:val="nil"/>
            </w:tcBorders>
          </w:tcPr>
          <w:p w14:paraId="4DF19C24"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-7.19 ± 1.59</w:t>
            </w:r>
          </w:p>
        </w:tc>
        <w:tc>
          <w:tcPr>
            <w:tcW w:w="2426" w:type="dxa"/>
            <w:tcBorders>
              <w:top w:val="nil"/>
              <w:left w:val="nil"/>
              <w:bottom w:val="nil"/>
              <w:right w:val="nil"/>
            </w:tcBorders>
          </w:tcPr>
          <w:p w14:paraId="48FFF0C3"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-10.93 ± 1.71</w:t>
            </w:r>
          </w:p>
        </w:tc>
      </w:tr>
      <w:tr w:rsidR="009C58A4" w:rsidRPr="009C58A4" w14:paraId="0C19753F" w14:textId="77777777" w:rsidTr="001A0140">
        <w:trPr>
          <w:jc w:val="center"/>
        </w:trPr>
        <w:tc>
          <w:tcPr>
            <w:tcW w:w="2046" w:type="dxa"/>
            <w:gridSpan w:val="2"/>
            <w:tcBorders>
              <w:top w:val="nil"/>
              <w:left w:val="nil"/>
              <w:bottom w:val="nil"/>
              <w:right w:val="nil"/>
            </w:tcBorders>
          </w:tcPr>
          <w:p w14:paraId="0CFCC1DC"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10</w:t>
            </w:r>
          </w:p>
        </w:tc>
        <w:tc>
          <w:tcPr>
            <w:tcW w:w="1923" w:type="dxa"/>
            <w:tcBorders>
              <w:top w:val="nil"/>
              <w:left w:val="nil"/>
              <w:bottom w:val="nil"/>
              <w:right w:val="nil"/>
            </w:tcBorders>
          </w:tcPr>
          <w:p w14:paraId="57A5DA01"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-19.55 ± 2.24</w:t>
            </w:r>
          </w:p>
        </w:tc>
        <w:tc>
          <w:tcPr>
            <w:tcW w:w="2127" w:type="dxa"/>
            <w:tcBorders>
              <w:top w:val="nil"/>
              <w:left w:val="nil"/>
              <w:bottom w:val="nil"/>
              <w:right w:val="nil"/>
            </w:tcBorders>
          </w:tcPr>
          <w:p w14:paraId="10A94457"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-2.65 ± 1.18</w:t>
            </w:r>
          </w:p>
        </w:tc>
        <w:tc>
          <w:tcPr>
            <w:tcW w:w="2426" w:type="dxa"/>
            <w:tcBorders>
              <w:top w:val="nil"/>
              <w:left w:val="nil"/>
              <w:bottom w:val="nil"/>
              <w:right w:val="nil"/>
            </w:tcBorders>
          </w:tcPr>
          <w:p w14:paraId="48AF6744"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-2.65 ± 1.58</w:t>
            </w:r>
          </w:p>
        </w:tc>
      </w:tr>
      <w:tr w:rsidR="009C58A4" w:rsidRPr="009C58A4" w14:paraId="5120CF10" w14:textId="77777777" w:rsidTr="001A0140">
        <w:trPr>
          <w:jc w:val="center"/>
        </w:trPr>
        <w:tc>
          <w:tcPr>
            <w:tcW w:w="2046" w:type="dxa"/>
            <w:gridSpan w:val="2"/>
            <w:tcBorders>
              <w:top w:val="nil"/>
              <w:left w:val="nil"/>
              <w:bottom w:val="nil"/>
              <w:right w:val="nil"/>
            </w:tcBorders>
          </w:tcPr>
          <w:p w14:paraId="47B3A7AF"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20</w:t>
            </w:r>
          </w:p>
        </w:tc>
        <w:tc>
          <w:tcPr>
            <w:tcW w:w="1923" w:type="dxa"/>
            <w:tcBorders>
              <w:top w:val="nil"/>
              <w:left w:val="nil"/>
              <w:bottom w:val="nil"/>
              <w:right w:val="nil"/>
            </w:tcBorders>
          </w:tcPr>
          <w:p w14:paraId="5234CE72"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-7.10 ± 1.60</w:t>
            </w:r>
          </w:p>
        </w:tc>
        <w:tc>
          <w:tcPr>
            <w:tcW w:w="2127" w:type="dxa"/>
            <w:tcBorders>
              <w:top w:val="nil"/>
              <w:left w:val="nil"/>
              <w:bottom w:val="nil"/>
              <w:right w:val="nil"/>
            </w:tcBorders>
          </w:tcPr>
          <w:p w14:paraId="4EE0DE81"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-9.34 ± 1.42</w:t>
            </w:r>
          </w:p>
        </w:tc>
        <w:tc>
          <w:tcPr>
            <w:tcW w:w="2426" w:type="dxa"/>
            <w:tcBorders>
              <w:top w:val="nil"/>
              <w:left w:val="nil"/>
              <w:bottom w:val="nil"/>
              <w:right w:val="nil"/>
            </w:tcBorders>
          </w:tcPr>
          <w:p w14:paraId="23C4D4B4"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-5.85 ± 1.61</w:t>
            </w:r>
          </w:p>
        </w:tc>
      </w:tr>
      <w:tr w:rsidR="009C58A4" w:rsidRPr="009C58A4" w14:paraId="08620DD4" w14:textId="77777777" w:rsidTr="001A0140">
        <w:trPr>
          <w:jc w:val="center"/>
        </w:trPr>
        <w:tc>
          <w:tcPr>
            <w:tcW w:w="2046" w:type="dxa"/>
            <w:gridSpan w:val="2"/>
            <w:tcBorders>
              <w:top w:val="nil"/>
              <w:left w:val="nil"/>
              <w:bottom w:val="single" w:sz="4" w:space="0" w:color="auto"/>
              <w:right w:val="nil"/>
            </w:tcBorders>
          </w:tcPr>
          <w:p w14:paraId="72B47233" w14:textId="77777777" w:rsidR="00AB35B4" w:rsidRPr="009C58A4" w:rsidRDefault="00AB35B4" w:rsidP="001425E1">
            <w:pPr>
              <w:jc w:val="center"/>
              <w:rPr>
                <w:rFonts w:ascii="Times New Roman" w:hAnsi="Times New Roman"/>
                <w:bCs/>
                <w:color w:val="000000" w:themeColor="text1"/>
                <w:sz w:val="24"/>
              </w:rPr>
            </w:pPr>
            <w:r w:rsidRPr="009C58A4">
              <w:rPr>
                <w:rFonts w:ascii="Times New Roman" w:hAnsi="Times New Roman"/>
                <w:bCs/>
                <w:color w:val="000000" w:themeColor="text1"/>
                <w:sz w:val="24"/>
              </w:rPr>
              <w:t>30</w:t>
            </w:r>
          </w:p>
        </w:tc>
        <w:tc>
          <w:tcPr>
            <w:tcW w:w="1923" w:type="dxa"/>
            <w:tcBorders>
              <w:top w:val="nil"/>
              <w:left w:val="nil"/>
              <w:bottom w:val="single" w:sz="4" w:space="0" w:color="auto"/>
              <w:right w:val="nil"/>
            </w:tcBorders>
          </w:tcPr>
          <w:p w14:paraId="0F8E031E"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-14.06 ± 1.65</w:t>
            </w:r>
          </w:p>
        </w:tc>
        <w:tc>
          <w:tcPr>
            <w:tcW w:w="2127" w:type="dxa"/>
            <w:tcBorders>
              <w:top w:val="nil"/>
              <w:left w:val="nil"/>
              <w:bottom w:val="single" w:sz="4" w:space="0" w:color="auto"/>
              <w:right w:val="nil"/>
            </w:tcBorders>
          </w:tcPr>
          <w:p w14:paraId="561A61A6"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-8.39 ± 1.80</w:t>
            </w:r>
          </w:p>
        </w:tc>
        <w:tc>
          <w:tcPr>
            <w:tcW w:w="2426" w:type="dxa"/>
            <w:tcBorders>
              <w:top w:val="nil"/>
              <w:left w:val="nil"/>
              <w:bottom w:val="single" w:sz="4" w:space="0" w:color="auto"/>
              <w:right w:val="nil"/>
            </w:tcBorders>
          </w:tcPr>
          <w:p w14:paraId="4D210FA5" w14:textId="77777777" w:rsidR="00AB35B4" w:rsidRPr="009C58A4" w:rsidRDefault="00AB35B4" w:rsidP="00A64F6B">
            <w:pPr>
              <w:jc w:val="center"/>
              <w:rPr>
                <w:rFonts w:ascii="Times New Roman" w:hAnsi="Times New Roman"/>
                <w:color w:val="000000" w:themeColor="text1"/>
                <w:sz w:val="24"/>
              </w:rPr>
            </w:pPr>
            <w:r w:rsidRPr="009C58A4">
              <w:rPr>
                <w:rFonts w:ascii="Times New Roman" w:hAnsi="Times New Roman"/>
                <w:color w:val="000000" w:themeColor="text1"/>
                <w:sz w:val="24"/>
              </w:rPr>
              <w:t>-10.41 ± 1.91</w:t>
            </w:r>
          </w:p>
        </w:tc>
      </w:tr>
    </w:tbl>
    <w:p w14:paraId="34B92C2C" w14:textId="2AC70516" w:rsidR="00AB35B4" w:rsidRPr="009C58A4" w:rsidRDefault="00AB35B4" w:rsidP="00AB35B4">
      <w:pPr>
        <w:rPr>
          <w:rFonts w:ascii="Times New Roman" w:hAnsi="Times New Roman"/>
          <w:color w:val="000000" w:themeColor="text1"/>
          <w:szCs w:val="21"/>
        </w:rPr>
      </w:pPr>
      <w:r w:rsidRPr="009C58A4">
        <w:rPr>
          <w:rFonts w:ascii="Times New Roman" w:hAnsi="Times New Roman"/>
          <w:color w:val="000000" w:themeColor="text1"/>
          <w:szCs w:val="21"/>
        </w:rPr>
        <w:t xml:space="preserve">The data are presented as means ± </w:t>
      </w:r>
      <w:r w:rsidR="001A0140" w:rsidRPr="009C58A4">
        <w:rPr>
          <w:rFonts w:ascii="Times New Roman" w:eastAsia="黑体" w:hAnsi="Times New Roman"/>
          <w:color w:val="000000" w:themeColor="text1"/>
          <w:szCs w:val="21"/>
        </w:rPr>
        <w:t>s</w:t>
      </w:r>
      <w:r w:rsidR="001A0140" w:rsidRPr="009C58A4">
        <w:rPr>
          <w:rFonts w:ascii="Times New Roman" w:hAnsi="Times New Roman"/>
          <w:color w:val="000000" w:themeColor="text1"/>
          <w:szCs w:val="21"/>
        </w:rPr>
        <w:t>tandard deviation</w:t>
      </w:r>
      <w:r w:rsidRPr="009C58A4">
        <w:rPr>
          <w:rFonts w:ascii="Times New Roman" w:hAnsi="Times New Roman"/>
          <w:color w:val="000000" w:themeColor="text1"/>
          <w:szCs w:val="21"/>
        </w:rPr>
        <w:t xml:space="preserve"> (</w:t>
      </w:r>
      <w:r w:rsidRPr="009C58A4">
        <w:rPr>
          <w:rFonts w:ascii="Times New Roman" w:hAnsi="Times New Roman"/>
          <w:i/>
          <w:iCs/>
          <w:color w:val="000000" w:themeColor="text1"/>
          <w:szCs w:val="21"/>
        </w:rPr>
        <w:t xml:space="preserve">n </w:t>
      </w:r>
      <w:r w:rsidRPr="009C58A4">
        <w:rPr>
          <w:rFonts w:ascii="Times New Roman" w:hAnsi="Times New Roman"/>
          <w:color w:val="000000" w:themeColor="text1"/>
          <w:szCs w:val="21"/>
        </w:rPr>
        <w:t>= 3).</w:t>
      </w:r>
    </w:p>
    <w:p w14:paraId="79B0BA5E" w14:textId="77777777" w:rsidR="005E1EEA" w:rsidRPr="009C58A4" w:rsidRDefault="005E1EEA">
      <w:pPr>
        <w:rPr>
          <w:rFonts w:ascii="Times New Roman" w:eastAsia="宋体" w:hAnsi="Times New Roman"/>
          <w:b/>
          <w:color w:val="000000" w:themeColor="text1"/>
          <w:sz w:val="24"/>
          <w:szCs w:val="24"/>
        </w:rPr>
      </w:pPr>
    </w:p>
    <w:p w14:paraId="42411091" w14:textId="133F2D12" w:rsidR="006F1BC0" w:rsidRPr="009C58A4" w:rsidRDefault="006F1BC0">
      <w:pPr>
        <w:rPr>
          <w:rFonts w:ascii="Times New Roman" w:eastAsia="宋体" w:hAnsi="Times New Roman"/>
          <w:color w:val="000000" w:themeColor="text1"/>
          <w:sz w:val="24"/>
          <w:szCs w:val="24"/>
        </w:rPr>
      </w:pPr>
      <w:r w:rsidRPr="009C58A4">
        <w:rPr>
          <w:rFonts w:ascii="Times New Roman" w:eastAsia="宋体" w:hAnsi="Times New Roman"/>
          <w:b/>
          <w:color w:val="000000" w:themeColor="text1"/>
          <w:sz w:val="24"/>
          <w:szCs w:val="24"/>
        </w:rPr>
        <w:t xml:space="preserve">Table </w:t>
      </w:r>
      <w:r w:rsidRPr="009C58A4">
        <w:rPr>
          <w:rFonts w:ascii="Times New Roman" w:hAnsi="Times New Roman"/>
          <w:b/>
          <w:color w:val="000000" w:themeColor="text1"/>
          <w:sz w:val="24"/>
          <w:szCs w:val="24"/>
        </w:rPr>
        <w:t>S4</w:t>
      </w:r>
      <w:r w:rsidRPr="009C58A4">
        <w:rPr>
          <w:rFonts w:ascii="Times New Roman" w:eastAsia="宋体" w:hAnsi="Times New Roman"/>
          <w:bCs/>
          <w:color w:val="000000" w:themeColor="text1"/>
          <w:sz w:val="24"/>
          <w:szCs w:val="24"/>
        </w:rPr>
        <w:t xml:space="preserve"> </w:t>
      </w:r>
      <w:r w:rsidRPr="009C58A4">
        <w:rPr>
          <w:rFonts w:ascii="Times New Roman" w:hAnsi="Times New Roman"/>
          <w:iCs/>
          <w:color w:val="000000" w:themeColor="text1"/>
          <w:sz w:val="24"/>
          <w:szCs w:val="24"/>
        </w:rPr>
        <w:t xml:space="preserve">The particle size and </w:t>
      </w:r>
      <w:r w:rsidRPr="009C58A4">
        <w:rPr>
          <w:rFonts w:ascii="Times New Roman" w:eastAsia="黑体" w:hAnsi="Times New Roman"/>
          <w:color w:val="000000" w:themeColor="text1"/>
          <w:sz w:val="24"/>
          <w:szCs w:val="24"/>
        </w:rPr>
        <w:t>zeta potential changes</w:t>
      </w:r>
      <w:r w:rsidRPr="009C58A4">
        <w:rPr>
          <w:rFonts w:ascii="Times New Roman" w:hAnsi="Times New Roman"/>
          <w:iCs/>
          <w:color w:val="000000" w:themeColor="text1"/>
          <w:sz w:val="24"/>
          <w:szCs w:val="24"/>
        </w:rPr>
        <w:t xml:space="preserve"> of</w:t>
      </w:r>
      <w:r w:rsidRPr="009C58A4">
        <w:rPr>
          <w:rFonts w:ascii="Times New Roman" w:eastAsia="黑体" w:hAnsi="Times New Roman"/>
          <w:color w:val="000000" w:themeColor="text1"/>
          <w:sz w:val="24"/>
          <w:szCs w:val="24"/>
        </w:rPr>
        <w:t xml:space="preserve"> PPH@C</w:t>
      </w:r>
      <w:r w:rsidRPr="009C58A4">
        <w:rPr>
          <w:rFonts w:ascii="Times New Roman" w:hAnsi="Times New Roman"/>
          <w:iCs/>
          <w:color w:val="000000" w:themeColor="text1"/>
          <w:sz w:val="24"/>
          <w:szCs w:val="24"/>
        </w:rPr>
        <w:t xml:space="preserve"> and </w:t>
      </w:r>
      <w:r w:rsidRPr="009C58A4">
        <w:rPr>
          <w:rFonts w:ascii="Times New Roman" w:eastAsia="黑体" w:hAnsi="Times New Roman"/>
          <w:color w:val="000000" w:themeColor="text1"/>
          <w:sz w:val="24"/>
          <w:szCs w:val="24"/>
        </w:rPr>
        <w:t>PPH@CR</w:t>
      </w:r>
      <w:r w:rsidRPr="009C58A4">
        <w:rPr>
          <w:rFonts w:ascii="Times New Roman" w:hAnsi="Times New Roman"/>
          <w:iCs/>
          <w:color w:val="000000" w:themeColor="text1"/>
          <w:sz w:val="24"/>
          <w:szCs w:val="24"/>
        </w:rPr>
        <w:t xml:space="preserve"> in different pH environments</w:t>
      </w:r>
    </w:p>
    <w:tbl>
      <w:tblPr>
        <w:tblW w:w="8522" w:type="dxa"/>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840"/>
        <w:gridCol w:w="2841"/>
        <w:gridCol w:w="239"/>
        <w:gridCol w:w="2602"/>
      </w:tblGrid>
      <w:tr w:rsidR="009C58A4" w:rsidRPr="009C58A4" w14:paraId="45D3F295" w14:textId="77777777">
        <w:trPr>
          <w:jc w:val="center"/>
        </w:trPr>
        <w:tc>
          <w:tcPr>
            <w:tcW w:w="2840" w:type="dxa"/>
            <w:tcBorders>
              <w:top w:val="single" w:sz="4" w:space="0" w:color="auto"/>
              <w:left w:val="nil"/>
              <w:bottom w:val="single" w:sz="4" w:space="0" w:color="auto"/>
              <w:right w:val="nil"/>
            </w:tcBorders>
          </w:tcPr>
          <w:p w14:paraId="552564AA" w14:textId="77777777" w:rsidR="006F1BC0" w:rsidRPr="009C58A4" w:rsidRDefault="006F1BC0">
            <w:pPr>
              <w:jc w:val="center"/>
              <w:rPr>
                <w:rFonts w:ascii="Times New Roman" w:eastAsia="宋体" w:hAnsi="Times New Roman"/>
                <w:b/>
                <w:color w:val="000000" w:themeColor="text1"/>
                <w:sz w:val="24"/>
                <w:szCs w:val="24"/>
              </w:rPr>
            </w:pPr>
            <w:r w:rsidRPr="009C58A4">
              <w:rPr>
                <w:rFonts w:ascii="Times New Roman" w:eastAsia="宋体" w:hAnsi="Times New Roman"/>
                <w:b/>
                <w:color w:val="000000" w:themeColor="text1"/>
                <w:sz w:val="24"/>
                <w:szCs w:val="24"/>
              </w:rPr>
              <w:t>Sample</w:t>
            </w:r>
          </w:p>
        </w:tc>
        <w:tc>
          <w:tcPr>
            <w:tcW w:w="2841" w:type="dxa"/>
            <w:tcBorders>
              <w:top w:val="single" w:sz="4" w:space="0" w:color="auto"/>
              <w:left w:val="nil"/>
              <w:bottom w:val="single" w:sz="4" w:space="0" w:color="auto"/>
              <w:right w:val="nil"/>
            </w:tcBorders>
          </w:tcPr>
          <w:p w14:paraId="1693AD5F" w14:textId="77777777" w:rsidR="006F1BC0" w:rsidRPr="009C58A4" w:rsidRDefault="006F1BC0">
            <w:pPr>
              <w:ind w:firstLineChars="100" w:firstLine="241"/>
              <w:rPr>
                <w:rFonts w:ascii="Times New Roman" w:eastAsia="宋体" w:hAnsi="Times New Roman"/>
                <w:b/>
                <w:color w:val="000000" w:themeColor="text1"/>
                <w:sz w:val="24"/>
                <w:szCs w:val="24"/>
              </w:rPr>
            </w:pPr>
            <w:r w:rsidRPr="009C58A4">
              <w:rPr>
                <w:rFonts w:ascii="Times New Roman" w:eastAsia="宋体" w:hAnsi="Times New Roman"/>
                <w:b/>
                <w:color w:val="000000" w:themeColor="text1"/>
                <w:sz w:val="24"/>
                <w:szCs w:val="24"/>
              </w:rPr>
              <w:t>Size (nm)</w:t>
            </w:r>
          </w:p>
        </w:tc>
        <w:tc>
          <w:tcPr>
            <w:tcW w:w="2841" w:type="dxa"/>
            <w:gridSpan w:val="2"/>
            <w:tcBorders>
              <w:top w:val="single" w:sz="4" w:space="0" w:color="auto"/>
              <w:left w:val="nil"/>
              <w:bottom w:val="single" w:sz="4" w:space="0" w:color="auto"/>
              <w:right w:val="nil"/>
            </w:tcBorders>
          </w:tcPr>
          <w:p w14:paraId="3A6EC04C" w14:textId="77777777" w:rsidR="006F1BC0" w:rsidRPr="009C58A4" w:rsidRDefault="006F1BC0">
            <w:pPr>
              <w:rPr>
                <w:rFonts w:ascii="Times New Roman" w:eastAsia="宋体" w:hAnsi="Times New Roman"/>
                <w:b/>
                <w:color w:val="000000" w:themeColor="text1"/>
                <w:sz w:val="24"/>
                <w:szCs w:val="24"/>
              </w:rPr>
            </w:pPr>
            <w:r w:rsidRPr="009C58A4">
              <w:rPr>
                <w:rFonts w:ascii="Times New Roman" w:eastAsia="宋体" w:hAnsi="Times New Roman"/>
                <w:b/>
                <w:color w:val="000000" w:themeColor="text1"/>
                <w:sz w:val="24"/>
                <w:szCs w:val="24"/>
              </w:rPr>
              <w:t>Zeta Potential (mV)</w:t>
            </w:r>
          </w:p>
        </w:tc>
      </w:tr>
      <w:tr w:rsidR="009C58A4" w:rsidRPr="009C58A4" w14:paraId="202982FE" w14:textId="77777777">
        <w:trPr>
          <w:jc w:val="center"/>
        </w:trPr>
        <w:tc>
          <w:tcPr>
            <w:tcW w:w="2840" w:type="dxa"/>
            <w:tcBorders>
              <w:top w:val="single" w:sz="4" w:space="0" w:color="auto"/>
              <w:left w:val="nil"/>
              <w:bottom w:val="nil"/>
              <w:right w:val="nil"/>
            </w:tcBorders>
          </w:tcPr>
          <w:p w14:paraId="6F0E2933" w14:textId="77777777" w:rsidR="006F1BC0" w:rsidRPr="009C58A4" w:rsidRDefault="00BE0E5F">
            <w:pPr>
              <w:jc w:val="center"/>
              <w:rPr>
                <w:rFonts w:ascii="Times New Roman" w:eastAsia="宋体" w:hAnsi="Times New Roman"/>
                <w:color w:val="000000" w:themeColor="text1"/>
                <w:sz w:val="24"/>
                <w:szCs w:val="24"/>
              </w:rPr>
            </w:pPr>
            <w:hyperlink r:id="rId12" w:history="1">
              <w:r w:rsidR="006F1BC0" w:rsidRPr="009C58A4">
                <w:rPr>
                  <w:rStyle w:val="a8"/>
                  <w:rFonts w:ascii="Times New Roman" w:eastAsia="宋体" w:hAnsi="Times New Roman"/>
                  <w:color w:val="000000" w:themeColor="text1"/>
                  <w:sz w:val="24"/>
                  <w:szCs w:val="24"/>
                  <w:u w:val="none"/>
                </w:rPr>
                <w:t>PPH@C (pH=7.4)</w:t>
              </w:r>
            </w:hyperlink>
          </w:p>
          <w:p w14:paraId="0D4F7906" w14:textId="77777777" w:rsidR="006F1BC0" w:rsidRPr="009C58A4" w:rsidRDefault="006F1BC0">
            <w:pPr>
              <w:jc w:val="center"/>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PPH@C (pH=5.5)</w:t>
            </w:r>
          </w:p>
        </w:tc>
        <w:tc>
          <w:tcPr>
            <w:tcW w:w="3080" w:type="dxa"/>
            <w:gridSpan w:val="2"/>
            <w:tcBorders>
              <w:top w:val="single" w:sz="4" w:space="0" w:color="auto"/>
              <w:left w:val="nil"/>
              <w:bottom w:val="nil"/>
              <w:right w:val="nil"/>
            </w:tcBorders>
          </w:tcPr>
          <w:p w14:paraId="3CE29972" w14:textId="77777777" w:rsidR="006F1BC0" w:rsidRPr="009C58A4" w:rsidRDefault="006F1BC0">
            <w:pPr>
              <w:widowControl/>
              <w:rPr>
                <w:rStyle w:val="font01"/>
                <w:rFonts w:ascii="Times New Roman" w:hAnsi="Times New Roman" w:hint="default"/>
                <w:color w:val="000000" w:themeColor="text1"/>
              </w:rPr>
            </w:pPr>
            <w:r w:rsidRPr="009C58A4">
              <w:rPr>
                <w:rFonts w:ascii="Times New Roman" w:eastAsia="宋体" w:hAnsi="Times New Roman"/>
                <w:color w:val="000000" w:themeColor="text1"/>
                <w:sz w:val="24"/>
                <w:szCs w:val="24"/>
              </w:rPr>
              <w:t xml:space="preserve">117.15 </w:t>
            </w:r>
            <w:r w:rsidRPr="009C58A4">
              <w:rPr>
                <w:rStyle w:val="font11"/>
                <w:rFonts w:ascii="Times New Roman" w:eastAsia="宋体" w:hAnsi="Times New Roman" w:hint="default"/>
                <w:color w:val="000000" w:themeColor="text1"/>
              </w:rPr>
              <w:t xml:space="preserve">± </w:t>
            </w:r>
            <w:r w:rsidRPr="009C58A4">
              <w:rPr>
                <w:rStyle w:val="font01"/>
                <w:rFonts w:ascii="Times New Roman" w:hAnsi="Times New Roman" w:hint="default"/>
                <w:color w:val="000000" w:themeColor="text1"/>
              </w:rPr>
              <w:t>2.55</w:t>
            </w:r>
          </w:p>
          <w:p w14:paraId="5C258214" w14:textId="77777777" w:rsidR="006F1BC0" w:rsidRPr="009C58A4" w:rsidRDefault="006F1BC0">
            <w:pPr>
              <w:widowControl/>
              <w:rPr>
                <w:rFonts w:ascii="Times New Roman" w:eastAsia="宋体" w:hAnsi="Times New Roman"/>
                <w:color w:val="000000" w:themeColor="text1"/>
                <w:kern w:val="0"/>
                <w:sz w:val="24"/>
                <w:szCs w:val="24"/>
              </w:rPr>
            </w:pPr>
            <w:r w:rsidRPr="009C58A4">
              <w:rPr>
                <w:rFonts w:ascii="Times New Roman" w:eastAsia="宋体" w:hAnsi="Times New Roman"/>
                <w:color w:val="000000" w:themeColor="text1"/>
                <w:sz w:val="24"/>
                <w:szCs w:val="24"/>
              </w:rPr>
              <w:t>105.31 ± 3.20</w:t>
            </w:r>
          </w:p>
        </w:tc>
        <w:tc>
          <w:tcPr>
            <w:tcW w:w="2602" w:type="dxa"/>
            <w:tcBorders>
              <w:top w:val="single" w:sz="4" w:space="0" w:color="auto"/>
              <w:left w:val="nil"/>
              <w:bottom w:val="nil"/>
              <w:right w:val="nil"/>
            </w:tcBorders>
          </w:tcPr>
          <w:p w14:paraId="25FC270A" w14:textId="77777777" w:rsidR="006F1BC0" w:rsidRPr="009C58A4" w:rsidRDefault="006F1BC0">
            <w:pPr>
              <w:widowControl/>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-2.35 ± 1.45</w:t>
            </w:r>
          </w:p>
          <w:p w14:paraId="55726214" w14:textId="77777777" w:rsidR="006F1BC0" w:rsidRPr="009C58A4" w:rsidRDefault="006F1BC0">
            <w:pPr>
              <w:widowControl/>
              <w:rPr>
                <w:rFonts w:ascii="Times New Roman" w:eastAsia="宋体" w:hAnsi="Times New Roman"/>
                <w:color w:val="000000" w:themeColor="text1"/>
                <w:kern w:val="0"/>
                <w:sz w:val="24"/>
                <w:szCs w:val="24"/>
              </w:rPr>
            </w:pPr>
            <w:r w:rsidRPr="009C58A4">
              <w:rPr>
                <w:rFonts w:ascii="Times New Roman" w:eastAsia="宋体" w:hAnsi="Times New Roman"/>
                <w:color w:val="000000" w:themeColor="text1"/>
                <w:sz w:val="24"/>
                <w:szCs w:val="24"/>
              </w:rPr>
              <w:t>-25.34 ± 2.35</w:t>
            </w:r>
          </w:p>
        </w:tc>
      </w:tr>
      <w:tr w:rsidR="009C58A4" w:rsidRPr="009C58A4" w14:paraId="05905EEB" w14:textId="77777777">
        <w:trPr>
          <w:jc w:val="center"/>
        </w:trPr>
        <w:tc>
          <w:tcPr>
            <w:tcW w:w="2840" w:type="dxa"/>
            <w:tcBorders>
              <w:top w:val="nil"/>
              <w:left w:val="nil"/>
              <w:bottom w:val="nil"/>
              <w:right w:val="nil"/>
            </w:tcBorders>
          </w:tcPr>
          <w:p w14:paraId="7393090F" w14:textId="77777777" w:rsidR="006F1BC0" w:rsidRPr="009C58A4" w:rsidRDefault="006F1BC0">
            <w:pPr>
              <w:jc w:val="center"/>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PPH@CR (pH=7.4)</w:t>
            </w:r>
          </w:p>
        </w:tc>
        <w:tc>
          <w:tcPr>
            <w:tcW w:w="3080" w:type="dxa"/>
            <w:gridSpan w:val="2"/>
            <w:tcBorders>
              <w:top w:val="nil"/>
              <w:left w:val="nil"/>
              <w:bottom w:val="nil"/>
              <w:right w:val="nil"/>
            </w:tcBorders>
          </w:tcPr>
          <w:p w14:paraId="6ACF8CE4" w14:textId="77777777" w:rsidR="006F1BC0" w:rsidRPr="009C58A4" w:rsidRDefault="006F1BC0">
            <w:pPr>
              <w:widowControl/>
              <w:rPr>
                <w:rFonts w:ascii="Times New Roman" w:eastAsia="宋体" w:hAnsi="Times New Roman"/>
                <w:color w:val="000000" w:themeColor="text1"/>
                <w:kern w:val="0"/>
                <w:sz w:val="24"/>
                <w:szCs w:val="24"/>
              </w:rPr>
            </w:pPr>
            <w:r w:rsidRPr="009C58A4">
              <w:rPr>
                <w:rFonts w:ascii="Times New Roman" w:eastAsia="宋体" w:hAnsi="Times New Roman"/>
                <w:color w:val="000000" w:themeColor="text1"/>
                <w:sz w:val="24"/>
                <w:szCs w:val="24"/>
              </w:rPr>
              <w:t>82.66 ± 4.27</w:t>
            </w:r>
          </w:p>
        </w:tc>
        <w:tc>
          <w:tcPr>
            <w:tcW w:w="2602" w:type="dxa"/>
            <w:tcBorders>
              <w:top w:val="nil"/>
              <w:left w:val="nil"/>
              <w:bottom w:val="nil"/>
              <w:right w:val="nil"/>
            </w:tcBorders>
          </w:tcPr>
          <w:p w14:paraId="375CFE31" w14:textId="77777777" w:rsidR="006F1BC0" w:rsidRPr="009C58A4" w:rsidRDefault="006F1BC0">
            <w:pPr>
              <w:widowControl/>
              <w:rPr>
                <w:rFonts w:ascii="Times New Roman" w:eastAsia="宋体" w:hAnsi="Times New Roman"/>
                <w:color w:val="000000" w:themeColor="text1"/>
                <w:kern w:val="0"/>
                <w:sz w:val="24"/>
                <w:szCs w:val="24"/>
              </w:rPr>
            </w:pPr>
            <w:r w:rsidRPr="009C58A4">
              <w:rPr>
                <w:rFonts w:ascii="Times New Roman" w:eastAsia="宋体" w:hAnsi="Times New Roman"/>
                <w:color w:val="000000" w:themeColor="text1"/>
                <w:sz w:val="24"/>
                <w:szCs w:val="24"/>
              </w:rPr>
              <w:t>-8.04 ± 1.72</w:t>
            </w:r>
          </w:p>
        </w:tc>
      </w:tr>
      <w:tr w:rsidR="009C58A4" w:rsidRPr="009C58A4" w14:paraId="669357D1" w14:textId="77777777">
        <w:trPr>
          <w:jc w:val="center"/>
        </w:trPr>
        <w:tc>
          <w:tcPr>
            <w:tcW w:w="2840" w:type="dxa"/>
            <w:tcBorders>
              <w:top w:val="nil"/>
              <w:left w:val="nil"/>
              <w:bottom w:val="single" w:sz="4" w:space="0" w:color="auto"/>
              <w:right w:val="nil"/>
            </w:tcBorders>
          </w:tcPr>
          <w:p w14:paraId="0E960AEE" w14:textId="77777777" w:rsidR="006F1BC0" w:rsidRPr="009C58A4" w:rsidRDefault="006F1BC0">
            <w:pPr>
              <w:jc w:val="center"/>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PPH@CR (pH=5.5)</w:t>
            </w:r>
          </w:p>
        </w:tc>
        <w:tc>
          <w:tcPr>
            <w:tcW w:w="2841" w:type="dxa"/>
            <w:tcBorders>
              <w:top w:val="nil"/>
              <w:left w:val="nil"/>
              <w:bottom w:val="single" w:sz="4" w:space="0" w:color="auto"/>
              <w:right w:val="nil"/>
            </w:tcBorders>
          </w:tcPr>
          <w:p w14:paraId="2D2E10B9" w14:textId="77777777" w:rsidR="006F1BC0" w:rsidRPr="009C58A4" w:rsidRDefault="006F1BC0">
            <w:pPr>
              <w:widowControl/>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55.21 ± 3.01</w:t>
            </w:r>
          </w:p>
        </w:tc>
        <w:tc>
          <w:tcPr>
            <w:tcW w:w="2841" w:type="dxa"/>
            <w:gridSpan w:val="2"/>
            <w:tcBorders>
              <w:top w:val="nil"/>
              <w:left w:val="nil"/>
              <w:bottom w:val="single" w:sz="4" w:space="0" w:color="auto"/>
              <w:right w:val="nil"/>
            </w:tcBorders>
          </w:tcPr>
          <w:p w14:paraId="5B444EE4" w14:textId="77777777" w:rsidR="006F1BC0" w:rsidRPr="009C58A4" w:rsidRDefault="006F1BC0">
            <w:pPr>
              <w:widowControl/>
              <w:ind w:firstLineChars="100" w:firstLine="240"/>
              <w:rPr>
                <w:rFonts w:ascii="Times New Roman" w:eastAsia="宋体" w:hAnsi="Times New Roman"/>
                <w:color w:val="000000" w:themeColor="text1"/>
                <w:sz w:val="24"/>
                <w:szCs w:val="24"/>
              </w:rPr>
            </w:pPr>
            <w:r w:rsidRPr="009C58A4">
              <w:rPr>
                <w:rFonts w:ascii="Times New Roman" w:eastAsia="宋体" w:hAnsi="Times New Roman"/>
                <w:color w:val="000000" w:themeColor="text1"/>
                <w:sz w:val="24"/>
                <w:szCs w:val="24"/>
              </w:rPr>
              <w:t>-25.26 ± 3.20</w:t>
            </w:r>
          </w:p>
        </w:tc>
      </w:tr>
    </w:tbl>
    <w:p w14:paraId="3D9CE8B5" w14:textId="7A8DA191" w:rsidR="0023661B" w:rsidRPr="009C58A4" w:rsidRDefault="006F1BC0" w:rsidP="001A0140">
      <w:pPr>
        <w:rPr>
          <w:rFonts w:ascii="Times New Roman" w:hAnsi="Times New Roman"/>
          <w:color w:val="000000" w:themeColor="text1"/>
          <w:szCs w:val="21"/>
        </w:rPr>
      </w:pPr>
      <w:r w:rsidRPr="009C58A4">
        <w:rPr>
          <w:rFonts w:ascii="Times New Roman" w:hAnsi="Times New Roman"/>
          <w:color w:val="000000" w:themeColor="text1"/>
          <w:szCs w:val="21"/>
        </w:rPr>
        <w:t xml:space="preserve">The data are presented as means ± </w:t>
      </w:r>
      <w:r w:rsidR="001A0140" w:rsidRPr="009C58A4">
        <w:rPr>
          <w:rFonts w:ascii="Times New Roman" w:eastAsia="黑体" w:hAnsi="Times New Roman"/>
          <w:color w:val="000000" w:themeColor="text1"/>
          <w:szCs w:val="21"/>
        </w:rPr>
        <w:t>s</w:t>
      </w:r>
      <w:r w:rsidR="001A0140" w:rsidRPr="009C58A4">
        <w:rPr>
          <w:rFonts w:ascii="Times New Roman" w:hAnsi="Times New Roman"/>
          <w:color w:val="000000" w:themeColor="text1"/>
          <w:szCs w:val="21"/>
        </w:rPr>
        <w:t>tandard deviation</w:t>
      </w:r>
      <w:r w:rsidR="001A0140" w:rsidRPr="009C58A4">
        <w:rPr>
          <w:rFonts w:ascii="Times New Roman" w:hAnsi="Times New Roman" w:hint="eastAsia"/>
          <w:color w:val="000000" w:themeColor="text1"/>
          <w:szCs w:val="21"/>
        </w:rPr>
        <w:t xml:space="preserve"> </w:t>
      </w:r>
      <w:r w:rsidRPr="009C58A4">
        <w:rPr>
          <w:rFonts w:ascii="Times New Roman" w:hAnsi="Times New Roman"/>
          <w:color w:val="000000" w:themeColor="text1"/>
          <w:szCs w:val="21"/>
        </w:rPr>
        <w:t>(n</w:t>
      </w:r>
      <w:r w:rsidRPr="009C58A4">
        <w:rPr>
          <w:rFonts w:ascii="Times New Roman" w:hAnsi="Times New Roman"/>
          <w:i/>
          <w:iCs/>
          <w:color w:val="000000" w:themeColor="text1"/>
          <w:szCs w:val="21"/>
        </w:rPr>
        <w:t xml:space="preserve"> </w:t>
      </w:r>
      <w:r w:rsidRPr="009C58A4">
        <w:rPr>
          <w:rFonts w:ascii="Times New Roman" w:hAnsi="Times New Roman"/>
          <w:color w:val="000000" w:themeColor="text1"/>
          <w:szCs w:val="21"/>
        </w:rPr>
        <w:t>= 3).</w:t>
      </w:r>
    </w:p>
    <w:p w14:paraId="5F1C2948" w14:textId="77777777" w:rsidR="0023661B" w:rsidRPr="009C58A4" w:rsidRDefault="00F37296" w:rsidP="00F37296">
      <w:pPr>
        <w:pStyle w:val="3"/>
        <w:rPr>
          <w:rFonts w:ascii="Times New Roman" w:hAnsi="Times New Roman"/>
          <w:color w:val="000000" w:themeColor="text1"/>
          <w:sz w:val="24"/>
          <w:szCs w:val="24"/>
        </w:rPr>
      </w:pPr>
      <w:r w:rsidRPr="009C58A4">
        <w:rPr>
          <w:rFonts w:ascii="Times New Roman" w:hAnsi="Times New Roman"/>
          <w:color w:val="000000" w:themeColor="text1"/>
          <w:sz w:val="24"/>
          <w:szCs w:val="24"/>
        </w:rPr>
        <w:t>References:</w:t>
      </w:r>
    </w:p>
    <w:p w14:paraId="56688ADE" w14:textId="77777777" w:rsidR="001519AC" w:rsidRPr="009C58A4" w:rsidRDefault="0023661B" w:rsidP="00A64F6B">
      <w:pPr>
        <w:pStyle w:val="EndNoteBibliography"/>
        <w:ind w:left="480" w:hangingChars="200" w:hanging="480"/>
        <w:rPr>
          <w:rFonts w:ascii="Times New Roman" w:hAnsi="Times New Roman"/>
          <w:noProof/>
          <w:color w:val="000000" w:themeColor="text1"/>
        </w:rPr>
      </w:pPr>
      <w:r w:rsidRPr="009C58A4">
        <w:rPr>
          <w:rFonts w:ascii="Times New Roman" w:hAnsi="Times New Roman"/>
          <w:color w:val="000000" w:themeColor="text1"/>
          <w:sz w:val="24"/>
        </w:rPr>
        <w:fldChar w:fldCharType="begin"/>
      </w:r>
      <w:r w:rsidRPr="009C58A4">
        <w:rPr>
          <w:rFonts w:ascii="Times New Roman" w:hAnsi="Times New Roman"/>
          <w:color w:val="000000" w:themeColor="text1"/>
          <w:sz w:val="24"/>
        </w:rPr>
        <w:instrText xml:space="preserve"> ADDIN EN.REFLIST </w:instrText>
      </w:r>
      <w:r w:rsidRPr="009C58A4">
        <w:rPr>
          <w:rFonts w:ascii="Times New Roman" w:hAnsi="Times New Roman"/>
          <w:color w:val="000000" w:themeColor="text1"/>
          <w:sz w:val="24"/>
        </w:rPr>
        <w:fldChar w:fldCharType="separate"/>
      </w:r>
      <w:r w:rsidR="001519AC" w:rsidRPr="009C58A4">
        <w:rPr>
          <w:rFonts w:ascii="Times New Roman" w:hAnsi="Times New Roman"/>
          <w:noProof/>
          <w:color w:val="000000" w:themeColor="text1"/>
        </w:rPr>
        <w:t>1.</w:t>
      </w:r>
      <w:r w:rsidR="001519AC" w:rsidRPr="009C58A4">
        <w:rPr>
          <w:rFonts w:ascii="Times New Roman" w:hAnsi="Times New Roman"/>
          <w:noProof/>
          <w:color w:val="000000" w:themeColor="text1"/>
        </w:rPr>
        <w:tab/>
        <w:t>Shen M, Li H, Yao S, Wu X, Liu S, Yang Q, et al. Shear stress and ROS-responsive biomimetic micelles for atherosclerosis via ROS consumption. Mater Sci Eng C Mater Biol Appl. 2021;126:112164.</w:t>
      </w:r>
    </w:p>
    <w:p w14:paraId="03A44D14"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2.</w:t>
      </w:r>
      <w:r w:rsidRPr="009C58A4">
        <w:rPr>
          <w:rFonts w:ascii="Times New Roman" w:hAnsi="Times New Roman"/>
          <w:noProof/>
          <w:color w:val="000000" w:themeColor="text1"/>
        </w:rPr>
        <w:tab/>
        <w:t>Chen S, Zhong Y, Fan W, Xiang J, Wang G, Zhou Q, et al. Enhanced tumour penetration and prolonged circulation in blood of polyzwitterion-drug conjugates with cell-membrane affinity. Nat Biomed Eng. 2021;5:1019-37.</w:t>
      </w:r>
    </w:p>
    <w:p w14:paraId="512DB75B"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3.</w:t>
      </w:r>
      <w:r w:rsidRPr="009C58A4">
        <w:rPr>
          <w:rFonts w:ascii="Times New Roman" w:hAnsi="Times New Roman"/>
          <w:noProof/>
          <w:color w:val="000000" w:themeColor="text1"/>
        </w:rPr>
        <w:tab/>
        <w:t>Luo K, Yang J, Kopeckova P, Kopecek J. Biodegradable Multiblock Poly[N-(2-hydroxypropyl)methacrylamide] via Reversible Addition-Fragmentation Chain Transfer Polymerization and Click Chemistry. Macromolecules. 2011;44:2481-8.</w:t>
      </w:r>
    </w:p>
    <w:p w14:paraId="61DFF5A6"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4.</w:t>
      </w:r>
      <w:r w:rsidRPr="009C58A4">
        <w:rPr>
          <w:rFonts w:ascii="Times New Roman" w:hAnsi="Times New Roman"/>
          <w:noProof/>
          <w:color w:val="000000" w:themeColor="text1"/>
        </w:rPr>
        <w:tab/>
        <w:t>Liu Y, Chen, F, Zhang, K, Wang, Q, Chen, YW, Luo, XL. pH-Responsive reversibly cross-linked micelles by phenol–yne click via curcumin as a drug delivery system in cancer chemotherapy. Journal of Materials Chemistry B. 2019;7:3884-93.</w:t>
      </w:r>
    </w:p>
    <w:p w14:paraId="67DFC81B"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5.</w:t>
      </w:r>
      <w:r w:rsidRPr="009C58A4">
        <w:rPr>
          <w:rFonts w:ascii="Times New Roman" w:hAnsi="Times New Roman"/>
          <w:noProof/>
          <w:color w:val="000000" w:themeColor="text1"/>
        </w:rPr>
        <w:tab/>
        <w:t>Su R, Yan H, Jiang X, Zhang Y, Li P, Su W. Orange-red to NIR emissive carbon dots for antimicrobial, bioimaging and bacteria diagnosis. J Mater Chem B. 2022;10:1250-64.</w:t>
      </w:r>
    </w:p>
    <w:p w14:paraId="0F0C95BE"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6.</w:t>
      </w:r>
      <w:r w:rsidRPr="009C58A4">
        <w:rPr>
          <w:rFonts w:ascii="Times New Roman" w:hAnsi="Times New Roman"/>
          <w:noProof/>
          <w:color w:val="000000" w:themeColor="text1"/>
        </w:rPr>
        <w:tab/>
        <w:t>Guo B, Yang F, Zhang L, Zhao Q, Wang W, Yin L, et al. Cuproptosis Induced by ROS Responsive Nanoparticles with Elesclomol and Copper Combined with alphaPD-L1 for Enhanced Cancer Immunotherapy. Adv Mater. 2023;35:e2212267.</w:t>
      </w:r>
    </w:p>
    <w:p w14:paraId="70D95D02"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7.</w:t>
      </w:r>
      <w:r w:rsidRPr="009C58A4">
        <w:rPr>
          <w:rFonts w:ascii="Times New Roman" w:hAnsi="Times New Roman"/>
          <w:noProof/>
          <w:color w:val="000000" w:themeColor="text1"/>
        </w:rPr>
        <w:tab/>
        <w:t>Sun D, Zou Y, Song L, Han S, Yang H, Chu D, et al. A cyclodextrin-based nanoformulation achieves co-delivery of ginsenoside Rg3 and quercetin for chemo-immunotherapy in colorectal cancer. Acta Pharm Sin B. 2022;12:378-93.</w:t>
      </w:r>
    </w:p>
    <w:p w14:paraId="5DD1FE66"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8.</w:t>
      </w:r>
      <w:r w:rsidRPr="009C58A4">
        <w:rPr>
          <w:rFonts w:ascii="Times New Roman" w:hAnsi="Times New Roman"/>
          <w:noProof/>
          <w:color w:val="000000" w:themeColor="text1"/>
        </w:rPr>
        <w:tab/>
        <w:t>Shen M, Yao S, Li S, Wu X, Liu S, Yang Q, et al. A ROS and shear stress dual-sensitive bionic system with cross-linked dendrimers for atherosclerosis therapy. Nanoscale. 2021;13:20013-27.</w:t>
      </w:r>
    </w:p>
    <w:p w14:paraId="5C1985D1"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9.</w:t>
      </w:r>
      <w:r w:rsidRPr="009C58A4">
        <w:rPr>
          <w:rFonts w:ascii="Times New Roman" w:hAnsi="Times New Roman"/>
          <w:noProof/>
          <w:color w:val="000000" w:themeColor="text1"/>
        </w:rPr>
        <w:tab/>
        <w:t>Xu Y, Zi Y, Lei J, Mo X, Shao Z, Wu Y, et al. pH-Responsive nanoparticles based on cholesterol/imidazole modified oxidized-starch for targeted anticancer drug delivery. Carbohydr Polym. 2020;233:115858.</w:t>
      </w:r>
    </w:p>
    <w:p w14:paraId="5A2F78F1"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10.</w:t>
      </w:r>
      <w:r w:rsidRPr="009C58A4">
        <w:rPr>
          <w:rFonts w:ascii="Times New Roman" w:hAnsi="Times New Roman"/>
          <w:noProof/>
          <w:color w:val="000000" w:themeColor="text1"/>
        </w:rPr>
        <w:tab/>
        <w:t>Xu S, Feng Z, Zhang Y, Ni H, Liu Z, Wang D. pH-responsive Astragalus polysaccharide-loaded PLGA nanoparticles as an adjuvant system to improve immune responses. Int J Biol Macromol. 2022;222:1936-47.</w:t>
      </w:r>
    </w:p>
    <w:p w14:paraId="6A3FA378"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11.</w:t>
      </w:r>
      <w:r w:rsidRPr="009C58A4">
        <w:rPr>
          <w:rFonts w:ascii="Times New Roman" w:hAnsi="Times New Roman"/>
          <w:noProof/>
          <w:color w:val="000000" w:themeColor="text1"/>
        </w:rPr>
        <w:tab/>
        <w:t>Yin Y, Jiang H, Wang Y, Zhang L, Sun C, Xie P, et al. Self-Assembled Nanodelivery System with Rapamycin and Curcumin for Combined Photo-Chemotherapy of Breast Cancer. Pharmaceutics. 2023;15.</w:t>
      </w:r>
    </w:p>
    <w:p w14:paraId="266F1E58"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12.</w:t>
      </w:r>
      <w:r w:rsidRPr="009C58A4">
        <w:rPr>
          <w:rFonts w:ascii="Times New Roman" w:hAnsi="Times New Roman"/>
          <w:noProof/>
          <w:color w:val="000000" w:themeColor="text1"/>
        </w:rPr>
        <w:tab/>
        <w:t>Han SJ, Sung N, Wang J, O'Malley BW, Lonard DM. Steroid receptor coactivator-3 inhibition generates breast cancer antitumor immune microenvironment. Breast Cancer Res. 2022;24:73.</w:t>
      </w:r>
    </w:p>
    <w:p w14:paraId="0FEBD117"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13.</w:t>
      </w:r>
      <w:r w:rsidRPr="009C58A4">
        <w:rPr>
          <w:rFonts w:ascii="Times New Roman" w:hAnsi="Times New Roman"/>
          <w:noProof/>
          <w:color w:val="000000" w:themeColor="text1"/>
        </w:rPr>
        <w:tab/>
        <w:t>Shen M, Jiang H, Zhao Y, Wu L, Yang H, Yao Y, et al. Shear Stress and ROS Dual-Responsive RBC-Hitchhiking Nanoparticles for Atherosclerosis Therapy. ACS Appl Mater Interfaces. 2023;15:43374-86.</w:t>
      </w:r>
    </w:p>
    <w:p w14:paraId="64C11EE5"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14.</w:t>
      </w:r>
      <w:r w:rsidRPr="009C58A4">
        <w:rPr>
          <w:rFonts w:ascii="Times New Roman" w:hAnsi="Times New Roman"/>
          <w:noProof/>
          <w:color w:val="000000" w:themeColor="text1"/>
        </w:rPr>
        <w:tab/>
        <w:t>Zakaria H, El Kurdi R, Patra D. Curcumin-PLGA based nanocapsule for the fluorescence spectroscopic detection of dopamine. RSC Adv. 2022;12:28245-53.</w:t>
      </w:r>
    </w:p>
    <w:p w14:paraId="5FCB123A"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15.</w:t>
      </w:r>
      <w:r w:rsidRPr="009C58A4">
        <w:rPr>
          <w:rFonts w:ascii="Times New Roman" w:hAnsi="Times New Roman"/>
          <w:noProof/>
          <w:color w:val="000000" w:themeColor="text1"/>
        </w:rPr>
        <w:tab/>
        <w:t>El Kurdi R, Patra D. Gold nanoparticles functionalized with Pluronic are viable optical probes for the determination of uric acid. Mikrochim Acta. 2018;185:185.</w:t>
      </w:r>
    </w:p>
    <w:p w14:paraId="0C872F83"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16.</w:t>
      </w:r>
      <w:r w:rsidRPr="009C58A4">
        <w:rPr>
          <w:rFonts w:ascii="Times New Roman" w:hAnsi="Times New Roman"/>
          <w:noProof/>
          <w:color w:val="000000" w:themeColor="text1"/>
        </w:rPr>
        <w:tab/>
        <w:t>Ji P, Wang X, Yin J, Mou Y, Huang H, Ren Z. Selective delivery of curcumin to breast cancer cells by self-targeting apoferritin nanocages with pH-responsive and low toxicity. Drug Deliv. 2022;29:986-96.</w:t>
      </w:r>
    </w:p>
    <w:p w14:paraId="39367268"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17.</w:t>
      </w:r>
      <w:r w:rsidRPr="009C58A4">
        <w:rPr>
          <w:rFonts w:ascii="Times New Roman" w:hAnsi="Times New Roman"/>
          <w:noProof/>
          <w:color w:val="000000" w:themeColor="text1"/>
        </w:rPr>
        <w:tab/>
        <w:t>Kumari M, Sharma N, Manchanda R, Gupta N, Syed A, Bahkali AH, Nimesh S. PGMD/curcumin nanoparticles for the treatment of breast cancer. Sci Rep. 2021;11:3824.</w:t>
      </w:r>
    </w:p>
    <w:p w14:paraId="78CFD3FF"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18.</w:t>
      </w:r>
      <w:r w:rsidRPr="009C58A4">
        <w:rPr>
          <w:rFonts w:ascii="Times New Roman" w:hAnsi="Times New Roman"/>
          <w:noProof/>
          <w:color w:val="000000" w:themeColor="text1"/>
        </w:rPr>
        <w:tab/>
        <w:t>Yuan G, Zhang Y, Shao S, Zhou Z, Tang J, Xiang J, Shen Y. Tumor permeable self-delivery nanodrug targeting mitochondria for enhanced chemotherapy. J Control Release. 2023;361:792-802.</w:t>
      </w:r>
    </w:p>
    <w:p w14:paraId="5804E422"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19.</w:t>
      </w:r>
      <w:r w:rsidRPr="009C58A4">
        <w:rPr>
          <w:rFonts w:ascii="Times New Roman" w:hAnsi="Times New Roman"/>
          <w:noProof/>
          <w:color w:val="000000" w:themeColor="text1"/>
        </w:rPr>
        <w:tab/>
        <w:t>Feng X, Xu W, Liu J, Li D, Li G, Ding J, Chen X. Polypeptide nanoformulation-induced immunogenic cell death and remission of immunosuppression for enhanced chemoimmunotherapy. Sci Bull (Beijing). 2021;66:362-73.</w:t>
      </w:r>
    </w:p>
    <w:p w14:paraId="4EB0C7FD"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20.</w:t>
      </w:r>
      <w:r w:rsidRPr="009C58A4">
        <w:rPr>
          <w:rFonts w:ascii="Times New Roman" w:hAnsi="Times New Roman"/>
          <w:noProof/>
          <w:color w:val="000000" w:themeColor="text1"/>
        </w:rPr>
        <w:tab/>
        <w:t>Kroemer G, Galassi C, Zitvogel L, Galluzzi L. Immunogenic cell stress and death. Nat Immunol. 2022;23:487-500.</w:t>
      </w:r>
    </w:p>
    <w:p w14:paraId="6EF5145E"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21.</w:t>
      </w:r>
      <w:r w:rsidRPr="009C58A4">
        <w:rPr>
          <w:rFonts w:ascii="Times New Roman" w:hAnsi="Times New Roman"/>
          <w:noProof/>
          <w:color w:val="000000" w:themeColor="text1"/>
        </w:rPr>
        <w:tab/>
        <w:t>Li W, Yang J, Luo L, Jiang M, Qin B, Yin H, et al. Targeting photodynamic and photothermal therapy to the endoplasmic reticulum enhances immunogenic cancer cell death. Nat Commun. 2019;10:3349.</w:t>
      </w:r>
    </w:p>
    <w:p w14:paraId="4B1B43B9" w14:textId="77777777" w:rsidR="001519AC" w:rsidRPr="009C58A4" w:rsidRDefault="001519AC" w:rsidP="00A64F6B">
      <w:pPr>
        <w:pStyle w:val="EndNoteBibliography"/>
        <w:ind w:left="400" w:hangingChars="200" w:hanging="400"/>
        <w:rPr>
          <w:rFonts w:ascii="Times New Roman" w:hAnsi="Times New Roman"/>
          <w:noProof/>
          <w:color w:val="000000" w:themeColor="text1"/>
        </w:rPr>
      </w:pPr>
      <w:r w:rsidRPr="009C58A4">
        <w:rPr>
          <w:rFonts w:ascii="Times New Roman" w:hAnsi="Times New Roman"/>
          <w:noProof/>
          <w:color w:val="000000" w:themeColor="text1"/>
        </w:rPr>
        <w:t>22.</w:t>
      </w:r>
      <w:r w:rsidRPr="009C58A4">
        <w:rPr>
          <w:rFonts w:ascii="Times New Roman" w:hAnsi="Times New Roman"/>
          <w:noProof/>
          <w:color w:val="000000" w:themeColor="text1"/>
        </w:rPr>
        <w:tab/>
        <w:t>Wu H, Wei G, Luo L, Li L, Gao Y, Tan X, et al. Ginsenoside Rg3 nanoparticles with permeation enhancing based chitosan derivatives were encapsulated with doxorubicin by thermosensitive hydrogel and anti-cancer evaluation of peritumoral hydrogel injection combined with PD-L1 antibody. Biomater Res. 2022;26:77.</w:t>
      </w:r>
    </w:p>
    <w:p w14:paraId="7001E77F" w14:textId="77777777" w:rsidR="006F1BC0" w:rsidRPr="009C58A4" w:rsidRDefault="0023661B" w:rsidP="00A64F6B">
      <w:pPr>
        <w:ind w:left="480" w:hangingChars="200" w:hanging="480"/>
        <w:rPr>
          <w:rFonts w:ascii="Times New Roman" w:hAnsi="Times New Roman"/>
          <w:color w:val="000000" w:themeColor="text1"/>
          <w:sz w:val="24"/>
        </w:rPr>
      </w:pPr>
      <w:r w:rsidRPr="009C58A4">
        <w:rPr>
          <w:rFonts w:ascii="Times New Roman" w:hAnsi="Times New Roman"/>
          <w:color w:val="000000" w:themeColor="text1"/>
          <w:sz w:val="24"/>
        </w:rPr>
        <w:fldChar w:fldCharType="end"/>
      </w:r>
    </w:p>
    <w:sectPr w:rsidR="006F1BC0" w:rsidRPr="009C58A4">
      <w:pgSz w:w="11906" w:h="16838"/>
      <w:pgMar w:top="1440" w:right="1800" w:bottom="1440" w:left="1800" w:header="851" w:footer="992" w:gutter="0"/>
      <w:cols w:space="720"/>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A85EF1" w16cid:durableId="29D8E1DA"/>
  <w16cid:commentId w16cid:paraId="454F22EF" w16cid:durableId="29D8E414"/>
  <w16cid:commentId w16cid:paraId="07FC0D6F" w16cid:durableId="29D8E75C"/>
  <w16cid:commentId w16cid:paraId="6B9C104C" w16cid:durableId="29D8E627"/>
  <w16cid:commentId w16cid:paraId="5D2A1D8E" w16cid:durableId="29D8E7E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0058C" w14:textId="77777777" w:rsidR="00A2122F" w:rsidRDefault="00A2122F" w:rsidP="00326190">
      <w:r>
        <w:separator/>
      </w:r>
    </w:p>
  </w:endnote>
  <w:endnote w:type="continuationSeparator" w:id="0">
    <w:p w14:paraId="114E3EAF" w14:textId="77777777" w:rsidR="00A2122F" w:rsidRDefault="00A2122F" w:rsidP="00326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AB8299" w14:textId="77777777" w:rsidR="00A2122F" w:rsidRDefault="00A2122F" w:rsidP="00326190">
      <w:r>
        <w:separator/>
      </w:r>
    </w:p>
  </w:footnote>
  <w:footnote w:type="continuationSeparator" w:id="0">
    <w:p w14:paraId="16719C19" w14:textId="77777777" w:rsidR="00A2122F" w:rsidRDefault="00A2122F" w:rsidP="003261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I1YjZjNWU3OWYyMDg0MTE1NTQ2MDk1OTA4YjU2ZjIifQ=="/>
    <w:docVar w:name="EN.InstantFormat" w:val="&lt;ENInstantFormat&gt;&lt;Enabled&gt;1&lt;/Enabled&gt;&lt;ScanUnformatted&gt;1&lt;/ScanUnformatted&gt;&lt;ScanChanges&gt;1&lt;/ScanChanges&gt;&lt;Suspended&gt;0&lt;/Suspended&gt;&lt;/ENInstantFormat&gt;"/>
    <w:docVar w:name="EN.Layout" w:val="&lt;ENLayout&gt;&lt;Style&gt;Journal of Experimental &amp;amp; Clinical Cancer Research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ttxter09dswce0pzsx0fpotxaddedzdvtv&quot;&gt;实验投稿文献&lt;record-ids&gt;&lt;item&gt;17&lt;/item&gt;&lt;item&gt;19&lt;/item&gt;&lt;item&gt;20&lt;/item&gt;&lt;item&gt;22&lt;/item&gt;&lt;item&gt;23&lt;/item&gt;&lt;item&gt;25&lt;/item&gt;&lt;item&gt;28&lt;/item&gt;&lt;item&gt;30&lt;/item&gt;&lt;item&gt;34&lt;/item&gt;&lt;item&gt;35&lt;/item&gt;&lt;item&gt;36&lt;/item&gt;&lt;item&gt;37&lt;/item&gt;&lt;item&gt;39&lt;/item&gt;&lt;item&gt;40&lt;/item&gt;&lt;item&gt;72&lt;/item&gt;&lt;item&gt;73&lt;/item&gt;&lt;item&gt;74&lt;/item&gt;&lt;item&gt;88&lt;/item&gt;&lt;item&gt;90&lt;/item&gt;&lt;item&gt;91&lt;/item&gt;&lt;item&gt;92&lt;/item&gt;&lt;item&gt;93&lt;/item&gt;&lt;/record-ids&gt;&lt;/item&gt;&lt;/Libraries&gt;"/>
  </w:docVars>
  <w:rsids>
    <w:rsidRoot w:val="00283C77"/>
    <w:rsid w:val="000058B7"/>
    <w:rsid w:val="00015E43"/>
    <w:rsid w:val="00026E07"/>
    <w:rsid w:val="00030D0C"/>
    <w:rsid w:val="00035046"/>
    <w:rsid w:val="000360ED"/>
    <w:rsid w:val="000401F0"/>
    <w:rsid w:val="0004041A"/>
    <w:rsid w:val="00044401"/>
    <w:rsid w:val="000671AA"/>
    <w:rsid w:val="0007376E"/>
    <w:rsid w:val="00076190"/>
    <w:rsid w:val="00076EC8"/>
    <w:rsid w:val="00095B35"/>
    <w:rsid w:val="000B059B"/>
    <w:rsid w:val="000C5FAF"/>
    <w:rsid w:val="000C62C5"/>
    <w:rsid w:val="000E3D86"/>
    <w:rsid w:val="0011005C"/>
    <w:rsid w:val="00115AD0"/>
    <w:rsid w:val="001326F1"/>
    <w:rsid w:val="00134336"/>
    <w:rsid w:val="001423E0"/>
    <w:rsid w:val="001425E1"/>
    <w:rsid w:val="001519AC"/>
    <w:rsid w:val="00154F55"/>
    <w:rsid w:val="00154F5A"/>
    <w:rsid w:val="00162B81"/>
    <w:rsid w:val="00164E06"/>
    <w:rsid w:val="00176273"/>
    <w:rsid w:val="00176AB3"/>
    <w:rsid w:val="001903AB"/>
    <w:rsid w:val="001907A7"/>
    <w:rsid w:val="001A0140"/>
    <w:rsid w:val="001A57FB"/>
    <w:rsid w:val="001A7233"/>
    <w:rsid w:val="001B2FAC"/>
    <w:rsid w:val="001C55DC"/>
    <w:rsid w:val="001D3F56"/>
    <w:rsid w:val="001D5723"/>
    <w:rsid w:val="001D6DAA"/>
    <w:rsid w:val="001E06A0"/>
    <w:rsid w:val="001E7D3F"/>
    <w:rsid w:val="001F5E10"/>
    <w:rsid w:val="002137B0"/>
    <w:rsid w:val="00214ACD"/>
    <w:rsid w:val="002163A4"/>
    <w:rsid w:val="00223803"/>
    <w:rsid w:val="002272E8"/>
    <w:rsid w:val="0023661B"/>
    <w:rsid w:val="00237652"/>
    <w:rsid w:val="00251064"/>
    <w:rsid w:val="00283C77"/>
    <w:rsid w:val="0028515B"/>
    <w:rsid w:val="002851E1"/>
    <w:rsid w:val="00287835"/>
    <w:rsid w:val="002B2796"/>
    <w:rsid w:val="002B7809"/>
    <w:rsid w:val="002C4214"/>
    <w:rsid w:val="002E0F0A"/>
    <w:rsid w:val="002E395F"/>
    <w:rsid w:val="00305861"/>
    <w:rsid w:val="003067CD"/>
    <w:rsid w:val="00323483"/>
    <w:rsid w:val="00326190"/>
    <w:rsid w:val="00357A33"/>
    <w:rsid w:val="00374FFD"/>
    <w:rsid w:val="003843EE"/>
    <w:rsid w:val="00393273"/>
    <w:rsid w:val="003A3442"/>
    <w:rsid w:val="003B2C11"/>
    <w:rsid w:val="004048AD"/>
    <w:rsid w:val="00411152"/>
    <w:rsid w:val="00432035"/>
    <w:rsid w:val="004357C8"/>
    <w:rsid w:val="00441029"/>
    <w:rsid w:val="004428B6"/>
    <w:rsid w:val="00454229"/>
    <w:rsid w:val="004650F4"/>
    <w:rsid w:val="00497CFD"/>
    <w:rsid w:val="004A2546"/>
    <w:rsid w:val="004A2851"/>
    <w:rsid w:val="004B1D8A"/>
    <w:rsid w:val="004B31A4"/>
    <w:rsid w:val="004C0188"/>
    <w:rsid w:val="004C49D9"/>
    <w:rsid w:val="004D3EA0"/>
    <w:rsid w:val="004D7077"/>
    <w:rsid w:val="005054AA"/>
    <w:rsid w:val="00510677"/>
    <w:rsid w:val="00527247"/>
    <w:rsid w:val="00532F03"/>
    <w:rsid w:val="005378F7"/>
    <w:rsid w:val="005542D2"/>
    <w:rsid w:val="00555CFD"/>
    <w:rsid w:val="00564A11"/>
    <w:rsid w:val="005712E8"/>
    <w:rsid w:val="005971E3"/>
    <w:rsid w:val="005A0674"/>
    <w:rsid w:val="005A6BDF"/>
    <w:rsid w:val="005C7BC5"/>
    <w:rsid w:val="005E1EEA"/>
    <w:rsid w:val="0060174B"/>
    <w:rsid w:val="00621BE2"/>
    <w:rsid w:val="00623D24"/>
    <w:rsid w:val="00625771"/>
    <w:rsid w:val="00626C99"/>
    <w:rsid w:val="006807DC"/>
    <w:rsid w:val="0069470A"/>
    <w:rsid w:val="006A36A8"/>
    <w:rsid w:val="006B746C"/>
    <w:rsid w:val="006D0075"/>
    <w:rsid w:val="006D6778"/>
    <w:rsid w:val="006E520C"/>
    <w:rsid w:val="006F1BC0"/>
    <w:rsid w:val="00701471"/>
    <w:rsid w:val="00741621"/>
    <w:rsid w:val="007564A0"/>
    <w:rsid w:val="007624B7"/>
    <w:rsid w:val="007640FC"/>
    <w:rsid w:val="00764510"/>
    <w:rsid w:val="007918CE"/>
    <w:rsid w:val="00794714"/>
    <w:rsid w:val="00795BF3"/>
    <w:rsid w:val="007C4293"/>
    <w:rsid w:val="007E1F3D"/>
    <w:rsid w:val="007E5D44"/>
    <w:rsid w:val="007F3ABE"/>
    <w:rsid w:val="0080313E"/>
    <w:rsid w:val="0081473B"/>
    <w:rsid w:val="00815B36"/>
    <w:rsid w:val="00835189"/>
    <w:rsid w:val="00837DCC"/>
    <w:rsid w:val="00843480"/>
    <w:rsid w:val="00850B23"/>
    <w:rsid w:val="00877A5F"/>
    <w:rsid w:val="0089303C"/>
    <w:rsid w:val="008934EE"/>
    <w:rsid w:val="008969F6"/>
    <w:rsid w:val="008A250D"/>
    <w:rsid w:val="008A393B"/>
    <w:rsid w:val="008A3F11"/>
    <w:rsid w:val="008B2777"/>
    <w:rsid w:val="008D02E0"/>
    <w:rsid w:val="008E387B"/>
    <w:rsid w:val="00911C22"/>
    <w:rsid w:val="00916331"/>
    <w:rsid w:val="00916C7D"/>
    <w:rsid w:val="00946459"/>
    <w:rsid w:val="00947758"/>
    <w:rsid w:val="009628E3"/>
    <w:rsid w:val="0096570D"/>
    <w:rsid w:val="00977847"/>
    <w:rsid w:val="00977C67"/>
    <w:rsid w:val="0099413A"/>
    <w:rsid w:val="009B6D29"/>
    <w:rsid w:val="009C58A4"/>
    <w:rsid w:val="009E110E"/>
    <w:rsid w:val="009F3CCA"/>
    <w:rsid w:val="00A2122F"/>
    <w:rsid w:val="00A2286C"/>
    <w:rsid w:val="00A40351"/>
    <w:rsid w:val="00A4067C"/>
    <w:rsid w:val="00A64F6B"/>
    <w:rsid w:val="00A6721C"/>
    <w:rsid w:val="00A672D5"/>
    <w:rsid w:val="00A94291"/>
    <w:rsid w:val="00A97257"/>
    <w:rsid w:val="00AB35B4"/>
    <w:rsid w:val="00AC3E06"/>
    <w:rsid w:val="00AC4074"/>
    <w:rsid w:val="00AC598A"/>
    <w:rsid w:val="00AF1B0B"/>
    <w:rsid w:val="00AF2784"/>
    <w:rsid w:val="00B0276B"/>
    <w:rsid w:val="00B03984"/>
    <w:rsid w:val="00B100AB"/>
    <w:rsid w:val="00B27C61"/>
    <w:rsid w:val="00B27F31"/>
    <w:rsid w:val="00B345F1"/>
    <w:rsid w:val="00B54E37"/>
    <w:rsid w:val="00B64928"/>
    <w:rsid w:val="00B87701"/>
    <w:rsid w:val="00BA7C6C"/>
    <w:rsid w:val="00BB029D"/>
    <w:rsid w:val="00BD2145"/>
    <w:rsid w:val="00BE0E5F"/>
    <w:rsid w:val="00BF3FAF"/>
    <w:rsid w:val="00C1268A"/>
    <w:rsid w:val="00C22676"/>
    <w:rsid w:val="00C40F18"/>
    <w:rsid w:val="00C4684D"/>
    <w:rsid w:val="00C670C8"/>
    <w:rsid w:val="00C75F7F"/>
    <w:rsid w:val="00C97DAC"/>
    <w:rsid w:val="00CA3A2C"/>
    <w:rsid w:val="00CB115E"/>
    <w:rsid w:val="00CC47E0"/>
    <w:rsid w:val="00CD595A"/>
    <w:rsid w:val="00CD5EEF"/>
    <w:rsid w:val="00CF78CB"/>
    <w:rsid w:val="00D2408E"/>
    <w:rsid w:val="00D2539A"/>
    <w:rsid w:val="00D34880"/>
    <w:rsid w:val="00D41E6B"/>
    <w:rsid w:val="00D47A8C"/>
    <w:rsid w:val="00D5449E"/>
    <w:rsid w:val="00D6479B"/>
    <w:rsid w:val="00D66965"/>
    <w:rsid w:val="00D76F7E"/>
    <w:rsid w:val="00D911C4"/>
    <w:rsid w:val="00DD3E9E"/>
    <w:rsid w:val="00DF231E"/>
    <w:rsid w:val="00E12403"/>
    <w:rsid w:val="00E350F9"/>
    <w:rsid w:val="00E35B0C"/>
    <w:rsid w:val="00E56F2B"/>
    <w:rsid w:val="00E70500"/>
    <w:rsid w:val="00E748AD"/>
    <w:rsid w:val="00EA0D0C"/>
    <w:rsid w:val="00ED6B9F"/>
    <w:rsid w:val="00F07E2E"/>
    <w:rsid w:val="00F1306D"/>
    <w:rsid w:val="00F272DC"/>
    <w:rsid w:val="00F37296"/>
    <w:rsid w:val="00F72306"/>
    <w:rsid w:val="00F75D04"/>
    <w:rsid w:val="00F83C76"/>
    <w:rsid w:val="00F83D3B"/>
    <w:rsid w:val="00F84B12"/>
    <w:rsid w:val="00F9037E"/>
    <w:rsid w:val="00FA1450"/>
    <w:rsid w:val="00FB1AF0"/>
    <w:rsid w:val="00FB4910"/>
    <w:rsid w:val="00FC30AB"/>
    <w:rsid w:val="00FF712B"/>
    <w:rsid w:val="4DBA2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E0E16"/>
  <w15:chartTrackingRefBased/>
  <w15:docId w15:val="{E80D0D51-0B34-9946-B70A-5F060C2B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eastAsia="宋体" w:hAnsi="Cambria"/>
      <w:b/>
      <w:bCs/>
      <w:sz w:val="32"/>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Pr>
      <w:b/>
      <w:bCs/>
      <w:kern w:val="44"/>
      <w:sz w:val="44"/>
      <w:szCs w:val="44"/>
    </w:rPr>
  </w:style>
  <w:style w:type="character" w:customStyle="1" w:styleId="20">
    <w:name w:val="标题 2 字符"/>
    <w:link w:val="2"/>
    <w:uiPriority w:val="9"/>
    <w:rPr>
      <w:rFonts w:ascii="Cambria" w:eastAsia="宋体" w:hAnsi="Cambria" w:cs="Times New Roman"/>
      <w:b/>
      <w:bCs/>
      <w:sz w:val="32"/>
      <w:szCs w:val="32"/>
    </w:rPr>
  </w:style>
  <w:style w:type="character" w:customStyle="1" w:styleId="30">
    <w:name w:val="标题 3 字符"/>
    <w:link w:val="3"/>
    <w:uiPriority w:val="9"/>
    <w:rPr>
      <w:rFonts w:ascii="等线" w:eastAsia="等线" w:hAnsi="等线" w:cs="Times New Roman"/>
      <w:b/>
      <w:bCs/>
      <w:sz w:val="32"/>
      <w:szCs w:val="32"/>
    </w:rPr>
  </w:style>
  <w:style w:type="paragraph" w:styleId="a3">
    <w:name w:val="footer"/>
    <w:basedOn w:val="a"/>
    <w:link w:val="a4"/>
    <w:uiPriority w:val="99"/>
    <w:unhideWhenUsed/>
    <w:pPr>
      <w:tabs>
        <w:tab w:val="center" w:pos="4153"/>
        <w:tab w:val="right" w:pos="8306"/>
      </w:tabs>
      <w:snapToGrid w:val="0"/>
      <w:jc w:val="left"/>
    </w:pPr>
    <w:rPr>
      <w:sz w:val="18"/>
      <w:szCs w:val="18"/>
    </w:rPr>
  </w:style>
  <w:style w:type="character" w:customStyle="1" w:styleId="a4">
    <w:name w:val="页脚 字符"/>
    <w:link w:val="a3"/>
    <w:uiPriority w:val="99"/>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link w:val="a5"/>
    <w:uiPriority w:val="99"/>
    <w:rPr>
      <w:sz w:val="18"/>
      <w:szCs w:val="18"/>
    </w:rPr>
  </w:style>
  <w:style w:type="paragraph" w:styleId="a7">
    <w:name w:val="Normal (Web)"/>
    <w:basedOn w:val="a"/>
    <w:uiPriority w:val="99"/>
    <w:qFormat/>
    <w:rPr>
      <w:rFonts w:ascii="Calibri" w:eastAsia="宋体" w:hAnsi="Calibri"/>
      <w:sz w:val="24"/>
      <w:szCs w:val="24"/>
    </w:rPr>
  </w:style>
  <w:style w:type="character" w:styleId="a8">
    <w:name w:val="Hyperlink"/>
    <w:uiPriority w:val="99"/>
    <w:unhideWhenUsed/>
    <w:qFormat/>
    <w:rPr>
      <w:color w:val="0000FF"/>
      <w:u w:val="single"/>
    </w:rPr>
  </w:style>
  <w:style w:type="paragraph" w:customStyle="1" w:styleId="11">
    <w:name w:val="列出段落1"/>
    <w:basedOn w:val="a"/>
    <w:uiPriority w:val="34"/>
    <w:qFormat/>
    <w:pPr>
      <w:ind w:firstLineChars="200" w:firstLine="420"/>
    </w:pPr>
    <w:rPr>
      <w:rFonts w:ascii="Times New Roman" w:eastAsia="宋体" w:hAnsi="Times New Roman"/>
      <w:szCs w:val="20"/>
    </w:rPr>
  </w:style>
  <w:style w:type="character" w:customStyle="1" w:styleId="font11">
    <w:name w:val="font11"/>
    <w:qFormat/>
    <w:rPr>
      <w:rFonts w:ascii="微软雅黑" w:eastAsia="微软雅黑" w:hAnsi="微软雅黑" w:hint="eastAsia"/>
      <w:b w:val="0"/>
      <w:bCs w:val="0"/>
      <w:i w:val="0"/>
      <w:iCs w:val="0"/>
      <w:strike w:val="0"/>
      <w:dstrike w:val="0"/>
      <w:color w:val="000000"/>
      <w:sz w:val="24"/>
      <w:szCs w:val="24"/>
      <w:u w:val="none"/>
    </w:rPr>
  </w:style>
  <w:style w:type="character" w:customStyle="1" w:styleId="font01">
    <w:name w:val="font01"/>
    <w:rPr>
      <w:rFonts w:ascii="宋体" w:eastAsia="宋体" w:hAnsi="宋体" w:hint="eastAsia"/>
      <w:b w:val="0"/>
      <w:bCs w:val="0"/>
      <w:i w:val="0"/>
      <w:iCs w:val="0"/>
      <w:strike w:val="0"/>
      <w:dstrike w:val="0"/>
      <w:color w:val="000000"/>
      <w:sz w:val="24"/>
      <w:szCs w:val="24"/>
      <w:u w:val="none"/>
    </w:rPr>
  </w:style>
  <w:style w:type="paragraph" w:customStyle="1" w:styleId="EndNoteBibliographyTitle">
    <w:name w:val="EndNote Bibliography Title"/>
    <w:basedOn w:val="a"/>
    <w:link w:val="EndNoteBibliographyTitle0"/>
    <w:pPr>
      <w:jc w:val="center"/>
    </w:pPr>
    <w:rPr>
      <w:sz w:val="20"/>
    </w:rPr>
  </w:style>
  <w:style w:type="character" w:customStyle="1" w:styleId="EndNoteBibliographyTitle0">
    <w:name w:val="EndNote Bibliography Title 字符"/>
    <w:link w:val="EndNoteBibliographyTitle"/>
    <w:rPr>
      <w:kern w:val="2"/>
      <w:szCs w:val="22"/>
      <w:lang w:val="en-US" w:eastAsia="zh-CN"/>
    </w:rPr>
  </w:style>
  <w:style w:type="paragraph" w:customStyle="1" w:styleId="EndNoteBibliography">
    <w:name w:val="EndNote Bibliography"/>
    <w:basedOn w:val="a"/>
    <w:link w:val="EndNoteBibliography0"/>
    <w:rPr>
      <w:sz w:val="20"/>
    </w:rPr>
  </w:style>
  <w:style w:type="character" w:customStyle="1" w:styleId="EndNoteBibliography0">
    <w:name w:val="EndNote Bibliography 字符"/>
    <w:link w:val="EndNoteBibliography"/>
    <w:rPr>
      <w:kern w:val="2"/>
      <w:szCs w:val="22"/>
      <w:lang w:val="en-US" w:eastAsia="zh-CN"/>
    </w:rPr>
  </w:style>
  <w:style w:type="paragraph" w:customStyle="1" w:styleId="12">
    <w:name w:val="列表段落1"/>
    <w:basedOn w:val="a"/>
    <w:pPr>
      <w:ind w:firstLineChars="200" w:firstLine="420"/>
    </w:pPr>
    <w:rPr>
      <w:rFonts w:ascii="Times New Roman" w:eastAsia="宋体" w:hAnsi="Times New Roman"/>
      <w:szCs w:val="21"/>
    </w:rPr>
  </w:style>
  <w:style w:type="character" w:styleId="a9">
    <w:name w:val="annotation reference"/>
    <w:uiPriority w:val="99"/>
    <w:semiHidden/>
    <w:unhideWhenUsed/>
    <w:rsid w:val="002E0F0A"/>
    <w:rPr>
      <w:sz w:val="21"/>
      <w:szCs w:val="21"/>
    </w:rPr>
  </w:style>
  <w:style w:type="paragraph" w:styleId="aa">
    <w:name w:val="annotation text"/>
    <w:basedOn w:val="a"/>
    <w:link w:val="ab"/>
    <w:uiPriority w:val="99"/>
    <w:semiHidden/>
    <w:unhideWhenUsed/>
    <w:rsid w:val="002E0F0A"/>
    <w:pPr>
      <w:jc w:val="left"/>
    </w:pPr>
  </w:style>
  <w:style w:type="character" w:customStyle="1" w:styleId="ab">
    <w:name w:val="批注文字 字符"/>
    <w:link w:val="aa"/>
    <w:uiPriority w:val="99"/>
    <w:semiHidden/>
    <w:rsid w:val="002E0F0A"/>
    <w:rPr>
      <w:kern w:val="2"/>
      <w:sz w:val="21"/>
      <w:szCs w:val="22"/>
    </w:rPr>
  </w:style>
  <w:style w:type="paragraph" w:styleId="ac">
    <w:name w:val="annotation subject"/>
    <w:basedOn w:val="aa"/>
    <w:next w:val="aa"/>
    <w:link w:val="ad"/>
    <w:uiPriority w:val="99"/>
    <w:semiHidden/>
    <w:unhideWhenUsed/>
    <w:rsid w:val="002E0F0A"/>
    <w:rPr>
      <w:b/>
      <w:bCs/>
    </w:rPr>
  </w:style>
  <w:style w:type="character" w:customStyle="1" w:styleId="ad">
    <w:name w:val="批注主题 字符"/>
    <w:link w:val="ac"/>
    <w:uiPriority w:val="99"/>
    <w:semiHidden/>
    <w:rsid w:val="002E0F0A"/>
    <w:rPr>
      <w:b/>
      <w:bCs/>
      <w:kern w:val="2"/>
      <w:sz w:val="21"/>
      <w:szCs w:val="22"/>
    </w:rPr>
  </w:style>
  <w:style w:type="paragraph" w:styleId="ae">
    <w:name w:val="Balloon Text"/>
    <w:basedOn w:val="a"/>
    <w:link w:val="af"/>
    <w:uiPriority w:val="99"/>
    <w:semiHidden/>
    <w:unhideWhenUsed/>
    <w:rsid w:val="00946459"/>
    <w:rPr>
      <w:sz w:val="18"/>
      <w:szCs w:val="18"/>
    </w:rPr>
  </w:style>
  <w:style w:type="character" w:customStyle="1" w:styleId="af">
    <w:name w:val="批注框文本 字符"/>
    <w:link w:val="ae"/>
    <w:uiPriority w:val="99"/>
    <w:semiHidden/>
    <w:rsid w:val="00946459"/>
    <w:rPr>
      <w:kern w:val="2"/>
      <w:sz w:val="18"/>
      <w:szCs w:val="18"/>
    </w:rPr>
  </w:style>
  <w:style w:type="table" w:styleId="af0">
    <w:name w:val="Table Grid"/>
    <w:basedOn w:val="a1"/>
    <w:uiPriority w:val="39"/>
    <w:unhideWhenUsed/>
    <w:rsid w:val="00CA3A2C"/>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unhideWhenUsed/>
    <w:rsid w:val="004C49D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02425">
      <w:bodyDiv w:val="1"/>
      <w:marLeft w:val="0"/>
      <w:marRight w:val="0"/>
      <w:marTop w:val="0"/>
      <w:marBottom w:val="0"/>
      <w:divBdr>
        <w:top w:val="none" w:sz="0" w:space="0" w:color="auto"/>
        <w:left w:val="none" w:sz="0" w:space="0" w:color="auto"/>
        <w:bottom w:val="none" w:sz="0" w:space="0" w:color="auto"/>
        <w:right w:val="none" w:sz="0" w:space="0" w:color="auto"/>
      </w:divBdr>
    </w:div>
    <w:div w:id="136282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iyapeng@jlu.edu.cn" TargetMode="External"/><Relationship Id="rId12" Type="http://schemas.openxmlformats.org/officeDocument/2006/relationships/hyperlink" Target="mailto:PPH@C(pH=7.4)" TargetMode="External"/><Relationship Id="rId2" Type="http://schemas.openxmlformats.org/officeDocument/2006/relationships/settings" Target="settings.xml"/><Relationship Id="rId16" Type="http://schemas.microsoft.com/office/2016/09/relationships/commentsIds" Target="commentsIds.xml"/><Relationship Id="rId1" Type="http://schemas.openxmlformats.org/officeDocument/2006/relationships/styles" Target="styles.xml"/><Relationship Id="rId6" Type="http://schemas.openxmlformats.org/officeDocument/2006/relationships/hyperlink" Target="mailto:baiys@jlu.edu.cn" TargetMode="External"/><Relationship Id="rId11" Type="http://schemas.openxmlformats.org/officeDocument/2006/relationships/image" Target="media/image4.tiff"/><Relationship Id="rId5" Type="http://schemas.openxmlformats.org/officeDocument/2006/relationships/endnotes" Target="endnotes.xml"/><Relationship Id="rId10" Type="http://schemas.openxmlformats.org/officeDocument/2006/relationships/image" Target="media/image3.tiff"/><Relationship Id="rId4" Type="http://schemas.openxmlformats.org/officeDocument/2006/relationships/footnotes" Target="footnote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17</Pages>
  <Words>5539</Words>
  <Characters>31575</Characters>
  <Application>Microsoft Office Word</Application>
  <DocSecurity>0</DocSecurity>
  <PresentationFormat/>
  <Lines>263</Lines>
  <Paragraphs>74</Paragraphs>
  <Slides>0</Slides>
  <Notes>0</Notes>
  <HiddenSlides>0</HiddenSlides>
  <MMClips>0</MMClips>
  <ScaleCrop>false</ScaleCrop>
  <Manager/>
  <Company/>
  <LinksUpToDate>false</LinksUpToDate>
  <CharactersWithSpaces>37040</CharactersWithSpaces>
  <SharedDoc>false</SharedDoc>
  <HLinks>
    <vt:vector size="18" baseType="variant">
      <vt:variant>
        <vt:i4>5439545</vt:i4>
      </vt:variant>
      <vt:variant>
        <vt:i4>109</vt:i4>
      </vt:variant>
      <vt:variant>
        <vt:i4>0</vt:i4>
      </vt:variant>
      <vt:variant>
        <vt:i4>5</vt:i4>
      </vt:variant>
      <vt:variant>
        <vt:lpwstr>mailto:PPH@C(pH=7.4)</vt:lpwstr>
      </vt:variant>
      <vt:variant>
        <vt:lpwstr/>
      </vt:variant>
      <vt:variant>
        <vt:i4>5177388</vt:i4>
      </vt:variant>
      <vt:variant>
        <vt:i4>3</vt:i4>
      </vt:variant>
      <vt:variant>
        <vt:i4>0</vt:i4>
      </vt:variant>
      <vt:variant>
        <vt:i4>5</vt:i4>
      </vt:variant>
      <vt:variant>
        <vt:lpwstr>mailto:liyapeng@jlu.edu.cn</vt:lpwstr>
      </vt:variant>
      <vt:variant>
        <vt:lpwstr/>
      </vt:variant>
      <vt:variant>
        <vt:i4>7733274</vt:i4>
      </vt:variant>
      <vt:variant>
        <vt:i4>0</vt:i4>
      </vt:variant>
      <vt:variant>
        <vt:i4>0</vt:i4>
      </vt:variant>
      <vt:variant>
        <vt:i4>5</vt:i4>
      </vt:variant>
      <vt:variant>
        <vt:lpwstr>mailto:baiys@jlu.edu.cn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李美</dc:creator>
  <cp:keywords/>
  <dc:description/>
  <cp:lastModifiedBy>1</cp:lastModifiedBy>
  <cp:revision>19</cp:revision>
  <dcterms:created xsi:type="dcterms:W3CDTF">2024-04-29T13:53:00Z</dcterms:created>
  <dcterms:modified xsi:type="dcterms:W3CDTF">2024-05-18T09:30:00Z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4F84BFED2CBC4414AB19655720857ED0_12</vt:lpwstr>
  </property>
</Properties>
</file>