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CBB95">
      <w:pPr>
        <w:rPr>
          <w:rFonts w:ascii="Times New Roman" w:hAnsi="Times New Roman" w:cs="Times New Roman"/>
          <w:b/>
          <w:bCs/>
        </w:rPr>
      </w:pPr>
      <w:bookmarkStart w:id="0" w:name="_Hlk152717431"/>
      <w:r>
        <w:rPr>
          <w:rFonts w:ascii="Times New Roman" w:hAnsi="Times New Roman" w:cs="Times New Roman"/>
          <w:b/>
          <w:bCs/>
        </w:rPr>
        <w:t>T</w:t>
      </w:r>
      <w:r>
        <w:rPr>
          <w:rFonts w:hint="eastAsia" w:ascii="Times New Roman" w:hAnsi="Times New Roman" w:cs="Times New Roman"/>
          <w:b/>
          <w:bCs/>
        </w:rPr>
        <w:t>able</w:t>
      </w:r>
      <w:r>
        <w:rPr>
          <w:rFonts w:ascii="Times New Roman" w:hAnsi="Times New Roman" w:cs="Times New Roman"/>
          <w:b/>
          <w:bCs/>
        </w:rPr>
        <w:t xml:space="preserve"> of Contents</w:t>
      </w:r>
    </w:p>
    <w:p w14:paraId="200FAE32">
      <w:pPr>
        <w:rPr>
          <w:rFonts w:ascii="Times New Roman" w:hAnsi="Times New Roman" w:cs="Times New Roman"/>
          <w:b/>
          <w:bCs/>
        </w:rPr>
      </w:pPr>
      <w:r>
        <w:rPr>
          <w:rFonts w:ascii="Times New Roman" w:hAnsi="Times New Roman" w:cs="Times New Roman"/>
          <w:b/>
          <w:bCs/>
        </w:rPr>
        <w:t>S1. Supporting Figures</w:t>
      </w:r>
    </w:p>
    <w:p w14:paraId="26972927">
      <w:pPr>
        <w:rPr>
          <w:rFonts w:ascii="Times New Roman" w:hAnsi="Times New Roman" w:cs="Times New Roman"/>
          <w:b/>
          <w:bCs/>
        </w:rPr>
      </w:pPr>
      <w:r>
        <w:rPr>
          <w:rFonts w:ascii="Times New Roman" w:hAnsi="Times New Roman" w:cs="Times New Roman"/>
          <w:b/>
          <w:bCs/>
        </w:rPr>
        <w:t xml:space="preserve">S1.1 </w:t>
      </w:r>
      <w:r>
        <w:rPr>
          <w:rFonts w:ascii="Times New Roman" w:hAnsi="Times New Roman" w:cs="Times New Roman"/>
        </w:rPr>
        <w:t>Cobalt and Chromium concentration in blood and muscle tissue around implant and SEM-EDS analysis of CoCr based implant</w:t>
      </w:r>
    </w:p>
    <w:p w14:paraId="4C34DBB5">
      <w:pPr>
        <w:rPr>
          <w:rFonts w:ascii="Times New Roman" w:hAnsi="Times New Roman" w:cs="Times New Roman"/>
        </w:rPr>
      </w:pPr>
      <w:r>
        <w:rPr>
          <w:rFonts w:ascii="Times New Roman" w:hAnsi="Times New Roman" w:cs="Times New Roman"/>
          <w:b/>
          <w:bCs/>
        </w:rPr>
        <w:t>S1.2</w:t>
      </w:r>
      <w:r>
        <w:t xml:space="preserve"> </w:t>
      </w:r>
      <w:r>
        <w:rPr>
          <w:rFonts w:ascii="Times New Roman" w:hAnsi="Times New Roman" w:cs="Times New Roman"/>
        </w:rPr>
        <w:t>Characteristics of TiNPs</w:t>
      </w:r>
    </w:p>
    <w:p w14:paraId="135F0093">
      <w:pPr>
        <w:rPr>
          <w:rFonts w:hint="default" w:ascii="Times New Roman" w:hAnsi="Times New Roman" w:cs="Times New Roman" w:eastAsiaTheme="minorEastAsia"/>
          <w:lang w:val="en-US" w:eastAsia="zh-CN"/>
        </w:rPr>
      </w:pPr>
      <w:r>
        <w:rPr>
          <w:rFonts w:hint="eastAsia" w:ascii="Times New Roman" w:hAnsi="Times New Roman" w:cs="Times New Roman"/>
          <w:b/>
          <w:bCs/>
          <w:lang w:val="en-US" w:eastAsia="zh-CN"/>
        </w:rPr>
        <w:t>S1.3</w:t>
      </w:r>
      <w:r>
        <w:rPr>
          <w:rFonts w:hint="eastAsia" w:ascii="Times New Roman" w:hAnsi="Times New Roman" w:cs="Times New Roman"/>
          <w:lang w:val="en-US" w:eastAsia="zh-CN"/>
        </w:rPr>
        <w:t xml:space="preserve"> Triple Factor Correlation Analysis of blood TNF-α Levels, blood Ti Levels, and Pain Scores</w:t>
      </w:r>
    </w:p>
    <w:p w14:paraId="5E374B60">
      <w:pPr>
        <w:rPr>
          <w:rFonts w:ascii="Times New Roman" w:hAnsi="Times New Roman" w:cs="Times New Roman"/>
          <w:b/>
          <w:bCs/>
        </w:rPr>
      </w:pPr>
      <w:r>
        <w:rPr>
          <w:rFonts w:ascii="Times New Roman" w:hAnsi="Times New Roman" w:cs="Times New Roman"/>
          <w:b/>
          <w:bCs/>
        </w:rPr>
        <w:t>S1.</w:t>
      </w:r>
      <w:r>
        <w:rPr>
          <w:rFonts w:hint="eastAsia" w:ascii="Times New Roman" w:hAnsi="Times New Roman" w:cs="Times New Roman"/>
          <w:b/>
          <w:bCs/>
          <w:lang w:val="en-US" w:eastAsia="zh-CN"/>
        </w:rPr>
        <w:t>4</w:t>
      </w:r>
      <w:r>
        <w:rPr>
          <w:rFonts w:ascii="Times New Roman" w:hAnsi="Times New Roman" w:cs="Times New Roman"/>
        </w:rPr>
        <w:t xml:space="preserve"> Zebrafish toxicity of Cobalt and Titanium NPs treatment</w:t>
      </w:r>
    </w:p>
    <w:p w14:paraId="314C688E">
      <w:pPr>
        <w:rPr>
          <w:rFonts w:ascii="Times New Roman" w:hAnsi="Times New Roman" w:cs="Times New Roman"/>
          <w:b/>
          <w:bCs/>
        </w:rPr>
      </w:pPr>
      <w:r>
        <w:rPr>
          <w:rFonts w:ascii="Times New Roman" w:hAnsi="Times New Roman" w:cs="Times New Roman"/>
          <w:b/>
          <w:bCs/>
        </w:rPr>
        <w:t>S1.</w:t>
      </w:r>
      <w:r>
        <w:rPr>
          <w:rFonts w:hint="eastAsia" w:ascii="Times New Roman" w:hAnsi="Times New Roman" w:cs="Times New Roman"/>
          <w:b/>
          <w:bCs/>
          <w:lang w:val="en-US" w:eastAsia="zh-CN"/>
        </w:rPr>
        <w:t>5</w:t>
      </w:r>
      <w:r>
        <w:rPr>
          <w:rFonts w:ascii="Times New Roman" w:hAnsi="Times New Roman" w:cs="Times New Roman"/>
        </w:rPr>
        <w:t xml:space="preserve"> Rat implant model build</w:t>
      </w:r>
      <w:r>
        <w:rPr>
          <w:rFonts w:hint="eastAsia" w:ascii="Times New Roman" w:hAnsi="Times New Roman" w:cs="Times New Roman"/>
        </w:rPr>
        <w:t>ing</w:t>
      </w:r>
    </w:p>
    <w:p w14:paraId="5F88AE3B">
      <w:pPr>
        <w:rPr>
          <w:rFonts w:ascii="Times New Roman" w:hAnsi="Times New Roman" w:cs="Times New Roman"/>
          <w:b/>
          <w:bCs/>
        </w:rPr>
      </w:pPr>
      <w:r>
        <w:rPr>
          <w:rFonts w:ascii="Times New Roman" w:hAnsi="Times New Roman" w:cs="Times New Roman"/>
          <w:b/>
          <w:bCs/>
        </w:rPr>
        <w:t>S1.</w:t>
      </w:r>
      <w:r>
        <w:rPr>
          <w:rFonts w:hint="eastAsia" w:ascii="Times New Roman" w:hAnsi="Times New Roman" w:cs="Times New Roman"/>
          <w:b/>
          <w:bCs/>
          <w:lang w:val="en-US" w:eastAsia="zh-CN"/>
        </w:rPr>
        <w:t>6</w:t>
      </w:r>
      <w:r>
        <w:rPr>
          <w:rFonts w:ascii="Times New Roman" w:hAnsi="Times New Roman" w:cs="Times New Roman"/>
          <w:i/>
          <w:iCs/>
        </w:rPr>
        <w:t xml:space="preserve"> In vitro</w:t>
      </w:r>
      <w:r>
        <w:rPr>
          <w:rFonts w:ascii="Times New Roman" w:hAnsi="Times New Roman" w:cs="Times New Roman"/>
        </w:rPr>
        <w:t xml:space="preserve"> model construction and validation</w:t>
      </w:r>
    </w:p>
    <w:p w14:paraId="71F3E120">
      <w:pPr>
        <w:rPr>
          <w:rFonts w:ascii="Times New Roman" w:hAnsi="Times New Roman" w:cs="Times New Roman"/>
          <w:b/>
          <w:bCs/>
        </w:rPr>
      </w:pPr>
      <w:r>
        <w:rPr>
          <w:rFonts w:ascii="Times New Roman" w:hAnsi="Times New Roman" w:cs="Times New Roman"/>
          <w:b/>
          <w:bCs/>
        </w:rPr>
        <w:t>S1.</w:t>
      </w:r>
      <w:r>
        <w:rPr>
          <w:rFonts w:hint="eastAsia" w:ascii="Times New Roman" w:hAnsi="Times New Roman" w:cs="Times New Roman"/>
          <w:b/>
          <w:bCs/>
          <w:lang w:val="en-US" w:eastAsia="zh-CN"/>
        </w:rPr>
        <w:t>7</w:t>
      </w:r>
      <w:r>
        <w:rPr>
          <w:rFonts w:ascii="Times New Roman" w:hAnsi="Times New Roman" w:cs="Times New Roman"/>
        </w:rPr>
        <w:t xml:space="preserve"> Identification of </w:t>
      </w:r>
      <w:r>
        <w:rPr>
          <w:rFonts w:ascii="Times New Roman" w:hAnsi="Times New Roman" w:cs="Times New Roman"/>
          <w:i/>
          <w:iCs/>
        </w:rPr>
        <w:t>snai2</w:t>
      </w:r>
      <w:r>
        <w:rPr>
          <w:rFonts w:ascii="Times New Roman" w:hAnsi="Times New Roman" w:cs="Times New Roman"/>
        </w:rPr>
        <w:t>-knockout zebrafish</w:t>
      </w:r>
    </w:p>
    <w:p w14:paraId="6A6AA23D">
      <w:pPr>
        <w:rPr>
          <w:rFonts w:ascii="Times New Roman" w:hAnsi="Times New Roman" w:cs="Times New Roman"/>
          <w:b/>
          <w:bCs/>
        </w:rPr>
      </w:pPr>
      <w:r>
        <w:rPr>
          <w:rFonts w:ascii="Times New Roman" w:hAnsi="Times New Roman" w:cs="Times New Roman"/>
          <w:b/>
          <w:bCs/>
        </w:rPr>
        <w:t>S2. Supporting tables</w:t>
      </w:r>
    </w:p>
    <w:p w14:paraId="024CDC0E">
      <w:pPr>
        <w:rPr>
          <w:rFonts w:ascii="Times New Roman" w:hAnsi="Times New Roman" w:cs="Times New Roman"/>
          <w:b/>
          <w:bCs/>
        </w:rPr>
      </w:pPr>
    </w:p>
    <w:p w14:paraId="42729625">
      <w:pPr>
        <w:rPr>
          <w:rFonts w:ascii="Times New Roman" w:hAnsi="Times New Roman" w:cs="Times New Roman"/>
          <w:b/>
          <w:bCs/>
        </w:rPr>
      </w:pPr>
    </w:p>
    <w:p w14:paraId="27755582">
      <w:pPr>
        <w:rPr>
          <w:rFonts w:ascii="Times New Roman" w:hAnsi="Times New Roman" w:cs="Times New Roman"/>
          <w:b/>
          <w:bCs/>
        </w:rPr>
      </w:pPr>
      <w:r>
        <w:rPr>
          <w:rFonts w:ascii="Times New Roman" w:hAnsi="Times New Roman" w:cs="Times New Roman"/>
          <w:b/>
          <w:bCs/>
        </w:rPr>
        <w:t>S</w:t>
      </w:r>
      <w:r>
        <w:rPr>
          <w:rFonts w:hint="eastAsia" w:ascii="Times New Roman" w:hAnsi="Times New Roman" w:cs="Times New Roman"/>
          <w:b/>
          <w:bCs/>
          <w:lang w:val="en-US" w:eastAsia="zh-CN"/>
        </w:rPr>
        <w:t>1</w:t>
      </w:r>
      <w:r>
        <w:rPr>
          <w:rFonts w:ascii="Times New Roman" w:hAnsi="Times New Roman" w:cs="Times New Roman"/>
          <w:b/>
          <w:bCs/>
        </w:rPr>
        <w:t>. S</w:t>
      </w:r>
      <w:r>
        <w:rPr>
          <w:rFonts w:hint="eastAsia" w:ascii="Times New Roman" w:hAnsi="Times New Roman" w:cs="Times New Roman"/>
          <w:b/>
          <w:bCs/>
        </w:rPr>
        <w:t>u</w:t>
      </w:r>
      <w:r>
        <w:rPr>
          <w:rFonts w:ascii="Times New Roman" w:hAnsi="Times New Roman" w:cs="Times New Roman"/>
          <w:b/>
          <w:bCs/>
        </w:rPr>
        <w:t>pplementary Figures</w:t>
      </w:r>
    </w:p>
    <w:p w14:paraId="29A70799">
      <w:pPr>
        <w:jc w:val="center"/>
        <w:rPr>
          <w:rFonts w:ascii="Times New Roman" w:hAnsi="Times New Roman" w:cs="Times New Roman"/>
          <w:b/>
          <w:bCs/>
        </w:rPr>
      </w:pPr>
      <w:r>
        <w:rPr>
          <w:rFonts w:ascii="Times New Roman" w:hAnsi="Times New Roman" w:cs="Times New Roman"/>
          <w:b/>
          <w:bCs/>
        </w:rPr>
        <w:drawing>
          <wp:inline distT="0" distB="0" distL="0" distR="0">
            <wp:extent cx="5229860" cy="4721860"/>
            <wp:effectExtent l="0" t="0" r="8890" b="2540"/>
            <wp:docPr id="31269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9917"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37747" cy="4728880"/>
                    </a:xfrm>
                    <a:prstGeom prst="rect">
                      <a:avLst/>
                    </a:prstGeom>
                    <a:noFill/>
                    <a:ln>
                      <a:noFill/>
                    </a:ln>
                  </pic:spPr>
                </pic:pic>
              </a:graphicData>
            </a:graphic>
          </wp:inline>
        </w:drawing>
      </w:r>
    </w:p>
    <w:p w14:paraId="419E4CB4">
      <w:pPr>
        <w:rPr>
          <w:rFonts w:ascii="Times New Roman" w:hAnsi="Times New Roman" w:cs="Times New Roman"/>
          <w:sz w:val="20"/>
          <w:szCs w:val="20"/>
        </w:rPr>
      </w:pPr>
      <w:r>
        <w:rPr>
          <w:rFonts w:ascii="Times New Roman" w:hAnsi="Times New Roman" w:cs="Times New Roman"/>
          <w:b/>
          <w:bCs/>
          <w:sz w:val="20"/>
          <w:szCs w:val="20"/>
        </w:rPr>
        <w:t xml:space="preserve">Figure S1. </w:t>
      </w:r>
      <w:r>
        <w:rPr>
          <w:rFonts w:ascii="Times New Roman" w:hAnsi="Times New Roman" w:cs="Times New Roman"/>
          <w:sz w:val="20"/>
          <w:szCs w:val="20"/>
        </w:rPr>
        <w:t>Cobalt and Chromium concentration in blood and muscle tissue around implant and SEM-EDS analysis of CoCr based implant. (A) Cobalt and Chromium content in blood sample from post-operation patient and control. (B) Cobalt and Chromium content in the tissues at different distances from the implant (0, 15, 30 cm). (C) SEM-EDS analysis of CoCr based implant.</w:t>
      </w:r>
    </w:p>
    <w:p w14:paraId="36B2C73E">
      <w:pPr>
        <w:rPr>
          <w:rFonts w:ascii="Times New Roman" w:hAnsi="Times New Roman" w:cs="Times New Roman"/>
          <w:sz w:val="20"/>
          <w:szCs w:val="20"/>
        </w:rPr>
      </w:pPr>
    </w:p>
    <w:p w14:paraId="3A62813C">
      <w:pPr>
        <w:jc w:val="center"/>
        <w:rPr>
          <w:sz w:val="20"/>
          <w:szCs w:val="20"/>
        </w:rPr>
      </w:pPr>
      <w:r>
        <w:rPr>
          <w:sz w:val="20"/>
          <w:szCs w:val="20"/>
        </w:rPr>
        <w:drawing>
          <wp:inline distT="0" distB="0" distL="0" distR="0">
            <wp:extent cx="5454650" cy="4189730"/>
            <wp:effectExtent l="0" t="0" r="0" b="1270"/>
            <wp:docPr id="1468963826" name="Picture 1"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963826" name="Picture 1" descr="A close-up of a microscop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63352" cy="4196158"/>
                    </a:xfrm>
                    <a:prstGeom prst="rect">
                      <a:avLst/>
                    </a:prstGeom>
                    <a:noFill/>
                    <a:ln>
                      <a:noFill/>
                    </a:ln>
                  </pic:spPr>
                </pic:pic>
              </a:graphicData>
            </a:graphic>
          </wp:inline>
        </w:drawing>
      </w:r>
    </w:p>
    <w:p w14:paraId="1E200370">
      <w:pP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b/>
          <w:bCs/>
          <w:sz w:val="20"/>
          <w:szCs w:val="20"/>
        </w:rPr>
        <w:t xml:space="preserve">Figure S2. </w:t>
      </w:r>
      <w:r>
        <w:rPr>
          <w:rFonts w:ascii="Times New Roman" w:hAnsi="Times New Roman" w:cs="Times New Roman"/>
          <w:sz w:val="20"/>
          <w:szCs w:val="20"/>
        </w:rPr>
        <w:t>Characteristics of TiNPs. (A)</w:t>
      </w:r>
      <w:r>
        <w:t xml:space="preserve"> </w:t>
      </w:r>
      <w:r>
        <w:rPr>
          <w:rFonts w:ascii="Times New Roman" w:hAnsi="Times New Roman" w:cs="Times New Roman"/>
          <w:sz w:val="20"/>
          <w:szCs w:val="20"/>
        </w:rPr>
        <w:t>Scanning electron micrographs of TiO</w:t>
      </w:r>
      <w:r>
        <w:rPr>
          <w:rFonts w:ascii="Times New Roman" w:hAnsi="Times New Roman" w:cs="Times New Roman"/>
          <w:sz w:val="20"/>
          <w:szCs w:val="20"/>
          <w:vertAlign w:val="subscript"/>
        </w:rPr>
        <w:t>2</w:t>
      </w:r>
      <w:r>
        <w:rPr>
          <w:rFonts w:ascii="Times New Roman" w:hAnsi="Times New Roman" w:cs="Times New Roman"/>
          <w:sz w:val="20"/>
          <w:szCs w:val="20"/>
        </w:rPr>
        <w:t xml:space="preserve"> nanoparticles used in this study showed TiO</w:t>
      </w:r>
      <w:r>
        <w:rPr>
          <w:rFonts w:ascii="Times New Roman" w:hAnsi="Times New Roman" w:cs="Times New Roman"/>
          <w:sz w:val="20"/>
          <w:szCs w:val="20"/>
          <w:vertAlign w:val="subscript"/>
        </w:rPr>
        <w:t>2</w:t>
      </w:r>
      <w:r>
        <w:rPr>
          <w:rFonts w:ascii="Times New Roman" w:hAnsi="Times New Roman" w:cs="Times New Roman"/>
          <w:sz w:val="20"/>
          <w:szCs w:val="20"/>
        </w:rPr>
        <w:t xml:space="preserve"> NPs of different sizes, showing nanomaterials with diameters in the range of 69 - 208 nm. (B) ζ-potentials of TiNPs confirming that TiNPs are negatively charged (surface charges is -17.2mV). (C) Particle size distribution of TiNPs showing nanomaterials with diameters in the range of </w:t>
      </w:r>
      <w:r>
        <w:rPr>
          <w:rFonts w:ascii="Times New Roman" w:hAnsi="Times New Roman" w:cs="Times New Roman"/>
          <w:color w:val="000000" w:themeColor="text1"/>
          <w:sz w:val="20"/>
          <w:szCs w:val="20"/>
          <w14:textFill>
            <w14:solidFill>
              <w14:schemeClr w14:val="tx1"/>
            </w14:solidFill>
          </w14:textFill>
        </w:rPr>
        <w:t>62.5-500 nm.</w:t>
      </w:r>
    </w:p>
    <w:p w14:paraId="280BA780">
      <w:pPr>
        <w:rPr>
          <w:rFonts w:ascii="Times New Roman" w:hAnsi="Times New Roman" w:cs="Times New Roman"/>
          <w:color w:val="000000" w:themeColor="text1"/>
          <w:sz w:val="20"/>
          <w:szCs w:val="20"/>
          <w14:textFill>
            <w14:solidFill>
              <w14:schemeClr w14:val="tx1"/>
            </w14:solidFill>
          </w14:textFill>
        </w:rPr>
      </w:pPr>
    </w:p>
    <w:p w14:paraId="51179FD7">
      <w:pPr>
        <w:rPr>
          <w:rFonts w:ascii="Times New Roman" w:hAnsi="Times New Roman" w:cs="Times New Roman"/>
          <w:color w:val="000000" w:themeColor="text1"/>
          <w:sz w:val="20"/>
          <w:szCs w:val="20"/>
          <w14:textFill>
            <w14:solidFill>
              <w14:schemeClr w14:val="tx1"/>
            </w14:solidFill>
          </w14:textFill>
        </w:rPr>
      </w:pPr>
    </w:p>
    <w:p w14:paraId="4D53331F">
      <w:pPr>
        <w:jc w:val="center"/>
        <w:rPr>
          <w:rFonts w:hint="eastAsia" w:ascii="Times New Roman" w:hAnsi="Times New Roman" w:cs="Times New Roman" w:eastAsiaTheme="minorEastAsia"/>
          <w:color w:val="000000" w:themeColor="text1"/>
          <w:sz w:val="20"/>
          <w:szCs w:val="20"/>
          <w:lang w:eastAsia="zh-CN"/>
          <w14:textFill>
            <w14:solidFill>
              <w14:schemeClr w14:val="tx1"/>
            </w14:solidFill>
          </w14:textFill>
        </w:rPr>
      </w:pPr>
      <w:r>
        <w:rPr>
          <w:rFonts w:hint="eastAsia" w:ascii="Times New Roman" w:hAnsi="Times New Roman" w:cs="Times New Roman" w:eastAsiaTheme="minorEastAsia"/>
          <w:color w:val="000000" w:themeColor="text1"/>
          <w:sz w:val="20"/>
          <w:szCs w:val="20"/>
          <w:lang w:eastAsia="zh-CN"/>
          <w14:textFill>
            <w14:solidFill>
              <w14:schemeClr w14:val="tx1"/>
            </w14:solidFill>
          </w14:textFill>
        </w:rPr>
        <w:drawing>
          <wp:inline distT="0" distB="0" distL="114300" distR="114300">
            <wp:extent cx="3072130" cy="2371090"/>
            <wp:effectExtent l="0" t="0" r="13970" b="10160"/>
            <wp:docPr id="1" name="图片 1" descr="TiSnai2 Fig S3 Bi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Snai2 Fig S3 BioRes"/>
                    <pic:cNvPicPr>
                      <a:picLocks noChangeAspect="1"/>
                    </pic:cNvPicPr>
                  </pic:nvPicPr>
                  <pic:blipFill>
                    <a:blip r:embed="rId8"/>
                    <a:stretch>
                      <a:fillRect/>
                    </a:stretch>
                  </pic:blipFill>
                  <pic:spPr>
                    <a:xfrm>
                      <a:off x="0" y="0"/>
                      <a:ext cx="3072130" cy="2371090"/>
                    </a:xfrm>
                    <a:prstGeom prst="rect">
                      <a:avLst/>
                    </a:prstGeom>
                  </pic:spPr>
                </pic:pic>
              </a:graphicData>
            </a:graphic>
          </wp:inline>
        </w:drawing>
      </w:r>
    </w:p>
    <w:p w14:paraId="240A6E15">
      <w:pPr>
        <w:rPr>
          <w:rFonts w:hint="default" w:ascii="Times New Roman" w:hAnsi="Times New Roman" w:cs="Times New Roman" w:eastAsiaTheme="minorEastAsia"/>
          <w:color w:val="000000" w:themeColor="text1"/>
          <w:sz w:val="20"/>
          <w:szCs w:val="20"/>
          <w:lang w:val="en-US" w:eastAsia="zh-CN"/>
          <w14:textFill>
            <w14:solidFill>
              <w14:schemeClr w14:val="tx1"/>
            </w14:solidFill>
          </w14:textFill>
        </w:rPr>
      </w:pPr>
      <w:r>
        <w:rPr>
          <w:rFonts w:hint="eastAsia" w:ascii="Times New Roman" w:hAnsi="Times New Roman" w:cs="Times New Roman"/>
          <w:b/>
          <w:bCs/>
          <w:color w:val="000000" w:themeColor="text1"/>
          <w:sz w:val="20"/>
          <w:szCs w:val="20"/>
          <w:lang w:val="en-US" w:eastAsia="zh-CN"/>
          <w14:textFill>
            <w14:solidFill>
              <w14:schemeClr w14:val="tx1"/>
            </w14:solidFill>
          </w14:textFill>
        </w:rPr>
        <w:t>Figure S3</w:t>
      </w:r>
      <w:r>
        <w:rPr>
          <w:rFonts w:hint="eastAsia" w:ascii="Times New Roman" w:hAnsi="Times New Roman" w:cs="Times New Roman"/>
          <w:color w:val="000000" w:themeColor="text1"/>
          <w:sz w:val="20"/>
          <w:szCs w:val="20"/>
          <w:lang w:val="en-US" w:eastAsia="zh-CN"/>
          <w14:textFill>
            <w14:solidFill>
              <w14:schemeClr w14:val="tx1"/>
            </w14:solidFill>
          </w14:textFill>
        </w:rPr>
        <w:t xml:space="preserve">. </w:t>
      </w:r>
      <w:r>
        <w:rPr>
          <w:rFonts w:ascii="Times New Roman" w:hAnsi="Times New Roman" w:cs="Times New Roman"/>
          <w:sz w:val="20"/>
          <w:szCs w:val="20"/>
        </w:rPr>
        <w:t>Triple Factor Correlation Analysis of blood</w:t>
      </w:r>
      <w:r>
        <w:rPr>
          <w:rFonts w:hint="eastAsia" w:ascii="Times New Roman" w:hAnsi="Times New Roman" w:cs="Times New Roman"/>
          <w:sz w:val="20"/>
          <w:szCs w:val="20"/>
          <w:lang w:val="en-US" w:eastAsia="zh-CN"/>
        </w:rPr>
        <w:t xml:space="preserve"> </w:t>
      </w:r>
      <w:r>
        <w:rPr>
          <w:rFonts w:ascii="Times New Roman" w:hAnsi="Times New Roman" w:cs="Times New Roman"/>
          <w:sz w:val="20"/>
          <w:szCs w:val="20"/>
        </w:rPr>
        <w:t>TNF-α Levels, blood Ti Levels, and Pain Scores in patients with postoperative pain (n=12).</w:t>
      </w:r>
    </w:p>
    <w:p w14:paraId="78CC498B">
      <w:pPr>
        <w:jc w:val="center"/>
        <w:rPr>
          <w:sz w:val="20"/>
          <w:szCs w:val="20"/>
        </w:rPr>
      </w:pPr>
    </w:p>
    <w:p w14:paraId="497C18FE">
      <w:pPr>
        <w:jc w:val="center"/>
        <w:rPr>
          <w:sz w:val="20"/>
          <w:szCs w:val="20"/>
        </w:rPr>
      </w:pPr>
    </w:p>
    <w:p w14:paraId="02C5BD6D">
      <w:pPr>
        <w:jc w:val="center"/>
        <w:rPr>
          <w:sz w:val="20"/>
          <w:szCs w:val="20"/>
        </w:rPr>
      </w:pPr>
    </w:p>
    <w:p w14:paraId="03F2F1DC">
      <w:pPr>
        <w:jc w:val="center"/>
      </w:pPr>
      <w:r>
        <w:drawing>
          <wp:inline distT="0" distB="0" distL="0" distR="0">
            <wp:extent cx="5390515" cy="3001645"/>
            <wp:effectExtent l="0" t="0" r="635" b="8255"/>
            <wp:docPr id="881412628" name="Picture 3" descr="A diagram of a fis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2628" name="Picture 3" descr="A diagram of a fish&#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403669" cy="3008776"/>
                    </a:xfrm>
                    <a:prstGeom prst="rect">
                      <a:avLst/>
                    </a:prstGeom>
                    <a:noFill/>
                    <a:ln>
                      <a:noFill/>
                    </a:ln>
                  </pic:spPr>
                </pic:pic>
              </a:graphicData>
            </a:graphic>
          </wp:inline>
        </w:drawing>
      </w:r>
    </w:p>
    <w:p w14:paraId="67BB63E6">
      <w:pPr>
        <w:rPr>
          <w:rFonts w:ascii="Times New Roman" w:hAnsi="Times New Roman" w:cs="Times New Roman"/>
          <w:b/>
          <w:bCs/>
        </w:rPr>
      </w:pPr>
      <w:r>
        <w:rPr>
          <w:rFonts w:ascii="Times New Roman" w:hAnsi="Times New Roman" w:cs="Times New Roman"/>
          <w:b/>
          <w:bCs/>
          <w:sz w:val="20"/>
          <w:szCs w:val="20"/>
        </w:rPr>
        <w:t>Figure S</w:t>
      </w:r>
      <w:r>
        <w:rPr>
          <w:rFonts w:hint="eastAsia" w:ascii="Times New Roman" w:hAnsi="Times New Roman" w:cs="Times New Roman"/>
          <w:b/>
          <w:bCs/>
          <w:sz w:val="20"/>
          <w:szCs w:val="20"/>
          <w:lang w:val="en-US" w:eastAsia="zh-CN"/>
        </w:rPr>
        <w:t>4</w:t>
      </w:r>
      <w:r>
        <w:rPr>
          <w:rFonts w:ascii="Times New Roman" w:hAnsi="Times New Roman" w:cs="Times New Roman"/>
          <w:b/>
          <w:bCs/>
          <w:sz w:val="20"/>
          <w:szCs w:val="20"/>
        </w:rPr>
        <w:t xml:space="preserve">. </w:t>
      </w:r>
      <w:r>
        <w:rPr>
          <w:rFonts w:ascii="Times New Roman" w:hAnsi="Times New Roman" w:cs="Times New Roman"/>
          <w:sz w:val="20"/>
          <w:szCs w:val="20"/>
        </w:rPr>
        <w:t>Zebrafish toxicity of Cobalt and Titanium NPs treatment. (A)</w:t>
      </w:r>
      <w:r>
        <w:t xml:space="preserve"> </w:t>
      </w:r>
      <w:r>
        <w:rPr>
          <w:rFonts w:ascii="Times New Roman" w:hAnsi="Times New Roman" w:cs="Times New Roman"/>
          <w:sz w:val="20"/>
          <w:szCs w:val="20"/>
        </w:rPr>
        <w:t>Experimental Schematic Diagram. (B) Malformation phenotypes of embryos exposed to Ti NPs. (C) Hatching rate of zebrafish larvae exposed to Ti and Co NPs. (D) Survival rate of zebrafish larvae exposed to Ti and Co NPs.</w:t>
      </w:r>
    </w:p>
    <w:p w14:paraId="4391BCE9">
      <w:pPr>
        <w:rPr>
          <w:rFonts w:ascii="Times New Roman" w:hAnsi="Times New Roman" w:cs="Times New Roman"/>
          <w:b/>
          <w:bCs/>
        </w:rPr>
      </w:pPr>
    </w:p>
    <w:p w14:paraId="3D3DA9B9">
      <w:pPr>
        <w:jc w:val="center"/>
        <w:rPr>
          <w:rFonts w:ascii="Times New Roman" w:hAnsi="Times New Roman" w:cs="Times New Roman"/>
          <w:b/>
          <w:bCs/>
        </w:rPr>
      </w:pPr>
      <w:r>
        <w:rPr>
          <w:rFonts w:ascii="Times New Roman" w:hAnsi="Times New Roman" w:cs="Times New Roman"/>
          <w:b/>
          <w:bCs/>
        </w:rPr>
        <w:drawing>
          <wp:inline distT="0" distB="0" distL="0" distR="0">
            <wp:extent cx="4939665" cy="3536950"/>
            <wp:effectExtent l="0" t="0" r="0" b="6350"/>
            <wp:docPr id="5905048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04889"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953667" cy="3546659"/>
                    </a:xfrm>
                    <a:prstGeom prst="rect">
                      <a:avLst/>
                    </a:prstGeom>
                    <a:noFill/>
                    <a:ln>
                      <a:noFill/>
                    </a:ln>
                  </pic:spPr>
                </pic:pic>
              </a:graphicData>
            </a:graphic>
          </wp:inline>
        </w:drawing>
      </w:r>
    </w:p>
    <w:p w14:paraId="1F3CBFA1">
      <w:pPr>
        <w:rPr>
          <w:rFonts w:ascii="Times New Roman" w:hAnsi="Times New Roman" w:cs="Times New Roman"/>
          <w:sz w:val="20"/>
          <w:szCs w:val="20"/>
        </w:rPr>
      </w:pPr>
      <w:r>
        <w:rPr>
          <w:rFonts w:ascii="Times New Roman" w:hAnsi="Times New Roman" w:cs="Times New Roman"/>
          <w:b/>
          <w:bCs/>
          <w:sz w:val="20"/>
          <w:szCs w:val="20"/>
        </w:rPr>
        <w:t>Figure S</w:t>
      </w:r>
      <w:r>
        <w:rPr>
          <w:rFonts w:hint="eastAsia" w:ascii="Times New Roman" w:hAnsi="Times New Roman" w:cs="Times New Roman"/>
          <w:b/>
          <w:bCs/>
          <w:sz w:val="20"/>
          <w:szCs w:val="20"/>
          <w:lang w:val="en-US" w:eastAsia="zh-CN"/>
        </w:rPr>
        <w:t>5</w:t>
      </w:r>
      <w:r>
        <w:rPr>
          <w:rFonts w:ascii="Times New Roman" w:hAnsi="Times New Roman" w:cs="Times New Roman"/>
          <w:b/>
          <w:bCs/>
          <w:sz w:val="20"/>
          <w:szCs w:val="20"/>
        </w:rPr>
        <w:t xml:space="preserve">. </w:t>
      </w:r>
      <w:r>
        <w:rPr>
          <w:rFonts w:ascii="Times New Roman" w:hAnsi="Times New Roman" w:cs="Times New Roman"/>
          <w:sz w:val="20"/>
          <w:szCs w:val="20"/>
        </w:rPr>
        <w:t>Rat implant model build</w:t>
      </w:r>
      <w:r>
        <w:rPr>
          <w:rFonts w:hint="eastAsia" w:ascii="Times New Roman" w:hAnsi="Times New Roman" w:cs="Times New Roman"/>
          <w:sz w:val="20"/>
          <w:szCs w:val="20"/>
        </w:rPr>
        <w:t>ing</w:t>
      </w:r>
      <w:r>
        <w:rPr>
          <w:rFonts w:ascii="Times New Roman" w:hAnsi="Times New Roman" w:cs="Times New Roman"/>
          <w:sz w:val="20"/>
          <w:szCs w:val="20"/>
        </w:rPr>
        <w:t>. (A) Photograph of rat model complete. (B) Titanium content in dorsal subcutaneous muscle around</w:t>
      </w:r>
      <w:r>
        <w:rPr>
          <w:rFonts w:ascii="Times New Roman" w:hAnsi="Times New Roman" w:cs="Times New Roman"/>
          <w:color w:val="FF0000"/>
          <w:sz w:val="20"/>
          <w:szCs w:val="20"/>
        </w:rPr>
        <w:t xml:space="preserve"> </w:t>
      </w:r>
      <w:r>
        <w:rPr>
          <w:rFonts w:ascii="Times New Roman" w:hAnsi="Times New Roman" w:cs="Times New Roman"/>
          <w:sz w:val="20"/>
          <w:szCs w:val="20"/>
        </w:rPr>
        <w:t>implant, compared to control (n=8). (C) Whole expression signal for each channel of rat muscle immunofluorescence staining in Figure 3. (K).</w:t>
      </w:r>
    </w:p>
    <w:p w14:paraId="7B45805C">
      <w:pPr>
        <w:jc w:val="center"/>
        <w:rPr>
          <w:rFonts w:hint="eastAsia" w:eastAsiaTheme="minorEastAsia"/>
          <w:lang w:eastAsia="zh-CN"/>
        </w:rPr>
      </w:pPr>
      <w:r>
        <w:rPr>
          <w:rFonts w:hint="eastAsia" w:eastAsiaTheme="minorEastAsia"/>
          <w:lang w:eastAsia="zh-CN"/>
        </w:rPr>
        <w:drawing>
          <wp:inline distT="0" distB="0" distL="114300" distR="114300">
            <wp:extent cx="5937885" cy="4849495"/>
            <wp:effectExtent l="0" t="0" r="5715" b="8255"/>
            <wp:docPr id="2" name="图片 2" descr="TiSnai2 Fig S6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iSnai2 Fig S6 v3"/>
                    <pic:cNvPicPr>
                      <a:picLocks noChangeAspect="1"/>
                    </pic:cNvPicPr>
                  </pic:nvPicPr>
                  <pic:blipFill>
                    <a:blip r:embed="rId11"/>
                    <a:stretch>
                      <a:fillRect/>
                    </a:stretch>
                  </pic:blipFill>
                  <pic:spPr>
                    <a:xfrm>
                      <a:off x="0" y="0"/>
                      <a:ext cx="5937885" cy="4849495"/>
                    </a:xfrm>
                    <a:prstGeom prst="rect">
                      <a:avLst/>
                    </a:prstGeom>
                  </pic:spPr>
                </pic:pic>
              </a:graphicData>
            </a:graphic>
          </wp:inline>
        </w:drawing>
      </w:r>
      <w:bookmarkStart w:id="1" w:name="_GoBack"/>
      <w:bookmarkEnd w:id="1"/>
    </w:p>
    <w:p w14:paraId="6CC0697F">
      <w:pPr>
        <w:rPr>
          <w:rFonts w:ascii="Times New Roman" w:hAnsi="Times New Roman" w:cs="Times New Roman"/>
          <w:b/>
          <w:bCs/>
        </w:rPr>
      </w:pPr>
      <w:r>
        <w:rPr>
          <w:rFonts w:ascii="Times New Roman" w:hAnsi="Times New Roman" w:cs="Times New Roman"/>
          <w:b/>
          <w:bCs/>
          <w:sz w:val="20"/>
          <w:szCs w:val="20"/>
        </w:rPr>
        <w:t>Figure S</w:t>
      </w:r>
      <w:r>
        <w:rPr>
          <w:rFonts w:hint="eastAsia" w:ascii="Times New Roman" w:hAnsi="Times New Roman" w:cs="Times New Roman"/>
          <w:b/>
          <w:bCs/>
          <w:sz w:val="20"/>
          <w:szCs w:val="20"/>
          <w:lang w:val="en-US" w:eastAsia="zh-CN"/>
        </w:rPr>
        <w:t>6</w:t>
      </w:r>
      <w:r>
        <w:rPr>
          <w:rFonts w:ascii="Times New Roman" w:hAnsi="Times New Roman" w:cs="Times New Roman"/>
          <w:b/>
          <w:bCs/>
          <w:sz w:val="20"/>
          <w:szCs w:val="20"/>
        </w:rPr>
        <w:t xml:space="preserve">. </w:t>
      </w:r>
      <w:r>
        <w:rPr>
          <w:rFonts w:ascii="Times New Roman" w:hAnsi="Times New Roman" w:cs="Times New Roman"/>
          <w:i/>
          <w:iCs/>
          <w:sz w:val="20"/>
          <w:szCs w:val="20"/>
        </w:rPr>
        <w:t>In vitro</w:t>
      </w:r>
      <w:r>
        <w:rPr>
          <w:rFonts w:ascii="Times New Roman" w:hAnsi="Times New Roman" w:cs="Times New Roman"/>
          <w:sz w:val="20"/>
          <w:szCs w:val="20"/>
        </w:rPr>
        <w:t xml:space="preserve"> model construction and validation. (A) Bright field and flurescence image of cells treated with TiO</w:t>
      </w:r>
      <w:r>
        <w:rPr>
          <w:rFonts w:ascii="Times New Roman" w:hAnsi="Times New Roman" w:cs="Times New Roman"/>
          <w:sz w:val="20"/>
          <w:szCs w:val="20"/>
          <w:vertAlign w:val="subscript"/>
        </w:rPr>
        <w:t>2</w:t>
      </w:r>
      <w:r>
        <w:rPr>
          <w:rFonts w:ascii="Times New Roman" w:hAnsi="Times New Roman" w:cs="Times New Roman"/>
          <w:sz w:val="20"/>
          <w:szCs w:val="20"/>
        </w:rPr>
        <w:t xml:space="preserve"> NPs or FITC-tagged TiO</w:t>
      </w:r>
      <w:r>
        <w:rPr>
          <w:rFonts w:ascii="Times New Roman" w:hAnsi="Times New Roman" w:cs="Times New Roman"/>
          <w:sz w:val="20"/>
          <w:szCs w:val="20"/>
          <w:vertAlign w:val="subscript"/>
        </w:rPr>
        <w:t>2</w:t>
      </w:r>
      <w:r>
        <w:rPr>
          <w:rFonts w:ascii="Times New Roman" w:hAnsi="Times New Roman" w:cs="Times New Roman"/>
          <w:sz w:val="20"/>
          <w:szCs w:val="20"/>
        </w:rPr>
        <w:t xml:space="preserve"> NPs. (B) Confocal image of cells treated with FITC-tagged TiO</w:t>
      </w:r>
      <w:r>
        <w:rPr>
          <w:rFonts w:ascii="Times New Roman" w:hAnsi="Times New Roman" w:cs="Times New Roman"/>
          <w:sz w:val="20"/>
          <w:szCs w:val="20"/>
          <w:vertAlign w:val="subscript"/>
        </w:rPr>
        <w:t>2</w:t>
      </w:r>
      <w:r>
        <w:rPr>
          <w:rFonts w:ascii="Times New Roman" w:hAnsi="Times New Roman" w:cs="Times New Roman"/>
          <w:sz w:val="20"/>
          <w:szCs w:val="20"/>
        </w:rPr>
        <w:t xml:space="preserve"> NPs. (C) The mRNA expression of Col1 and αSMA in C2C12 cells treated with 1-10 μg/ml TiO</w:t>
      </w:r>
      <w:r>
        <w:rPr>
          <w:rFonts w:ascii="Times New Roman" w:hAnsi="Times New Roman" w:cs="Times New Roman"/>
          <w:sz w:val="20"/>
          <w:szCs w:val="20"/>
          <w:vertAlign w:val="subscript"/>
        </w:rPr>
        <w:t>2</w:t>
      </w:r>
      <w:r>
        <w:rPr>
          <w:rFonts w:ascii="Times New Roman" w:hAnsi="Times New Roman" w:cs="Times New Roman"/>
          <w:sz w:val="20"/>
          <w:szCs w:val="20"/>
        </w:rPr>
        <w:t xml:space="preserve"> NPs were analyzed by qPCR.</w:t>
      </w:r>
      <w:r>
        <w:rPr>
          <w:sz w:val="20"/>
          <w:szCs w:val="20"/>
        </w:rPr>
        <w:t xml:space="preserve"> </w:t>
      </w:r>
      <w:r>
        <w:rPr>
          <w:rFonts w:ascii="Times New Roman" w:hAnsi="Times New Roman" w:cs="Times New Roman"/>
          <w:sz w:val="20"/>
          <w:szCs w:val="20"/>
        </w:rPr>
        <w:t xml:space="preserve">The control group was set to 1.0, * means </w:t>
      </w:r>
      <w:r>
        <w:rPr>
          <w:rFonts w:ascii="Times New Roman" w:hAnsi="Times New Roman" w:cs="Times New Roman"/>
          <w:i/>
          <w:iCs/>
          <w:sz w:val="20"/>
          <w:szCs w:val="20"/>
        </w:rPr>
        <w:t>P</w:t>
      </w:r>
      <w:r>
        <w:rPr>
          <w:rFonts w:ascii="Times New Roman" w:hAnsi="Times New Roman" w:cs="Times New Roman"/>
          <w:sz w:val="20"/>
          <w:szCs w:val="20"/>
        </w:rPr>
        <w:t xml:space="preserve"> &lt; 0.05 between two indicated groups (n=6). All data are displayed as mean ± SD.</w:t>
      </w:r>
    </w:p>
    <w:p w14:paraId="27A28117">
      <w:pPr>
        <w:rPr>
          <w:rFonts w:ascii="Times New Roman" w:hAnsi="Times New Roman" w:cs="Times New Roman"/>
          <w:b/>
          <w:bCs/>
        </w:rPr>
      </w:pPr>
    </w:p>
    <w:p w14:paraId="4A73D7DC">
      <w:pPr>
        <w:rPr>
          <w:rFonts w:ascii="Times New Roman" w:hAnsi="Times New Roman" w:cs="Times New Roman"/>
          <w:b/>
          <w:bCs/>
        </w:rPr>
      </w:pPr>
    </w:p>
    <w:p w14:paraId="1492B3F7">
      <w:pPr>
        <w:jc w:val="center"/>
        <w:rPr>
          <w:rFonts w:ascii="Times New Roman" w:hAnsi="Times New Roman" w:cs="Times New Roman"/>
          <w:b/>
          <w:bCs/>
        </w:rPr>
      </w:pPr>
      <w:r>
        <w:rPr>
          <w:rFonts w:ascii="Times New Roman" w:hAnsi="Times New Roman" w:cs="Times New Roman"/>
          <w:b/>
          <w:bCs/>
        </w:rPr>
        <w:drawing>
          <wp:inline distT="0" distB="0" distL="0" distR="0">
            <wp:extent cx="4699635" cy="2849245"/>
            <wp:effectExtent l="0" t="0" r="5715" b="8255"/>
            <wp:docPr id="9895596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5969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699635" cy="2849245"/>
                    </a:xfrm>
                    <a:prstGeom prst="rect">
                      <a:avLst/>
                    </a:prstGeom>
                    <a:noFill/>
                    <a:ln>
                      <a:noFill/>
                    </a:ln>
                  </pic:spPr>
                </pic:pic>
              </a:graphicData>
            </a:graphic>
          </wp:inline>
        </w:drawing>
      </w:r>
    </w:p>
    <w:p w14:paraId="13AA8F2C">
      <w:pPr>
        <w:rPr>
          <w:rStyle w:val="4"/>
          <w:rFonts w:ascii="Times New Roman" w:hAnsi="Times New Roman"/>
        </w:rPr>
      </w:pPr>
      <w:r>
        <w:rPr>
          <w:rFonts w:ascii="Times New Roman" w:hAnsi="Times New Roman" w:cs="Times New Roman"/>
          <w:b/>
          <w:bCs/>
          <w:sz w:val="20"/>
          <w:szCs w:val="20"/>
        </w:rPr>
        <w:t>Figure S</w:t>
      </w:r>
      <w:r>
        <w:rPr>
          <w:rFonts w:hint="eastAsia" w:ascii="Times New Roman" w:hAnsi="Times New Roman" w:cs="Times New Roman"/>
          <w:b/>
          <w:bCs/>
          <w:sz w:val="20"/>
          <w:szCs w:val="20"/>
          <w:lang w:val="en-US" w:eastAsia="zh-CN"/>
        </w:rPr>
        <w:t>7</w:t>
      </w:r>
      <w:r>
        <w:rPr>
          <w:rFonts w:hint="eastAsia" w:ascii="Times New Roman" w:hAnsi="Times New Roman" w:cs="Times New Roman"/>
          <w:b/>
          <w:bCs/>
          <w:sz w:val="20"/>
          <w:szCs w:val="20"/>
        </w:rPr>
        <w:t>.</w:t>
      </w:r>
      <w:r>
        <w:rPr>
          <w:rFonts w:ascii="Times New Roman" w:hAnsi="Times New Roman" w:cs="Times New Roman"/>
          <w:b/>
          <w:bCs/>
          <w:sz w:val="20"/>
          <w:szCs w:val="20"/>
        </w:rPr>
        <w:t xml:space="preserve"> </w:t>
      </w:r>
      <w:r>
        <w:rPr>
          <w:rFonts w:ascii="Times New Roman" w:hAnsi="Times New Roman" w:cs="Times New Roman"/>
          <w:sz w:val="20"/>
          <w:szCs w:val="20"/>
        </w:rPr>
        <w:t xml:space="preserve">Identification of </w:t>
      </w:r>
      <w:r>
        <w:rPr>
          <w:rFonts w:ascii="Times New Roman" w:hAnsi="Times New Roman" w:cs="Times New Roman"/>
          <w:i/>
          <w:iCs/>
          <w:sz w:val="20"/>
          <w:szCs w:val="20"/>
        </w:rPr>
        <w:t>snai2</w:t>
      </w:r>
      <w:r>
        <w:rPr>
          <w:rFonts w:ascii="Times New Roman" w:hAnsi="Times New Roman" w:cs="Times New Roman"/>
          <w:sz w:val="20"/>
          <w:szCs w:val="20"/>
        </w:rPr>
        <w:t>-knockout zebrafish.</w:t>
      </w:r>
      <w:r>
        <w:rPr>
          <w:rFonts w:ascii="Times New Roman" w:hAnsi="Times New Roman" w:cs="Times New Roman"/>
          <w:b/>
          <w:bCs/>
          <w:sz w:val="20"/>
          <w:szCs w:val="20"/>
        </w:rPr>
        <w:t xml:space="preserve"> </w:t>
      </w:r>
      <w:r>
        <w:rPr>
          <w:rFonts w:ascii="Times New Roman" w:hAnsi="Times New Roman" w:cs="Times New Roman"/>
          <w:sz w:val="20"/>
          <w:szCs w:val="20"/>
        </w:rPr>
        <w:t xml:space="preserve">(A) </w:t>
      </w:r>
      <w:r>
        <w:rPr>
          <w:rFonts w:ascii="Times New Roman" w:hAnsi="Times New Roman"/>
          <w:color w:val="000000"/>
          <w:sz w:val="20"/>
          <w:szCs w:val="20"/>
        </w:rPr>
        <w:t xml:space="preserve">Appearance of </w:t>
      </w:r>
      <w:r>
        <w:rPr>
          <w:rFonts w:ascii="Times New Roman" w:hAnsi="Times New Roman"/>
          <w:i/>
          <w:iCs/>
          <w:color w:val="000000"/>
          <w:sz w:val="20"/>
          <w:szCs w:val="20"/>
        </w:rPr>
        <w:t>snai2</w:t>
      </w:r>
      <w:r>
        <w:rPr>
          <w:rFonts w:ascii="Times New Roman" w:hAnsi="Times New Roman"/>
          <w:color w:val="000000"/>
          <w:sz w:val="20"/>
          <w:szCs w:val="20"/>
        </w:rPr>
        <w:t xml:space="preserve">-knockout larvae and un-injection siblings as control (5 dpf). (B) </w:t>
      </w:r>
      <w:r>
        <w:rPr>
          <w:rFonts w:ascii="Times New Roman" w:hAnsi="Times New Roman"/>
          <w:color w:val="000000" w:themeColor="text1"/>
          <w:sz w:val="20"/>
          <w:szCs w:val="20"/>
          <w14:textFill>
            <w14:solidFill>
              <w14:schemeClr w14:val="tx1"/>
            </w14:solidFill>
          </w14:textFill>
        </w:rPr>
        <w:t>T</w:t>
      </w:r>
      <w:r>
        <w:rPr>
          <w:rFonts w:ascii="Times New Roman" w:hAnsi="Times New Roman"/>
          <w:sz w:val="20"/>
          <w:szCs w:val="20"/>
        </w:rPr>
        <w:t xml:space="preserve">he relative mRNA expression of </w:t>
      </w:r>
      <w:r>
        <w:rPr>
          <w:rFonts w:ascii="Times New Roman" w:hAnsi="Times New Roman"/>
          <w:i/>
          <w:iCs/>
          <w:sz w:val="20"/>
          <w:szCs w:val="20"/>
        </w:rPr>
        <w:t>snai2</w:t>
      </w:r>
      <w:r>
        <w:rPr>
          <w:rFonts w:ascii="Times New Roman" w:hAnsi="Times New Roman"/>
          <w:sz w:val="20"/>
          <w:szCs w:val="20"/>
        </w:rPr>
        <w:t xml:space="preserve"> in </w:t>
      </w:r>
      <w:r>
        <w:rPr>
          <w:rFonts w:ascii="Times New Roman" w:hAnsi="Times New Roman"/>
          <w:i/>
          <w:iCs/>
          <w:color w:val="000000"/>
          <w:sz w:val="20"/>
          <w:szCs w:val="20"/>
        </w:rPr>
        <w:t>snai2</w:t>
      </w:r>
      <w:r>
        <w:rPr>
          <w:rFonts w:ascii="Times New Roman" w:hAnsi="Times New Roman"/>
          <w:color w:val="000000"/>
          <w:sz w:val="20"/>
          <w:szCs w:val="20"/>
        </w:rPr>
        <w:t>-knockout zebrafish and control (5 dpf) were analyzed by qPCR.</w:t>
      </w:r>
      <w:r>
        <w:rPr>
          <w:rStyle w:val="4"/>
          <w:rFonts w:ascii="Times New Roman" w:hAnsi="Times New Roman"/>
        </w:rPr>
        <w:t xml:space="preserve"> </w:t>
      </w:r>
      <w:r>
        <w:rPr>
          <w:rFonts w:ascii="Times New Roman" w:hAnsi="Times New Roman"/>
          <w:sz w:val="20"/>
          <w:szCs w:val="20"/>
        </w:rPr>
        <w:t>The</w:t>
      </w:r>
      <w:r>
        <w:rPr>
          <w:rFonts w:ascii="Times New Roman" w:hAnsi="Times New Roman"/>
          <w:color w:val="000000"/>
          <w:sz w:val="20"/>
          <w:szCs w:val="20"/>
        </w:rPr>
        <w:t xml:space="preserve"> control group was set to 1.0, </w:t>
      </w:r>
      <w:r>
        <w:rPr>
          <w:rStyle w:val="4"/>
          <w:rFonts w:ascii="Times New Roman" w:hAnsi="Times New Roman"/>
        </w:rPr>
        <w:t>*</w:t>
      </w:r>
      <w:r>
        <w:rPr>
          <w:rStyle w:val="5"/>
          <w:rFonts w:ascii="Times New Roman" w:hAnsi="Times New Roman"/>
          <w:sz w:val="20"/>
          <w:szCs w:val="20"/>
        </w:rPr>
        <w:t xml:space="preserve">P </w:t>
      </w:r>
      <w:r>
        <w:rPr>
          <w:rStyle w:val="4"/>
          <w:rFonts w:ascii="Times New Roman" w:hAnsi="Times New Roman"/>
        </w:rPr>
        <w:t>&lt; 0.05 versus</w:t>
      </w:r>
      <w:r>
        <w:rPr>
          <w:rFonts w:ascii="Times New Roman" w:hAnsi="Times New Roman"/>
          <w:color w:val="000000"/>
          <w:sz w:val="20"/>
          <w:szCs w:val="20"/>
        </w:rPr>
        <w:t xml:space="preserve"> </w:t>
      </w:r>
      <w:r>
        <w:rPr>
          <w:rStyle w:val="4"/>
          <w:rFonts w:ascii="Times New Roman" w:hAnsi="Times New Roman"/>
        </w:rPr>
        <w:t>with control group</w:t>
      </w:r>
      <w:r>
        <w:rPr>
          <w:rFonts w:ascii="Times New Roman" w:hAnsi="Times New Roman"/>
          <w:sz w:val="20"/>
          <w:szCs w:val="20"/>
        </w:rPr>
        <w:t xml:space="preserve"> </w:t>
      </w:r>
      <w:r>
        <w:rPr>
          <w:rStyle w:val="4"/>
          <w:rFonts w:ascii="Times New Roman" w:hAnsi="Times New Roman"/>
        </w:rPr>
        <w:t>(n=6).</w:t>
      </w:r>
    </w:p>
    <w:p w14:paraId="4BC2AA72">
      <w:pPr>
        <w:rPr>
          <w:rStyle w:val="4"/>
          <w:rFonts w:ascii="Times New Roman" w:hAnsi="Times New Roman"/>
        </w:rPr>
      </w:pPr>
    </w:p>
    <w:p w14:paraId="1CA29303">
      <w:pPr>
        <w:rPr>
          <w:rStyle w:val="4"/>
          <w:rFonts w:ascii="Times New Roman" w:hAnsi="Times New Roman"/>
        </w:rPr>
      </w:pPr>
    </w:p>
    <w:p w14:paraId="729E9CFD">
      <w:pPr>
        <w:rPr>
          <w:rFonts w:ascii="Times New Roman" w:hAnsi="Times New Roman" w:cs="Times New Roman"/>
          <w:b/>
          <w:bCs/>
          <w:sz w:val="20"/>
          <w:szCs w:val="20"/>
        </w:rPr>
      </w:pPr>
    </w:p>
    <w:p w14:paraId="7387903F">
      <w:pPr>
        <w:rPr>
          <w:rFonts w:ascii="Times New Roman" w:hAnsi="Times New Roman" w:cs="Times New Roman"/>
          <w:b/>
          <w:bCs/>
        </w:rPr>
      </w:pPr>
    </w:p>
    <w:p w14:paraId="6F2D9040">
      <w:pPr>
        <w:rPr>
          <w:rFonts w:ascii="Times New Roman" w:hAnsi="Times New Roman" w:cs="Times New Roman"/>
          <w:b/>
          <w:bCs/>
        </w:rPr>
      </w:pPr>
    </w:p>
    <w:p w14:paraId="3F66351E">
      <w:pPr>
        <w:jc w:val="center"/>
      </w:pPr>
    </w:p>
    <w:p w14:paraId="7474AA19">
      <w:pPr>
        <w:jc w:val="center"/>
      </w:pPr>
    </w:p>
    <w:bookmarkEnd w:id="0"/>
    <w:p w14:paraId="16CAA109">
      <w:pPr>
        <w:rPr>
          <w:rFonts w:ascii="Times New Roman" w:hAnsi="Times New Roman" w:cs="Times New Roman"/>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TtrswdSTIX-Regular">
    <w:altName w:val="Times New Roman"/>
    <w:panose1 w:val="00000000000000000000"/>
    <w:charset w:val="00"/>
    <w:family w:val="roman"/>
    <w:pitch w:val="default"/>
    <w:sig w:usb0="00000000" w:usb1="00000000" w:usb2="00000000" w:usb3="00000000" w:csb0="00000000" w:csb1="00000000"/>
  </w:font>
  <w:font w:name="RlyxysSTIX-Italic">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FjNjZhZDk1NzQ3MDU0OGUwNjU5MGUwNzA0M2ZlYjQifQ=="/>
  </w:docVars>
  <w:rsids>
    <w:rsidRoot w:val="00024955"/>
    <w:rsid w:val="000025E0"/>
    <w:rsid w:val="00024955"/>
    <w:rsid w:val="00040D10"/>
    <w:rsid w:val="00040F94"/>
    <w:rsid w:val="00050022"/>
    <w:rsid w:val="000744C7"/>
    <w:rsid w:val="000918C5"/>
    <w:rsid w:val="00095471"/>
    <w:rsid w:val="000D516E"/>
    <w:rsid w:val="00115799"/>
    <w:rsid w:val="00115F0D"/>
    <w:rsid w:val="00123638"/>
    <w:rsid w:val="00125C86"/>
    <w:rsid w:val="00152F04"/>
    <w:rsid w:val="00161AA9"/>
    <w:rsid w:val="001743F3"/>
    <w:rsid w:val="0017453E"/>
    <w:rsid w:val="00187186"/>
    <w:rsid w:val="002115D3"/>
    <w:rsid w:val="002118C3"/>
    <w:rsid w:val="00223615"/>
    <w:rsid w:val="002445BB"/>
    <w:rsid w:val="002A78A9"/>
    <w:rsid w:val="002C21FE"/>
    <w:rsid w:val="002C62FE"/>
    <w:rsid w:val="002E225C"/>
    <w:rsid w:val="00317300"/>
    <w:rsid w:val="003402D1"/>
    <w:rsid w:val="003459F4"/>
    <w:rsid w:val="003568FA"/>
    <w:rsid w:val="00380E4C"/>
    <w:rsid w:val="00381B51"/>
    <w:rsid w:val="0038451E"/>
    <w:rsid w:val="00386061"/>
    <w:rsid w:val="003B5556"/>
    <w:rsid w:val="003B71EB"/>
    <w:rsid w:val="003B77C6"/>
    <w:rsid w:val="003C6BBE"/>
    <w:rsid w:val="004007C6"/>
    <w:rsid w:val="00407C93"/>
    <w:rsid w:val="00413784"/>
    <w:rsid w:val="004230D5"/>
    <w:rsid w:val="004255C8"/>
    <w:rsid w:val="004440FF"/>
    <w:rsid w:val="004524DF"/>
    <w:rsid w:val="0045282D"/>
    <w:rsid w:val="004532FB"/>
    <w:rsid w:val="004A2E4B"/>
    <w:rsid w:val="004B465B"/>
    <w:rsid w:val="004B637C"/>
    <w:rsid w:val="004B6E1C"/>
    <w:rsid w:val="004B713D"/>
    <w:rsid w:val="004C3925"/>
    <w:rsid w:val="004C517A"/>
    <w:rsid w:val="004F0793"/>
    <w:rsid w:val="004F4F1B"/>
    <w:rsid w:val="00506CB1"/>
    <w:rsid w:val="00507395"/>
    <w:rsid w:val="005133A0"/>
    <w:rsid w:val="00515917"/>
    <w:rsid w:val="00527601"/>
    <w:rsid w:val="0054081B"/>
    <w:rsid w:val="00546DE8"/>
    <w:rsid w:val="0055408C"/>
    <w:rsid w:val="00554A43"/>
    <w:rsid w:val="0057411B"/>
    <w:rsid w:val="005742A5"/>
    <w:rsid w:val="00580100"/>
    <w:rsid w:val="005934DA"/>
    <w:rsid w:val="0059378A"/>
    <w:rsid w:val="005C38CF"/>
    <w:rsid w:val="005E1C90"/>
    <w:rsid w:val="005E27E3"/>
    <w:rsid w:val="00615025"/>
    <w:rsid w:val="00646881"/>
    <w:rsid w:val="0065674C"/>
    <w:rsid w:val="00657DB4"/>
    <w:rsid w:val="00697DE9"/>
    <w:rsid w:val="006A12E2"/>
    <w:rsid w:val="006B26F1"/>
    <w:rsid w:val="006D489F"/>
    <w:rsid w:val="00704ABB"/>
    <w:rsid w:val="007078B3"/>
    <w:rsid w:val="007210D9"/>
    <w:rsid w:val="00742ED9"/>
    <w:rsid w:val="0074435A"/>
    <w:rsid w:val="00750560"/>
    <w:rsid w:val="00755B70"/>
    <w:rsid w:val="00764D4A"/>
    <w:rsid w:val="00775D83"/>
    <w:rsid w:val="007A45DD"/>
    <w:rsid w:val="007C1C1C"/>
    <w:rsid w:val="007D3EA7"/>
    <w:rsid w:val="007E54F5"/>
    <w:rsid w:val="007F2E8A"/>
    <w:rsid w:val="00803F38"/>
    <w:rsid w:val="00813EC3"/>
    <w:rsid w:val="00815C25"/>
    <w:rsid w:val="008274AE"/>
    <w:rsid w:val="008309C5"/>
    <w:rsid w:val="0083261F"/>
    <w:rsid w:val="008443F5"/>
    <w:rsid w:val="00847350"/>
    <w:rsid w:val="00855A82"/>
    <w:rsid w:val="008616B3"/>
    <w:rsid w:val="00866387"/>
    <w:rsid w:val="008A5616"/>
    <w:rsid w:val="008A7863"/>
    <w:rsid w:val="008B75C3"/>
    <w:rsid w:val="00902B09"/>
    <w:rsid w:val="00903C65"/>
    <w:rsid w:val="009051D5"/>
    <w:rsid w:val="00915AE0"/>
    <w:rsid w:val="0096473F"/>
    <w:rsid w:val="00966AAF"/>
    <w:rsid w:val="00970DD0"/>
    <w:rsid w:val="009903AD"/>
    <w:rsid w:val="009A6288"/>
    <w:rsid w:val="009D2666"/>
    <w:rsid w:val="00A00EC4"/>
    <w:rsid w:val="00A051D1"/>
    <w:rsid w:val="00A203F8"/>
    <w:rsid w:val="00A275C7"/>
    <w:rsid w:val="00A46ADB"/>
    <w:rsid w:val="00A745F0"/>
    <w:rsid w:val="00A74D45"/>
    <w:rsid w:val="00A856D3"/>
    <w:rsid w:val="00A9496E"/>
    <w:rsid w:val="00AA3CCF"/>
    <w:rsid w:val="00AA4176"/>
    <w:rsid w:val="00AB6B23"/>
    <w:rsid w:val="00AC3CE6"/>
    <w:rsid w:val="00AC5D9A"/>
    <w:rsid w:val="00AC7F1B"/>
    <w:rsid w:val="00AD23E1"/>
    <w:rsid w:val="00AD4253"/>
    <w:rsid w:val="00AE7310"/>
    <w:rsid w:val="00AF407F"/>
    <w:rsid w:val="00AF7528"/>
    <w:rsid w:val="00B32334"/>
    <w:rsid w:val="00B45A31"/>
    <w:rsid w:val="00B629E6"/>
    <w:rsid w:val="00B742E2"/>
    <w:rsid w:val="00B80C9F"/>
    <w:rsid w:val="00B8435E"/>
    <w:rsid w:val="00B977C3"/>
    <w:rsid w:val="00BA042F"/>
    <w:rsid w:val="00BB1D2A"/>
    <w:rsid w:val="00BC59A5"/>
    <w:rsid w:val="00BD0532"/>
    <w:rsid w:val="00BE77B2"/>
    <w:rsid w:val="00BE785F"/>
    <w:rsid w:val="00C00FAA"/>
    <w:rsid w:val="00C24007"/>
    <w:rsid w:val="00C302FF"/>
    <w:rsid w:val="00C417C6"/>
    <w:rsid w:val="00C42C9D"/>
    <w:rsid w:val="00C513F9"/>
    <w:rsid w:val="00C57C78"/>
    <w:rsid w:val="00C6176C"/>
    <w:rsid w:val="00C95DB2"/>
    <w:rsid w:val="00CB2D42"/>
    <w:rsid w:val="00CF514D"/>
    <w:rsid w:val="00D04120"/>
    <w:rsid w:val="00D1330E"/>
    <w:rsid w:val="00D159A5"/>
    <w:rsid w:val="00D43B56"/>
    <w:rsid w:val="00D804C9"/>
    <w:rsid w:val="00D9274B"/>
    <w:rsid w:val="00D96953"/>
    <w:rsid w:val="00DA3788"/>
    <w:rsid w:val="00DA5FBC"/>
    <w:rsid w:val="00DB0DC5"/>
    <w:rsid w:val="00DB7AEA"/>
    <w:rsid w:val="00DC740D"/>
    <w:rsid w:val="00DD644E"/>
    <w:rsid w:val="00DD73F0"/>
    <w:rsid w:val="00DE79A9"/>
    <w:rsid w:val="00DF1F6A"/>
    <w:rsid w:val="00E02AB9"/>
    <w:rsid w:val="00E114EE"/>
    <w:rsid w:val="00E30104"/>
    <w:rsid w:val="00E83726"/>
    <w:rsid w:val="00E90F26"/>
    <w:rsid w:val="00E93257"/>
    <w:rsid w:val="00EA1252"/>
    <w:rsid w:val="00EB3527"/>
    <w:rsid w:val="00EB7981"/>
    <w:rsid w:val="00EB7F51"/>
    <w:rsid w:val="00ED1FB8"/>
    <w:rsid w:val="00ED6996"/>
    <w:rsid w:val="00F20949"/>
    <w:rsid w:val="00F53D81"/>
    <w:rsid w:val="00F644F1"/>
    <w:rsid w:val="00F83180"/>
    <w:rsid w:val="00FA5E64"/>
    <w:rsid w:val="00FD22D7"/>
    <w:rsid w:val="00FD6F37"/>
    <w:rsid w:val="00FE11DB"/>
    <w:rsid w:val="00FE75C5"/>
    <w:rsid w:val="0A0C5791"/>
    <w:rsid w:val="27EC60E8"/>
    <w:rsid w:val="47AD3F18"/>
    <w:rsid w:val="73DB3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kern w:val="2"/>
      <w:sz w:val="22"/>
      <w:szCs w:val="22"/>
      <w:lang w:val="en-US" w:eastAsia="zh-CN" w:bidi="ar-SA"/>
      <w14:ligatures w14:val="standardContextual"/>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customStyle="1" w:styleId="4">
    <w:name w:val="fontstyle01"/>
    <w:basedOn w:val="3"/>
    <w:autoRedefine/>
    <w:qFormat/>
    <w:uiPriority w:val="0"/>
    <w:rPr>
      <w:rFonts w:hint="default" w:ascii="TtrswdSTIX-Regular" w:hAnsi="TtrswdSTIX-Regular"/>
      <w:color w:val="000000"/>
      <w:sz w:val="20"/>
      <w:szCs w:val="20"/>
    </w:rPr>
  </w:style>
  <w:style w:type="character" w:customStyle="1" w:styleId="5">
    <w:name w:val="fontstyle21"/>
    <w:basedOn w:val="3"/>
    <w:autoRedefine/>
    <w:qFormat/>
    <w:uiPriority w:val="0"/>
    <w:rPr>
      <w:rFonts w:hint="default" w:ascii="RlyxysSTIX-Italic" w:hAnsi="RlyxysSTIX-Italic"/>
      <w:i/>
      <w:iCs/>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E6B87-5B74-4BD4-8FAE-F9652AA37BC7}">
  <ds:schemaRefs/>
</ds:datastoreItem>
</file>

<file path=docProps/app.xml><?xml version="1.0" encoding="utf-8"?>
<Properties xmlns="http://schemas.openxmlformats.org/officeDocument/2006/extended-properties" xmlns:vt="http://schemas.openxmlformats.org/officeDocument/2006/docPropsVTypes">
  <Template>Normal.dotm</Template>
  <Pages>7</Pages>
  <Words>439</Words>
  <Characters>2369</Characters>
  <Lines>19</Lines>
  <Paragraphs>5</Paragraphs>
  <TotalTime>3</TotalTime>
  <ScaleCrop>false</ScaleCrop>
  <LinksUpToDate>false</LinksUpToDate>
  <CharactersWithSpaces>2790</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2023-12-10T07:38:00Z</dcterms:created>
  <dc:creator>Yunjia Wang</dc:creator>
  <cp:lastModifiedBy>Yunjia</cp:lastModifiedBy>
  <dcterms:modified xsi:type="dcterms:W3CDTF">2024-07-27T07:35:09Z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D067C6D3F6CC4260851FBCBB5071B3A6_12</vt:lpwstr>
  </property>
</Properties>
</file>