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2AE3E" w14:textId="77777777" w:rsidR="00BF6D7D" w:rsidRPr="00936FD0" w:rsidRDefault="00BC12E8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936FD0">
        <w:rPr>
          <w:rFonts w:ascii="Times New Roman" w:hAnsi="Times New Roman" w:cs="Times New Roman"/>
          <w:b/>
          <w:sz w:val="28"/>
          <w:szCs w:val="28"/>
        </w:rPr>
        <w:t>Supporting figure legends</w:t>
      </w:r>
    </w:p>
    <w:p w14:paraId="67332503" w14:textId="77777777" w:rsidR="00BF6D7D" w:rsidRDefault="00BC12E8">
      <w:pPr>
        <w:widowControl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</w:rPr>
        <w:t xml:space="preserve">Synthesis and </w:t>
      </w:r>
      <w:r>
        <w:rPr>
          <w:rFonts w:ascii="Times New Roman" w:eastAsia="宋体" w:hAnsi="Times New Roman" w:cs="Times New Roman"/>
          <w:b/>
          <w:bCs/>
          <w:sz w:val="24"/>
        </w:rPr>
        <w:t>c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>haracterization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of </w:t>
      </w:r>
      <w:r>
        <w:rPr>
          <w:rFonts w:ascii="Times New Roman" w:hAnsi="Times New Roman" w:cs="Times New Roman"/>
          <w:b/>
          <w:bCs/>
          <w:sz w:val="24"/>
        </w:rPr>
        <w:t>polymetronidazole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formation of polymetronidazole was confirmed by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H NMR which revealed all of the characteristic peaks and integration values. </w:t>
      </w:r>
    </w:p>
    <w:p w14:paraId="301FCF8A" w14:textId="77777777" w:rsidR="00BF6D7D" w:rsidRDefault="00BF6D7D">
      <w:pPr>
        <w:rPr>
          <w:rFonts w:ascii="Times New Roman" w:hAnsi="Times New Roman" w:cs="Times New Roman"/>
          <w:sz w:val="24"/>
        </w:rPr>
      </w:pPr>
    </w:p>
    <w:p w14:paraId="4F69A6BE" w14:textId="59E76832" w:rsidR="00BF6D7D" w:rsidRDefault="00BC12E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</w:t>
      </w:r>
      <w:r>
        <w:rPr>
          <w:rFonts w:ascii="Times New Roman" w:eastAsia="宋体" w:hAnsi="Times New Roman" w:cs="Times New Roman"/>
          <w:b/>
          <w:bCs/>
          <w:sz w:val="24"/>
        </w:rPr>
        <w:t>2. C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>haracterization of AMVY@NPs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A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.</w:t>
      </w:r>
      <w:r w:rsidR="006460AE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Chemical structure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/>
          <w:sz w:val="24"/>
        </w:rPr>
        <w:t>of VP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B.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PDI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of AM@NPs, AMY@NPs, AMV@NPs, APVY@NPs and AMVY@NPs.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C.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TEM images of AM@NPs, AMY@NPs, AMV@NPs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and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APVY@NPs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(Scale bare: 100 nm).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D.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Zeta potential of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AM@NPs, AMY@NPs, AMV@NPs, APVY@NPs and AMVY@NPs.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E. 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>oncentration-absorbance curve of VP</w:t>
      </w:r>
      <w:r>
        <w:rPr>
          <w:rFonts w:ascii="Times New Roman" w:hAnsi="Times New Roman" w:cs="Times New Roman" w:hint="eastAsia"/>
          <w:sz w:val="24"/>
        </w:rPr>
        <w:t>.</w:t>
      </w:r>
    </w:p>
    <w:p w14:paraId="232E970D" w14:textId="77777777" w:rsidR="00BF6D7D" w:rsidRDefault="00BF6D7D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4D6580E6" w14:textId="276562AC" w:rsidR="00BF6D7D" w:rsidRDefault="00BC12E8">
      <w:pPr>
        <w:spacing w:line="360" w:lineRule="auto"/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</w:t>
      </w:r>
      <w:r>
        <w:rPr>
          <w:rFonts w:ascii="Times New Roman" w:eastAsia="宋体" w:hAnsi="Times New Roman" w:cs="Times New Roman"/>
          <w:b/>
          <w:bCs/>
          <w:sz w:val="24"/>
        </w:rPr>
        <w:t>3. The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uptaken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capacity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of AMVY@NPs on glioma cells </w:t>
      </w:r>
      <w:r>
        <w:rPr>
          <w:rFonts w:ascii="Times New Roman" w:eastAsia="宋体" w:hAnsi="Times New Roman" w:cs="Times New Roman"/>
          <w:b/>
          <w:bCs/>
          <w:i/>
          <w:sz w:val="24"/>
        </w:rPr>
        <w:t>in vitro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 xml:space="preserve">A.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Cytotoxicity of AP@NPs and AM@NPs (empty nanoparticles) on HA1800, U87, U251 and GBM cells (n = 3). </w:t>
      </w:r>
      <w:r>
        <w:rPr>
          <w:rFonts w:ascii="Times New Roman" w:eastAsia="AdvOT3d287b35 . B" w:hAnsi="Times New Roman" w:cs="Times New Roman" w:hint="eastAsia"/>
          <w:b/>
          <w:bCs/>
          <w:color w:val="000000"/>
          <w:kern w:val="0"/>
          <w:sz w:val="24"/>
          <w:lang w:bidi="ar"/>
        </w:rPr>
        <w:t>B&amp;C.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The </w:t>
      </w:r>
      <w:r w:rsidR="006460AE"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representative images showing the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uptaken capacity</w:t>
      </w:r>
      <w:r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="002C1494"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of </w:t>
      </w:r>
      <w:r w:rsidR="002C1494"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free siYAP, MCy5-siYAP@NPs and AMCy5-siYAP@NPs</w:t>
      </w:r>
      <w:r w:rsidR="002C1494"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 in U87 cells</w:t>
      </w:r>
      <w:r w:rsidR="002C1494" w:rsidDel="006460AE"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(B)</w:t>
      </w:r>
      <w:r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 and t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he </w:t>
      </w:r>
      <w:r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ratio of Cy5 positive cell </w:t>
      </w:r>
      <w:r w:rsidR="002C1494"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quantification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(C)</w:t>
      </w:r>
      <w:r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. </w:t>
      </w:r>
      <w:r>
        <w:rPr>
          <w:rFonts w:ascii="Times New Roman" w:eastAsia="AdvOT3d287b35 . B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D&amp;E.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The mRNA levels of YAP in U87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(D)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and U251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(E)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cells were assessed by real-time PCR after different treatment</w:t>
      </w:r>
      <w:r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 in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n</w:t>
      </w:r>
      <w:r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>ormoxia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Data were presented as mean ± SD, n = 3.</w:t>
      </w:r>
      <w:r>
        <w:rPr>
          <w:rFonts w:ascii="Times New Roman" w:eastAsia="AdvOT3d287b35 . B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P values were performed by One-way ANOVA with Dunnett’s t-test for post hoc pairwise comparison. * P &lt; 0.05; ** P &lt; 0.01; *** P &lt; 0.001</w:t>
      </w:r>
    </w:p>
    <w:p w14:paraId="4A0ED3B7" w14:textId="77777777" w:rsidR="00BF6D7D" w:rsidRDefault="00BF6D7D">
      <w:pPr>
        <w:widowControl/>
        <w:spacing w:line="360" w:lineRule="auto"/>
        <w:rPr>
          <w:rFonts w:ascii="宋体" w:eastAsia="宋体" w:hAnsi="宋体" w:cs="宋体" w:hint="eastAsia"/>
          <w:color w:val="000000"/>
          <w:kern w:val="0"/>
          <w:sz w:val="24"/>
          <w:lang w:bidi="ar"/>
        </w:rPr>
      </w:pPr>
    </w:p>
    <w:p w14:paraId="79F058C8" w14:textId="77777777" w:rsidR="00BF6D7D" w:rsidRDefault="00BC12E8">
      <w:pPr>
        <w:widowControl/>
        <w:spacing w:line="360" w:lineRule="auto"/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</w:t>
      </w:r>
      <w:r>
        <w:rPr>
          <w:rFonts w:ascii="Times New Roman" w:eastAsia="宋体" w:hAnsi="Times New Roman" w:cs="Times New Roman"/>
          <w:b/>
          <w:bCs/>
          <w:sz w:val="24"/>
        </w:rPr>
        <w:t>4. T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 xml:space="preserve">he therapeutic efficacy of AMVY@NPs on glioma cells </w:t>
      </w:r>
      <w:r>
        <w:rPr>
          <w:rFonts w:ascii="Times New Roman" w:eastAsia="AdvOT3d287b35 . B" w:hAnsi="Times New Roman" w:cs="Times New Roman"/>
          <w:b/>
          <w:bCs/>
          <w:i/>
          <w:color w:val="000000"/>
          <w:kern w:val="0"/>
          <w:sz w:val="24"/>
          <w:lang w:bidi="ar"/>
        </w:rPr>
        <w:t>in vitro</w:t>
      </w:r>
      <w:r>
        <w:rPr>
          <w:rFonts w:ascii="Times New Roman" w:eastAsia="宋体" w:hAnsi="Times New Roman" w:cs="Times New Roman" w:hint="eastAsia"/>
          <w:b/>
          <w:bCs/>
          <w:i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iCs/>
          <w:color w:val="000000"/>
          <w:kern w:val="0"/>
          <w:sz w:val="24"/>
          <w:lang w:bidi="ar"/>
        </w:rPr>
        <w:t>A&amp;B.</w:t>
      </w:r>
      <w:r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iCs/>
          <w:color w:val="000000"/>
          <w:kern w:val="0"/>
          <w:sz w:val="24"/>
          <w:lang w:bidi="ar"/>
        </w:rPr>
        <w:t>T</w:t>
      </w:r>
      <w:r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lang w:bidi="ar"/>
        </w:rPr>
        <w:t>he</w:t>
      </w:r>
      <w:r>
        <w:rPr>
          <w:rFonts w:ascii="Times New Roman" w:eastAsia="宋体" w:hAnsi="Times New Roman" w:cs="Times New Roman"/>
          <w:iCs/>
          <w:color w:val="000000"/>
          <w:kern w:val="0"/>
          <w:sz w:val="24"/>
          <w:lang w:bidi="ar"/>
        </w:rPr>
        <w:t xml:space="preserve"> representative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i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mages</w:t>
      </w:r>
      <w:r>
        <w:rPr>
          <w:rFonts w:ascii="Times New Roman" w:eastAsia="宋体" w:hAnsi="Times New Roman" w:cs="Times New Roman"/>
          <w:i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iCs/>
          <w:color w:val="000000"/>
          <w:kern w:val="0"/>
          <w:sz w:val="24"/>
          <w:lang w:bidi="ar"/>
        </w:rPr>
        <w:t>of</w:t>
      </w:r>
      <w:r>
        <w:rPr>
          <w:rFonts w:ascii="Times New Roman" w:eastAsia="宋体" w:hAnsi="Times New Roman" w:cs="Times New Roman"/>
          <w:i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cratch assay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(A)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in U251 cells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after different treatments and quantitative analysis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(B).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C.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I</w:t>
      </w:r>
      <w:r>
        <w:rPr>
          <w:rFonts w:ascii="Times New Roman" w:hAnsi="Times New Roman" w:cs="Times New Roman"/>
          <w:sz w:val="24"/>
        </w:rPr>
        <w:t>dentif</w:t>
      </w:r>
      <w:r>
        <w:rPr>
          <w:rFonts w:ascii="Times New Roman" w:hAnsi="Times New Roman" w:cs="Times New Roman" w:hint="eastAsia"/>
          <w:sz w:val="24"/>
        </w:rPr>
        <w:t>ication of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</w:t>
      </w:r>
      <w:r>
        <w:rPr>
          <w:rFonts w:ascii="Times New Roman" w:hAnsi="Times New Roman" w:cs="Times New Roman"/>
          <w:sz w:val="24"/>
        </w:rPr>
        <w:t>SCs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by </w:t>
      </w:r>
      <w:r>
        <w:rPr>
          <w:rFonts w:ascii="Times New Roman" w:hAnsi="Times New Roman" w:cs="Times New Roman" w:hint="eastAsia"/>
          <w:sz w:val="24"/>
        </w:rPr>
        <w:t>co-staining n</w:t>
      </w:r>
      <w:r>
        <w:rPr>
          <w:rFonts w:ascii="Times New Roman" w:hAnsi="Times New Roman" w:cs="Times New Roman"/>
          <w:sz w:val="24"/>
        </w:rPr>
        <w:t xml:space="preserve">estin </w:t>
      </w:r>
      <w:r>
        <w:rPr>
          <w:rFonts w:ascii="Times New Roman" w:hAnsi="Times New Roman" w:cs="Times New Roman" w:hint="eastAsia"/>
          <w:sz w:val="24"/>
        </w:rPr>
        <w:t>(green)</w:t>
      </w:r>
      <w:r>
        <w:rPr>
          <w:rFonts w:ascii="Times New Roman" w:hAnsi="Times New Roman" w:cs="Times New Roman"/>
          <w:sz w:val="24"/>
        </w:rPr>
        <w:t xml:space="preserve"> and CD133 </w:t>
      </w:r>
      <w:r>
        <w:rPr>
          <w:rFonts w:ascii="Times New Roman" w:hAnsi="Times New Roman" w:cs="Times New Roman" w:hint="eastAsia"/>
          <w:sz w:val="24"/>
        </w:rPr>
        <w:t xml:space="preserve">(red).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Data were presented as mean ± SD, n = 3.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P values were performed by </w:t>
      </w:r>
      <w:r>
        <w:rPr>
          <w:rFonts w:ascii="Times New Roman" w:hAnsi="Times New Roman" w:cs="Times New Roman"/>
          <w:sz w:val="24"/>
          <w:lang w:bidi="ar"/>
        </w:rPr>
        <w:t xml:space="preserve">One-way ANOVA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with Dunnett’s t-test for post hoc pairwise comparison. * </w:t>
      </w:r>
      <w:r>
        <w:rPr>
          <w:rFonts w:ascii="Times New Roman" w:eastAsia="AdvOT3d287b35 . B" w:hAnsi="Times New Roman" w:cs="Times New Roman"/>
          <w:i/>
          <w:color w:val="000000"/>
          <w:kern w:val="0"/>
          <w:sz w:val="24"/>
          <w:lang w:bidi="ar"/>
        </w:rPr>
        <w:t>P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&lt; 0.05; ** </w:t>
      </w:r>
      <w:r>
        <w:rPr>
          <w:rFonts w:ascii="Times New Roman" w:eastAsia="AdvOT3d287b35 . B" w:hAnsi="Times New Roman" w:cs="Times New Roman"/>
          <w:i/>
          <w:color w:val="000000"/>
          <w:kern w:val="0"/>
          <w:sz w:val="24"/>
          <w:lang w:bidi="ar"/>
        </w:rPr>
        <w:t>P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&lt; 0.01; *** </w:t>
      </w:r>
      <w:r>
        <w:rPr>
          <w:rFonts w:ascii="Times New Roman" w:eastAsia="AdvOT3d287b35 . B" w:hAnsi="Times New Roman" w:cs="Times New Roman"/>
          <w:i/>
          <w:color w:val="000000"/>
          <w:kern w:val="0"/>
          <w:sz w:val="24"/>
          <w:lang w:bidi="ar"/>
        </w:rPr>
        <w:t>P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&lt; 0.001</w:t>
      </w:r>
    </w:p>
    <w:p w14:paraId="148AF0DD" w14:textId="77777777" w:rsidR="00BF6D7D" w:rsidRDefault="00BF6D7D">
      <w:pPr>
        <w:spacing w:line="360" w:lineRule="auto"/>
        <w:rPr>
          <w:rFonts w:ascii="Times New Roman" w:hAnsi="Times New Roman" w:cs="Times New Roman"/>
          <w:sz w:val="24"/>
        </w:rPr>
      </w:pPr>
    </w:p>
    <w:p w14:paraId="3146F9AB" w14:textId="77777777" w:rsidR="00BF6D7D" w:rsidRDefault="00BC12E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Figure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S</w:t>
      </w:r>
      <w:r>
        <w:rPr>
          <w:rFonts w:ascii="Times New Roman" w:eastAsia="宋体" w:hAnsi="Times New Roman" w:cs="Times New Roman"/>
          <w:b/>
          <w:bCs/>
          <w:sz w:val="24"/>
        </w:rPr>
        <w:t>5.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Characterization of AMCy5-siYAP@NPs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A.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Hydrodynamic diameter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of AMCy5-siYAP@NPs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. 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>B.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 xml:space="preserve"> TEM image of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AMCy5-siYAP@NPs</w:t>
      </w:r>
      <w:r>
        <w:rPr>
          <w:rFonts w:ascii="Times New Roman" w:eastAsia="AdvOT3d287b35 . B" w:hAnsi="Times New Roman" w:cs="Times New Roman"/>
          <w:color w:val="000000"/>
          <w:kern w:val="0"/>
          <w:sz w:val="24"/>
          <w:lang w:bidi="ar"/>
        </w:rPr>
        <w:t>. Scale bare: 100 nm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lastRenderedPageBreak/>
        <w:t xml:space="preserve">C. </w:t>
      </w:r>
      <w:r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eastAsia="宋体" w:hAnsi="Times New Roman" w:cs="Times New Roman" w:hint="eastAsia"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>oncentration-fluorescence</w:t>
      </w:r>
      <w:r>
        <w:rPr>
          <w:rFonts w:ascii="Times New Roman" w:hAnsi="Times New Roman" w:cs="Times New Roman"/>
          <w:sz w:val="24"/>
        </w:rPr>
        <w:t xml:space="preserve"> curve of </w:t>
      </w:r>
      <w:r>
        <w:rPr>
          <w:rFonts w:ascii="Times New Roman" w:hAnsi="Times New Roman" w:cs="Times New Roman" w:hint="eastAsia"/>
          <w:sz w:val="24"/>
        </w:rPr>
        <w:t>Cy5-siYAP was detected by</w:t>
      </w:r>
      <w:r>
        <w:rPr>
          <w:rFonts w:ascii="Times New Roman" w:hAnsi="Times New Roman" w:cs="Times New Roman"/>
          <w:sz w:val="24"/>
        </w:rPr>
        <w:t xml:space="preserve"> multifunctional microplate reader</w:t>
      </w:r>
      <w:r>
        <w:rPr>
          <w:rFonts w:ascii="Times New Roman" w:hAnsi="Times New Roman" w:cs="Times New Roman" w:hint="eastAsia"/>
          <w:sz w:val="24"/>
        </w:rPr>
        <w:t xml:space="preserve">. </w:t>
      </w:r>
    </w:p>
    <w:p w14:paraId="0AE4F57C" w14:textId="77777777" w:rsidR="00BF6D7D" w:rsidRDefault="00BF6D7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CAA39CB" w14:textId="77777777" w:rsidR="00BF6D7D" w:rsidRDefault="00BC12E8">
      <w:pPr>
        <w:spacing w:line="360" w:lineRule="auto"/>
      </w:pP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S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>6. The anti-tumor effect of AMVY@NPs on orthotopic U87-luc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vertAlign w:val="superscript"/>
          <w:lang w:bidi="ar"/>
        </w:rPr>
        <w:t>+</w:t>
      </w:r>
      <w:r>
        <w:rPr>
          <w:rFonts w:ascii="Times New Roman" w:eastAsia="AdvOT3d287b35 . B" w:hAnsi="Times New Roman" w:cs="Times New Roman"/>
          <w:b/>
          <w:bCs/>
          <w:color w:val="000000"/>
          <w:kern w:val="0"/>
          <w:sz w:val="24"/>
          <w:lang w:bidi="ar"/>
        </w:rPr>
        <w:t xml:space="preserve"> gliomas </w:t>
      </w:r>
      <w:r>
        <w:rPr>
          <w:rFonts w:ascii="Times New Roman" w:eastAsia="AdvOT3d287b35 . B" w:hAnsi="Times New Roman" w:cs="Times New Roman"/>
          <w:b/>
          <w:bCs/>
          <w:i/>
          <w:color w:val="000000"/>
          <w:kern w:val="0"/>
          <w:sz w:val="24"/>
          <w:lang w:bidi="ar"/>
        </w:rPr>
        <w:t>in vivo</w:t>
      </w:r>
      <w:r>
        <w:rPr>
          <w:rFonts w:ascii="Times New Roman" w:eastAsia="宋体" w:hAnsi="Times New Roman" w:cs="Times New Roman" w:hint="eastAsia"/>
          <w:b/>
          <w:bCs/>
          <w:i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bCs/>
          <w:iCs/>
          <w:color w:val="000000" w:themeColor="text1"/>
          <w:kern w:val="0"/>
          <w:sz w:val="24"/>
          <w:lang w:bidi="ar"/>
        </w:rPr>
        <w:t xml:space="preserve">A. </w:t>
      </w:r>
      <w:r>
        <w:rPr>
          <w:rFonts w:ascii="Times New Roman" w:eastAsia="Verdana" w:hAnsi="Times New Roman" w:cs="Times New Roman"/>
          <w:color w:val="000000" w:themeColor="text1"/>
          <w:sz w:val="24"/>
          <w:shd w:val="clear" w:color="auto" w:fill="FFFFFF"/>
        </w:rPr>
        <w:t xml:space="preserve">Hypoxic condition in the xenograft environment </w:t>
      </w:r>
      <w:r>
        <w:rPr>
          <w:rFonts w:ascii="Times New Roman" w:eastAsia="Verdana" w:hAnsi="Times New Roman" w:cs="Times New Roman" w:hint="eastAsia"/>
          <w:color w:val="000000" w:themeColor="text1"/>
          <w:sz w:val="24"/>
          <w:shd w:val="clear" w:color="auto" w:fill="FFFFFF"/>
        </w:rPr>
        <w:t>was</w:t>
      </w:r>
      <w:r>
        <w:rPr>
          <w:rStyle w:val="fontstyle01"/>
          <w:rFonts w:ascii="Times New Roman" w:hAnsi="Times New Roman"/>
          <w:bCs/>
          <w:color w:val="000000" w:themeColor="text1"/>
        </w:rPr>
        <w:t xml:space="preserve"> detected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by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Style w:val="fontstyle01"/>
          <w:rFonts w:ascii="Times New Roman" w:hAnsi="Times New Roman"/>
          <w:bCs/>
          <w:color w:val="000000" w:themeColor="text1"/>
        </w:rPr>
        <w:t xml:space="preserve">using </w:t>
      </w:r>
      <w:r>
        <w:rPr>
          <w:rStyle w:val="fontstyle01"/>
          <w:rFonts w:ascii="Times New Roman" w:hAnsi="Times New Roman" w:hint="eastAsia"/>
          <w:bCs/>
          <w:color w:val="000000" w:themeColor="text1"/>
        </w:rPr>
        <w:t>Hypoxyp</w:t>
      </w:r>
      <w:r>
        <w:rPr>
          <w:rFonts w:ascii="Times New Roman" w:eastAsia="Verdana" w:hAnsi="Times New Roman" w:cs="Times New Roman" w:hint="eastAsia"/>
          <w:color w:val="000000" w:themeColor="text1"/>
          <w:sz w:val="24"/>
          <w:shd w:val="clear" w:color="auto" w:fill="FFFFFF"/>
        </w:rPr>
        <w:t>robe (</w:t>
      </w:r>
      <w:r>
        <w:rPr>
          <w:rFonts w:ascii="Times New Roman" w:eastAsia="Verdana" w:hAnsi="Times New Roman" w:cs="Times New Roman"/>
          <w:color w:val="000000" w:themeColor="text1"/>
          <w:sz w:val="24"/>
          <w:shd w:val="clear" w:color="auto" w:fill="FFFFFF"/>
        </w:rPr>
        <w:t>FITC denoted Hypoxyprobe</w:t>
      </w:r>
      <w:r>
        <w:rPr>
          <w:rFonts w:ascii="Times New Roman" w:eastAsia="Verdana" w:hAnsi="Times New Roman" w:cs="Times New Roman" w:hint="eastAsia"/>
          <w:color w:val="000000" w:themeColor="text1"/>
          <w:sz w:val="24"/>
          <w:shd w:val="clear" w:color="auto" w:fill="FFFFFF"/>
        </w:rPr>
        <w:t>).</w:t>
      </w:r>
      <w:r>
        <w:rPr>
          <w:rFonts w:ascii="Times New Roman" w:eastAsia="宋体" w:hAnsi="Times New Roman" w:cs="Times New Roman" w:hint="eastAsia"/>
          <w:b/>
          <w:bCs/>
          <w:i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iCs/>
          <w:color w:val="000000" w:themeColor="text1"/>
          <w:kern w:val="0"/>
          <w:sz w:val="24"/>
          <w:lang w:bidi="ar"/>
        </w:rPr>
        <w:t xml:space="preserve">B. </w:t>
      </w:r>
      <w:r>
        <w:rPr>
          <w:rFonts w:ascii="Times New Roman" w:eastAsia="AdvOT3d287b35 . B" w:hAnsi="Times New Roman" w:cs="Times New Roman"/>
          <w:color w:val="000000" w:themeColor="text1"/>
          <w:kern w:val="0"/>
          <w:sz w:val="24"/>
          <w:lang w:bidi="ar"/>
        </w:rPr>
        <w:t>the H&amp;E staining of the xenografts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 w:themeColor="text1"/>
          <w:kern w:val="0"/>
          <w:sz w:val="24"/>
          <w:lang w:bidi="ar"/>
        </w:rPr>
        <w:t>with different treatments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lang w:bidi="ar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C.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lang w:bidi="ar"/>
        </w:rPr>
        <w:t xml:space="preserve"> T</w:t>
      </w:r>
      <w:r>
        <w:rPr>
          <w:rFonts w:ascii="Times New Roman" w:eastAsia="AdvOT3d287b35 . B" w:hAnsi="Times New Roman" w:cs="Times New Roman"/>
          <w:color w:val="000000" w:themeColor="text1"/>
          <w:kern w:val="0"/>
          <w:sz w:val="24"/>
          <w:lang w:bidi="ar"/>
        </w:rPr>
        <w:t xml:space="preserve">he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lang w:bidi="ar"/>
        </w:rPr>
        <w:t xml:space="preserve">body </w:t>
      </w:r>
      <w:r>
        <w:rPr>
          <w:rFonts w:ascii="Times New Roman" w:eastAsia="AdvOT3d287b35 . B" w:hAnsi="Times New Roman" w:cs="Times New Roman"/>
          <w:color w:val="000000" w:themeColor="text1"/>
          <w:kern w:val="0"/>
          <w:sz w:val="24"/>
          <w:lang w:bidi="ar"/>
        </w:rPr>
        <w:t>weight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AdvOT3d287b35 . B" w:hAnsi="Times New Roman" w:cs="Times New Roman"/>
          <w:color w:val="000000" w:themeColor="text1"/>
          <w:kern w:val="0"/>
          <w:sz w:val="24"/>
          <w:lang w:bidi="ar"/>
        </w:rPr>
        <w:t>of tumor-bearing mice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</w:p>
    <w:sectPr w:rsidR="00BF6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9" w:usb3="00000000" w:csb0="000001FF" w:csb1="00000000"/>
  </w:font>
  <w:font w:name="AdvOT3d287b35 . B">
    <w:altName w:val="Segoe Print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QxYzY3YzJjYTBmYTU5Mjk3Zjg2NmZhNTRmOWJhNzQifQ=="/>
  </w:docVars>
  <w:rsids>
    <w:rsidRoot w:val="19F4706D"/>
    <w:rsid w:val="00021E29"/>
    <w:rsid w:val="00166FFB"/>
    <w:rsid w:val="00186425"/>
    <w:rsid w:val="002C1494"/>
    <w:rsid w:val="002E064A"/>
    <w:rsid w:val="002F7843"/>
    <w:rsid w:val="003A2CA1"/>
    <w:rsid w:val="003B143C"/>
    <w:rsid w:val="0044182F"/>
    <w:rsid w:val="004E0D17"/>
    <w:rsid w:val="00517BEE"/>
    <w:rsid w:val="0052296C"/>
    <w:rsid w:val="00544D65"/>
    <w:rsid w:val="00635389"/>
    <w:rsid w:val="006460AE"/>
    <w:rsid w:val="006854DA"/>
    <w:rsid w:val="0074435D"/>
    <w:rsid w:val="0085643E"/>
    <w:rsid w:val="008D2229"/>
    <w:rsid w:val="00936FD0"/>
    <w:rsid w:val="009C5C1D"/>
    <w:rsid w:val="009F1408"/>
    <w:rsid w:val="00AC12C6"/>
    <w:rsid w:val="00AD53C0"/>
    <w:rsid w:val="00AE5FE6"/>
    <w:rsid w:val="00BC12E8"/>
    <w:rsid w:val="00BF6D7D"/>
    <w:rsid w:val="00C67484"/>
    <w:rsid w:val="00C76C9F"/>
    <w:rsid w:val="00C838B1"/>
    <w:rsid w:val="00CE494A"/>
    <w:rsid w:val="00D72554"/>
    <w:rsid w:val="00D77B93"/>
    <w:rsid w:val="00DC3B42"/>
    <w:rsid w:val="00E77C7A"/>
    <w:rsid w:val="00EA1DC7"/>
    <w:rsid w:val="00EE0699"/>
    <w:rsid w:val="00F211A9"/>
    <w:rsid w:val="00F749A6"/>
    <w:rsid w:val="00FE70EA"/>
    <w:rsid w:val="0C623F53"/>
    <w:rsid w:val="12190DEE"/>
    <w:rsid w:val="19F4706D"/>
    <w:rsid w:val="2378512C"/>
    <w:rsid w:val="2FB82FE1"/>
    <w:rsid w:val="38727ABE"/>
    <w:rsid w:val="3E88780C"/>
    <w:rsid w:val="43050C4A"/>
    <w:rsid w:val="440158C2"/>
    <w:rsid w:val="4558668B"/>
    <w:rsid w:val="46E42933"/>
    <w:rsid w:val="4CDB386A"/>
    <w:rsid w:val="59C73D5D"/>
    <w:rsid w:val="5E42764C"/>
    <w:rsid w:val="6A961949"/>
    <w:rsid w:val="71BE70C7"/>
    <w:rsid w:val="7B0B2E6E"/>
    <w:rsid w:val="7D98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7580D"/>
  <w15:docId w15:val="{898A63A4-ACE2-4BF7-A216-1562F4B4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kern w:val="2"/>
      <w:sz w:val="21"/>
      <w:szCs w:val="24"/>
    </w:r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paragraph" w:customStyle="1" w:styleId="3">
    <w:name w:val="修订3"/>
    <w:hidden/>
    <w:uiPriority w:val="99"/>
    <w:unhideWhenUsed/>
    <w:rPr>
      <w:kern w:val="2"/>
      <w:sz w:val="21"/>
      <w:szCs w:val="24"/>
    </w:rPr>
  </w:style>
  <w:style w:type="paragraph" w:styleId="a7">
    <w:name w:val="Revision"/>
    <w:hidden/>
    <w:uiPriority w:val="99"/>
    <w:semiHidden/>
    <w:rsid w:val="00936F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328</Words>
  <Characters>1872</Characters>
  <Application>Microsoft Office Word</Application>
  <DocSecurity>0</DocSecurity>
  <Lines>15</Lines>
  <Paragraphs>4</Paragraphs>
  <ScaleCrop>false</ScaleCrop>
  <Company>微软中国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易水潇潇</dc:creator>
  <cp:lastModifiedBy>b56979</cp:lastModifiedBy>
  <cp:revision>22</cp:revision>
  <dcterms:created xsi:type="dcterms:W3CDTF">2023-11-04T11:39:00Z</dcterms:created>
  <dcterms:modified xsi:type="dcterms:W3CDTF">2024-07-16T16:57:00Z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1983B46963E9431797B6476AEC36EC8A_11</vt:lpwstr>
  </property>
</Properties>
</file>