
<file path=[Content_Types].xml><?xml version="1.0" encoding="utf-8"?>
<Types xmlns="http://schemas.openxmlformats.org/package/2006/content-types">
  <Default Extension="tiff" ContentType="image/tif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5B855">
      <w:pPr>
        <w:widowControl/>
        <w:jc w:val="left"/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eastAsia="宋体" w:cs="Times New Roman"/>
          <w:b/>
          <w:color w:val="000000"/>
          <w:kern w:val="0"/>
          <w:sz w:val="24"/>
          <w:lang w:bidi="ar"/>
        </w:rPr>
        <w:t>Supplementary Figure</w:t>
      </w:r>
    </w:p>
    <w:p w14:paraId="05887901">
      <w:pPr>
        <w:pStyle w:val="10"/>
        <w:ind w:firstLine="0" w:firstLineChars="0"/>
        <w:jc w:val="center"/>
        <w:rPr>
          <w:rFonts w:hint="eastAsia" w:ascii="Times New Roman" w:hAnsi="Times New Roman" w:eastAsia="楷体"/>
          <w:lang w:eastAsia="zh-CN"/>
        </w:rPr>
      </w:pPr>
      <w:r>
        <w:rPr>
          <w:rFonts w:hint="eastAsia" w:ascii="Times New Roman" w:hAnsi="Times New Roman" w:eastAsia="楷体"/>
          <w:lang w:eastAsia="zh-CN"/>
        </w:rPr>
        <w:drawing>
          <wp:inline distT="0" distB="0" distL="114300" distR="114300">
            <wp:extent cx="3284855" cy="2416175"/>
            <wp:effectExtent l="0" t="0" r="10795" b="3175"/>
            <wp:docPr id="1" name="图片 1" descr="figure S1  Purity of Nbs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  Purity of Nbs-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84855" cy="241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CFE32">
      <w:pPr>
        <w:widowControl/>
        <w:jc w:val="lef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eastAsia="宋体" w:cs="Times New Roman"/>
          <w:b/>
          <w:color w:val="000000"/>
          <w:kern w:val="0"/>
          <w:sz w:val="24"/>
          <w:lang w:bidi="ar"/>
        </w:rPr>
        <w:t xml:space="preserve">Fig. S1 </w:t>
      </w:r>
      <w:r>
        <w:rPr>
          <w:rFonts w:ascii="Times New Roman" w:hAnsi="Times New Roman" w:eastAsia="楷体" w:cs="Times New Roman"/>
          <w:b/>
          <w:kern w:val="0"/>
          <w:sz w:val="24"/>
          <w:lang w:bidi="ar"/>
        </w:rPr>
        <w:t>CD3 Nbs and CD105 Nbs possess</w:t>
      </w:r>
      <w:r>
        <w:rPr>
          <w:rFonts w:ascii="Times New Roman" w:hAnsi="Times New Roman" w:eastAsia="宋体" w:cs="Times New Roman"/>
          <w:b/>
          <w:color w:val="000000"/>
          <w:kern w:val="0"/>
          <w:sz w:val="24"/>
          <w:lang w:bidi="ar"/>
        </w:rPr>
        <w:t xml:space="preserve"> high </w:t>
      </w:r>
      <w:r>
        <w:rPr>
          <w:rFonts w:ascii="Times New Roman" w:hAnsi="Times New Roman" w:eastAsia="楷体" w:cs="Times New Roman"/>
          <w:b/>
          <w:kern w:val="0"/>
          <w:sz w:val="24"/>
          <w:lang w:bidi="ar"/>
        </w:rPr>
        <w:t xml:space="preserve">purity. A-B. </w:t>
      </w:r>
      <w:r>
        <w:rPr>
          <w:rFonts w:ascii="Times New Roman" w:hAnsi="Times New Roman" w:eastAsia="楷体" w:cs="Times New Roman"/>
          <w:kern w:val="0"/>
          <w:sz w:val="24"/>
          <w:lang w:bidi="ar"/>
        </w:rPr>
        <w:t xml:space="preserve">The Nbs </w:t>
      </w:r>
      <w:r>
        <w:rPr>
          <w:rFonts w:ascii="Times New Roman" w:hAnsi="Times New Roman" w:eastAsia="宋体" w:cs="Times New Roman"/>
          <w:kern w:val="0"/>
          <w:sz w:val="24"/>
          <w:lang w:bidi="ar"/>
        </w:rPr>
        <w:t xml:space="preserve">were purified by Ni-NTA chromatography column at 4 </w:t>
      </w:r>
      <w:r>
        <w:rPr>
          <w:rFonts w:ascii="Times New Roman" w:hAnsi="Times New Roman" w:eastAsia="宋体" w:cs="Times New Roman"/>
          <w:kern w:val="0"/>
          <w:sz w:val="24"/>
          <w:vertAlign w:val="superscript"/>
          <w:lang w:bidi="ar"/>
        </w:rPr>
        <w:t>o</w:t>
      </w:r>
      <w:r>
        <w:rPr>
          <w:rFonts w:ascii="Times New Roman" w:hAnsi="Times New Roman" w:eastAsia="宋体" w:cs="Times New Roman"/>
          <w:kern w:val="0"/>
          <w:sz w:val="24"/>
          <w:lang w:bidi="ar"/>
        </w:rPr>
        <w:t xml:space="preserve">C, and the purified </w:t>
      </w:r>
      <w:r>
        <w:rPr>
          <w:rFonts w:ascii="Times New Roman" w:hAnsi="Times New Roman" w:eastAsia="楷体" w:cs="Times New Roman"/>
          <w:kern w:val="0"/>
          <w:sz w:val="24"/>
          <w:lang w:bidi="ar"/>
        </w:rPr>
        <w:t>CD3 Nbs (A) and CD105 Nbs</w:t>
      </w:r>
      <w:r>
        <w:rPr>
          <w:rFonts w:ascii="Times New Roman" w:hAnsi="Times New Roman" w:eastAsia="宋体" w:cs="Times New Roman"/>
          <w:kern w:val="0"/>
          <w:sz w:val="24"/>
          <w:lang w:bidi="ar"/>
        </w:rPr>
        <w:t xml:space="preserve"> (B) were analyzed via 12%</w:t>
      </w:r>
      <w:r>
        <w:rPr>
          <w:rFonts w:hint="eastAsia" w:ascii="Times New Roman" w:hAnsi="Times New Roman" w:eastAsia="宋体" w:cs="Times New Roman"/>
          <w:kern w:val="0"/>
          <w:sz w:val="24"/>
          <w:lang w:bidi="ar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  <w:lang w:bidi="ar"/>
        </w:rPr>
        <w:t xml:space="preserve">SDS-PAGE. </w:t>
      </w:r>
      <w:r>
        <w:rPr>
          <w:rFonts w:ascii="Times New Roman" w:hAnsi="Times New Roman" w:eastAsia="宋体" w:cs="Times New Roman"/>
          <w:b/>
          <w:kern w:val="0"/>
          <w:sz w:val="24"/>
          <w:lang w:bidi="ar"/>
        </w:rPr>
        <w:t>C-D.</w:t>
      </w:r>
      <w:r>
        <w:rPr>
          <w:rFonts w:ascii="Times New Roman" w:hAnsi="Times New Roman" w:eastAsia="宋体" w:cs="Times New Roman"/>
          <w:kern w:val="0"/>
          <w:sz w:val="24"/>
          <w:lang w:bidi="ar"/>
        </w:rPr>
        <w:t xml:space="preserve"> Purified </w:t>
      </w:r>
      <w:r>
        <w:rPr>
          <w:rFonts w:ascii="Times New Roman" w:hAnsi="Times New Roman" w:eastAsia="楷体" w:cs="Times New Roman"/>
          <w:kern w:val="0"/>
          <w:sz w:val="24"/>
          <w:lang w:bidi="ar"/>
        </w:rPr>
        <w:t>CD3 Nbs(C) and CD105 Nbs</w:t>
      </w:r>
      <w:r>
        <w:rPr>
          <w:rFonts w:ascii="Times New Roman" w:hAnsi="Times New Roman" w:eastAsia="宋体" w:cs="Times New Roman"/>
          <w:kern w:val="0"/>
          <w:sz w:val="24"/>
          <w:lang w:bidi="ar"/>
        </w:rPr>
        <w:t xml:space="preserve"> (D) were confirmed by western blot using anti-his-tag antibody conjugated by IgG Dylight 800.</w:t>
      </w:r>
    </w:p>
    <w:p w14:paraId="148C628B">
      <w:pPr>
        <w:pStyle w:val="8"/>
        <w:rPr>
          <w:rFonts w:ascii="Times New Roman" w:hAnsi="Times New Roman" w:eastAsia="楷体"/>
          <w:sz w:val="24"/>
        </w:rPr>
      </w:pPr>
    </w:p>
    <w:p w14:paraId="34393FB9">
      <w:pPr>
        <w:pStyle w:val="8"/>
        <w:rPr>
          <w:rFonts w:ascii="Times New Roman" w:hAnsi="Times New Roman" w:eastAsia="楷体"/>
          <w:sz w:val="24"/>
        </w:rPr>
      </w:pPr>
    </w:p>
    <w:p w14:paraId="39C41371">
      <w:pPr>
        <w:pStyle w:val="8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</w:rPr>
        <w:drawing>
          <wp:inline distT="0" distB="0" distL="114300" distR="114300">
            <wp:extent cx="4314825" cy="1419225"/>
            <wp:effectExtent l="0" t="0" r="9525" b="9525"/>
            <wp:docPr id="8" name="图片 24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4" descr="图表, 折线图&#10;&#10;描述已自动生成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906D8">
      <w:pPr>
        <w:pStyle w:val="8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Fig. S2 The ICG encapsulation of CD105/CD3 Nb-LipoICG. A. </w:t>
      </w:r>
      <w:r>
        <w:rPr>
          <w:rFonts w:ascii="Times New Roman" w:hAnsi="Times New Roman"/>
          <w:sz w:val="24"/>
        </w:rPr>
        <w:t xml:space="preserve">The standard curve of UV absorption at 820 nm with gradient concentrations (0.625 µg/mL~10 µg/mL). </w:t>
      </w:r>
      <w:r>
        <w:rPr>
          <w:rFonts w:ascii="Times New Roman" w:hAnsi="Times New Roman"/>
          <w:b/>
          <w:sz w:val="24"/>
        </w:rPr>
        <w:t xml:space="preserve">B. </w:t>
      </w:r>
      <w:r>
        <w:rPr>
          <w:rFonts w:ascii="Times New Roman" w:hAnsi="Times New Roman"/>
          <w:sz w:val="24"/>
        </w:rPr>
        <w:t xml:space="preserve">The ICG encapsulation rate of CD105/CD3 Nb-LipoICG was calculated according to </w:t>
      </w:r>
      <w:r>
        <w:rPr>
          <w:rFonts w:hint="eastAsia" w:ascii="Times New Roman" w:hAnsi="Times New Roman"/>
          <w:sz w:val="24"/>
          <w:lang w:val="en-US" w:eastAsia="zh-CN"/>
        </w:rPr>
        <w:t>the</w:t>
      </w:r>
      <w:r>
        <w:rPr>
          <w:rFonts w:ascii="Times New Roman" w:hAnsi="Times New Roman"/>
          <w:sz w:val="24"/>
        </w:rPr>
        <w:t xml:space="preserve"> serial dilutions (as indicated) before (M</w:t>
      </w:r>
      <w:r>
        <w:rPr>
          <w:rFonts w:ascii="Times New Roman" w:hAnsi="Times New Roman"/>
          <w:sz w:val="24"/>
          <w:vertAlign w:val="subscript"/>
        </w:rPr>
        <w:t>Total</w:t>
      </w:r>
      <w:r>
        <w:rPr>
          <w:rFonts w:ascii="Times New Roman" w:hAnsi="Times New Roman"/>
          <w:sz w:val="24"/>
        </w:rPr>
        <w:t>) and after (M</w:t>
      </w:r>
      <w:r>
        <w:rPr>
          <w:rFonts w:ascii="Times New Roman" w:hAnsi="Times New Roman"/>
          <w:sz w:val="24"/>
          <w:vertAlign w:val="subscript"/>
        </w:rPr>
        <w:t>ICG</w:t>
      </w:r>
      <w:r>
        <w:rPr>
          <w:rFonts w:ascii="Times New Roman" w:hAnsi="Times New Roman"/>
          <w:sz w:val="24"/>
        </w:rPr>
        <w:t>) the ultrasonication based on the obtained ICG standard curve, using the following formula: encapsulation rate (EE) % = M</w:t>
      </w:r>
      <w:r>
        <w:rPr>
          <w:rFonts w:ascii="Times New Roman" w:hAnsi="Times New Roman"/>
          <w:sz w:val="24"/>
          <w:vertAlign w:val="subscript"/>
        </w:rPr>
        <w:t>ICG</w:t>
      </w:r>
      <w:r>
        <w:rPr>
          <w:rFonts w:ascii="Times New Roman" w:hAnsi="Times New Roman"/>
          <w:sz w:val="24"/>
        </w:rPr>
        <w:t>/M</w:t>
      </w:r>
      <w:r>
        <w:rPr>
          <w:rFonts w:ascii="Times New Roman" w:hAnsi="Times New Roman"/>
          <w:sz w:val="24"/>
          <w:vertAlign w:val="subscript"/>
        </w:rPr>
        <w:t>Total</w:t>
      </w:r>
      <w:r>
        <w:rPr>
          <w:rFonts w:ascii="Times New Roman" w:hAnsi="Times New Roman"/>
          <w:sz w:val="24"/>
        </w:rPr>
        <w:t xml:space="preserve"> × 100%. </w:t>
      </w:r>
    </w:p>
    <w:p w14:paraId="46633793">
      <w:pPr>
        <w:pStyle w:val="10"/>
        <w:ind w:firstLine="0" w:firstLineChars="0"/>
        <w:rPr>
          <w:rFonts w:hint="default" w:ascii="Times New Roman" w:hAnsi="Times New Roman"/>
        </w:rPr>
      </w:pPr>
    </w:p>
    <w:p w14:paraId="53940644">
      <w:pPr>
        <w:widowControl/>
        <w:jc w:val="left"/>
        <w:rPr>
          <w:rFonts w:ascii="Times New Roman" w:hAnsi="Times New Roman" w:cs="Times New Roman"/>
        </w:rPr>
      </w:pPr>
    </w:p>
    <w:p w14:paraId="2E3330F0">
      <w:pPr>
        <w:widowControl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hint="eastAsia" w:ascii="宋体" w:hAnsi="宋体" w:eastAsia="宋体" w:cs="宋体"/>
          <w:kern w:val="0"/>
          <w:sz w:val="24"/>
          <w:lang w:bidi="ar"/>
        </w:rPr>
        <w:drawing>
          <wp:inline distT="0" distB="0" distL="114300" distR="114300">
            <wp:extent cx="4676775" cy="3990975"/>
            <wp:effectExtent l="0" t="0" r="9525" b="9525"/>
            <wp:docPr id="2" name="图片 12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2" descr="图表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25106">
      <w:pPr>
        <w:pStyle w:val="2"/>
        <w:spacing w:line="240" w:lineRule="auto"/>
        <w:rPr>
          <w:rFonts w:hint="default" w:ascii="Times New Roman" w:hAnsi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/>
          <w:bCs w:val="0"/>
          <w:color w:val="000000"/>
          <w:sz w:val="24"/>
          <w:szCs w:val="24"/>
        </w:rPr>
        <w:t>Fig. S3</w:t>
      </w:r>
      <w:r>
        <w:rPr>
          <w:rFonts w:hint="default" w:ascii="Times New Roman" w:hAnsi="Times New Roman"/>
          <w:sz w:val="24"/>
          <w:szCs w:val="24"/>
        </w:rPr>
        <w:t xml:space="preserve"> The stability of CD105/CD3 Nb-LipoICG in cell culture medium containing 10% serum at 37 </w:t>
      </w:r>
      <w:r>
        <w:rPr>
          <w:rFonts w:hint="default" w:ascii="Times New Roman" w:hAnsi="Times New Roman"/>
          <w:sz w:val="24"/>
          <w:szCs w:val="24"/>
          <w:vertAlign w:val="superscript"/>
        </w:rPr>
        <w:t>o</w:t>
      </w:r>
      <w:r>
        <w:rPr>
          <w:rFonts w:hint="default" w:ascii="Times New Roman" w:hAnsi="Times New Roman"/>
          <w:sz w:val="24"/>
          <w:szCs w:val="24"/>
        </w:rPr>
        <w:t xml:space="preserve">C were detected by Zetasizer Nano ZS. </w:t>
      </w:r>
      <w:r>
        <w:rPr>
          <w:rFonts w:hint="default" w:ascii="Times New Roman" w:hAnsi="Times New Roman"/>
          <w:b w:val="0"/>
          <w:bCs w:val="0"/>
          <w:sz w:val="24"/>
          <w:szCs w:val="24"/>
        </w:rPr>
        <w:t>Variation of particle size (A), Zeta potential (B), PDI value (C) and leakage rate (D) were detected and analyzed.</w:t>
      </w:r>
    </w:p>
    <w:p w14:paraId="244CF218">
      <w:pPr>
        <w:widowControl/>
        <w:jc w:val="left"/>
        <w:rPr>
          <w:rFonts w:ascii="Times New Roman" w:hAnsi="Times New Roman" w:cs="Times New Roman"/>
          <w:color w:val="000000"/>
        </w:rPr>
      </w:pPr>
    </w:p>
    <w:p w14:paraId="75CF659A">
      <w:pPr>
        <w:widowControl/>
        <w:jc w:val="left"/>
        <w:rPr>
          <w:rFonts w:ascii="Times New Roman" w:hAnsi="Times New Roman" w:cs="Times New Roman"/>
          <w:color w:val="000000"/>
        </w:rPr>
      </w:pPr>
    </w:p>
    <w:p w14:paraId="09004E7A">
      <w:pPr>
        <w:widowControl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eastAsia="宋体" w:cs="Times New Roman"/>
          <w:kern w:val="0"/>
          <w:sz w:val="24"/>
          <w:lang w:bidi="ar"/>
        </w:rPr>
        <w:drawing>
          <wp:inline distT="0" distB="0" distL="114300" distR="114300">
            <wp:extent cx="4324350" cy="19621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88851">
      <w:pPr>
        <w:widowControl/>
        <w:jc w:val="lef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eastAsia="宋体" w:cs="Times New Roman"/>
          <w:b/>
          <w:color w:val="000000"/>
          <w:kern w:val="0"/>
          <w:sz w:val="24"/>
          <w:lang w:bidi="ar"/>
        </w:rPr>
        <w:t>Fig. S4 The sorted CD3</w:t>
      </w:r>
      <w:r>
        <w:rPr>
          <w:rFonts w:ascii="Times New Roman" w:hAnsi="Times New Roman" w:eastAsia="宋体" w:cs="Times New Roman"/>
          <w:b/>
          <w:color w:val="000000"/>
          <w:kern w:val="0"/>
          <w:sz w:val="24"/>
          <w:vertAlign w:val="superscript"/>
          <w:lang w:bidi="ar"/>
        </w:rPr>
        <w:t xml:space="preserve">+ </w:t>
      </w:r>
      <w:r>
        <w:rPr>
          <w:rFonts w:ascii="Times New Roman" w:hAnsi="Times New Roman" w:eastAsia="宋体" w:cs="Times New Roman"/>
          <w:b/>
          <w:color w:val="000000"/>
          <w:kern w:val="0"/>
          <w:sz w:val="24"/>
          <w:lang w:bidi="ar"/>
        </w:rPr>
        <w:t xml:space="preserve">T cells have high purity and </w:t>
      </w:r>
      <w:r>
        <w:rPr>
          <w:rFonts w:hint="eastAsia" w:ascii="Times New Roman" w:hAnsi="Times New Roman" w:eastAsia="宋体" w:cs="Times New Roman"/>
          <w:b/>
          <w:color w:val="000000"/>
          <w:kern w:val="0"/>
          <w:sz w:val="24"/>
          <w:lang w:bidi="ar"/>
        </w:rPr>
        <w:t xml:space="preserve">viability </w:t>
      </w:r>
      <w:r>
        <w:rPr>
          <w:rFonts w:ascii="Times New Roman" w:hAnsi="Times New Roman" w:eastAsia="宋体" w:cs="Times New Roman"/>
          <w:b/>
          <w:color w:val="000000"/>
          <w:kern w:val="0"/>
          <w:sz w:val="24"/>
          <w:lang w:bidi="ar"/>
        </w:rPr>
        <w:t xml:space="preserve">. A.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Naïve CD3</w:t>
      </w:r>
      <w:r>
        <w:rPr>
          <w:rFonts w:ascii="Times New Roman" w:hAnsi="Times New Roman" w:eastAsia="宋体" w:cs="Times New Roman"/>
          <w:color w:val="000000"/>
          <w:kern w:val="0"/>
          <w:sz w:val="24"/>
          <w:vertAlign w:val="superscript"/>
          <w:lang w:bidi="ar"/>
        </w:rPr>
        <w:t>+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 T cells were sorted from human PBMC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>s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 with a FITC-conjugated anti-CD3 mAb by FACSAria Cell Sorter. </w:t>
      </w:r>
      <w:r>
        <w:rPr>
          <w:rFonts w:ascii="Times New Roman" w:hAnsi="Times New Roman" w:eastAsia="宋体" w:cs="Times New Roman"/>
          <w:b/>
          <w:color w:val="000000"/>
          <w:kern w:val="0"/>
          <w:sz w:val="24"/>
          <w:lang w:bidi="ar"/>
        </w:rPr>
        <w:t xml:space="preserve">B.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The sorted CD3</w:t>
      </w:r>
      <w:r>
        <w:rPr>
          <w:rFonts w:ascii="Times New Roman" w:hAnsi="Times New Roman" w:eastAsia="宋体" w:cs="Times New Roman"/>
          <w:color w:val="000000"/>
          <w:kern w:val="0"/>
          <w:sz w:val="24"/>
          <w:vertAlign w:val="superscript"/>
          <w:lang w:bidi="ar"/>
        </w:rPr>
        <w:t>+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 T cells were stained with propidium iodide (PI) and analyzed by flow cytometry.</w:t>
      </w:r>
    </w:p>
    <w:p w14:paraId="7DAFC522">
      <w:pPr>
        <w:widowControl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eastAsia="宋体" w:cs="Times New Roman"/>
          <w:kern w:val="0"/>
          <w:sz w:val="24"/>
          <w:lang w:bidi="ar"/>
        </w:rPr>
        <w:drawing>
          <wp:inline distT="0" distB="0" distL="114300" distR="114300">
            <wp:extent cx="5038725" cy="3600450"/>
            <wp:effectExtent l="0" t="0" r="9525" b="0"/>
            <wp:docPr id="4" name="图片 15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5" descr="图表, 直方图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540D2">
      <w:pPr>
        <w:widowControl/>
        <w:jc w:val="left"/>
        <w:outlineLvl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eastAsia="宋体" w:cs="Times New Roman"/>
          <w:b/>
          <w:color w:val="000000"/>
          <w:kern w:val="0"/>
          <w:sz w:val="24"/>
          <w:lang w:bidi="ar"/>
        </w:rPr>
        <w:t>Fig. S5 Flow cytometry analysis of CD105 antigen expression on the cells surface.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 Endothelial cells (HUVECs and TDVECs) and tumor cells (Bel7404, MCF-7, C8161, Huh7) were labeled with anti-CD105 mAb-PE, then analyzed by flow cytometry, respectively.</w:t>
      </w:r>
    </w:p>
    <w:p w14:paraId="128F08E6">
      <w:pPr>
        <w:widowControl/>
        <w:jc w:val="left"/>
        <w:rPr>
          <w:rFonts w:ascii="Times New Roman" w:hAnsi="Times New Roman" w:cs="Times New Roman"/>
          <w:color w:val="000000"/>
        </w:rPr>
      </w:pPr>
      <w:r>
        <w:drawing>
          <wp:inline distT="0" distB="0" distL="0" distR="0">
            <wp:extent cx="5486400" cy="2874010"/>
            <wp:effectExtent l="0" t="0" r="0" b="2540"/>
            <wp:docPr id="128623749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237498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8BB3E">
      <w:pPr>
        <w:pStyle w:val="12"/>
        <w:widowControl/>
        <w:ind w:firstLine="0" w:firstLineChars="0"/>
        <w:jc w:val="left"/>
        <w:rPr>
          <w:rFonts w:ascii="Times New Roman" w:hAnsi="Times New Roman"/>
        </w:rPr>
      </w:pPr>
    </w:p>
    <w:p w14:paraId="13AB4F37">
      <w:pPr>
        <w:widowControl/>
        <w:jc w:val="left"/>
        <w:outlineLvl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eastAsia="宋体" w:cs="Times New Roman"/>
          <w:b/>
          <w:color w:val="000000"/>
          <w:kern w:val="0"/>
          <w:sz w:val="24"/>
          <w:lang w:bidi="ar"/>
        </w:rPr>
        <w:t>Fig. S6 Antitumor effect of CD105/CD3 Nb-LipoICG and T cells combined with photothermal therapy to the NOD/SCID mice bearing with MCF-7 and C8161 tumor cell</w:t>
      </w:r>
      <w:r>
        <w:rPr>
          <w:rFonts w:hint="eastAsia" w:ascii="Times New Roman" w:hAnsi="Times New Roman" w:eastAsia="宋体" w:cs="Times New Roman"/>
          <w:b/>
          <w:color w:val="000000"/>
          <w:kern w:val="0"/>
          <w:sz w:val="24"/>
          <w:lang w:bidi="ar"/>
        </w:rPr>
        <w:t>s</w:t>
      </w:r>
      <w:r>
        <w:rPr>
          <w:rFonts w:ascii="Times New Roman" w:hAnsi="Times New Roman" w:eastAsia="宋体" w:cs="Times New Roman"/>
          <w:b/>
          <w:color w:val="000000"/>
          <w:kern w:val="0"/>
          <w:sz w:val="24"/>
          <w:lang w:bidi="ar"/>
        </w:rPr>
        <w:t xml:space="preserve">.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t>A-B.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 The tumor growth data are expressed as the mean ± SD of the MCF-7(A) and C8161(B) tumor volumes of each group of mice (n = 5 per group).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t>C-D.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 The survival curves of the MCF-7(C) and C8161(D) tumor-bearing mice were estimated using the Kaplan-Meier method. Data are expressed as the mean percentage of each group of mice (n = 5 per group) that survived throughout the period.</w:t>
      </w:r>
    </w:p>
    <w:p w14:paraId="351CFF41">
      <w:pPr>
        <w:pStyle w:val="8"/>
        <w:snapToGrid w:val="0"/>
        <w:ind w:left="300" w:hanging="300" w:hangingChars="150"/>
        <w:jc w:val="center"/>
        <w:rPr>
          <w:rFonts w:ascii="Times New Roman" w:hAnsi="Times New Roman"/>
          <w:sz w:val="24"/>
        </w:rPr>
      </w:pPr>
      <w:r>
        <w:drawing>
          <wp:inline distT="0" distB="0" distL="0" distR="0">
            <wp:extent cx="5486400" cy="7984490"/>
            <wp:effectExtent l="0" t="0" r="0" b="0"/>
            <wp:docPr id="12623352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335260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8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47549">
      <w:pPr>
        <w:pStyle w:val="2"/>
        <w:spacing w:line="240" w:lineRule="auto"/>
        <w:rPr>
          <w:rFonts w:hint="default" w:ascii="Times New Roman" w:hAnsi="Times New Roman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/>
          <w:bCs w:val="0"/>
          <w:color w:val="000000"/>
          <w:kern w:val="0"/>
          <w:sz w:val="24"/>
          <w:szCs w:val="24"/>
        </w:rPr>
        <w:t>Fig. S7 CD105/CD3 Nb-LipoICG has good biological safety. A.</w:t>
      </w:r>
      <w:r>
        <w:rPr>
          <w:rFonts w:hint="default" w:ascii="Times New Roman" w:hAnsi="Times New Roman"/>
          <w:b w:val="0"/>
          <w:bCs w:val="0"/>
          <w:color w:val="000000"/>
          <w:kern w:val="0"/>
          <w:sz w:val="24"/>
          <w:szCs w:val="24"/>
        </w:rPr>
        <w:t xml:space="preserve"> CD105/CD3 Nb-LipoICG at different dilutions were incubated with HUVECs for 24 or 48 h. The cytotoxicity was detected by a CCK-8 assay kit. </w:t>
      </w:r>
      <w:r>
        <w:rPr>
          <w:rFonts w:hint="default" w:ascii="Times New Roman" w:hAnsi="Times New Roman"/>
          <w:bCs w:val="0"/>
          <w:color w:val="000000"/>
          <w:kern w:val="0"/>
          <w:sz w:val="24"/>
          <w:szCs w:val="24"/>
        </w:rPr>
        <w:t>B.</w:t>
      </w:r>
      <w:r>
        <w:rPr>
          <w:rFonts w:hint="default" w:ascii="Times New Roman" w:hAnsi="Times New Roman"/>
          <w:b w:val="0"/>
          <w:bCs w:val="0"/>
          <w:color w:val="000000"/>
          <w:kern w:val="0"/>
          <w:sz w:val="24"/>
          <w:szCs w:val="24"/>
        </w:rPr>
        <w:t xml:space="preserve"> BALB/c mice were randomized (5 mice per group) and injected with CD105/CD3 Nb-LipoICG (ICG, 5 mg/kg) via the caudal veins once every 7 days. The tissues of the heart, liver, spleen, lung and kidney were sampled.Representative HE-stained sections are shown for histology. Scale bars are shown. </w:t>
      </w:r>
      <w:r>
        <w:rPr>
          <w:rFonts w:hint="default" w:ascii="Times New Roman" w:hAnsi="Times New Roman"/>
          <w:bCs w:val="0"/>
          <w:color w:val="000000"/>
          <w:kern w:val="0"/>
          <w:sz w:val="24"/>
          <w:szCs w:val="24"/>
        </w:rPr>
        <w:t>C.</w:t>
      </w:r>
      <w:r>
        <w:rPr>
          <w:rFonts w:hint="default" w:ascii="Times New Roman" w:hAnsi="Times New Roman"/>
          <w:b w:val="0"/>
          <w:bCs w:val="0"/>
          <w:color w:val="000000"/>
          <w:kern w:val="0"/>
          <w:sz w:val="24"/>
          <w:szCs w:val="24"/>
        </w:rPr>
        <w:t xml:space="preserve"> Serum was separated from the coagulated blood of the same batch of mice for the measurement of major biochemical indices. Data are presented as mean ± SD of five replicates of corresponding independent samples. </w:t>
      </w:r>
    </w:p>
    <w:p w14:paraId="746B1310">
      <w:pPr>
        <w:widowControl/>
        <w:jc w:val="left"/>
        <w:rPr>
          <w:rFonts w:ascii="Times New Roman" w:hAnsi="Times New Roman" w:cs="Times New Roman"/>
          <w:color w:val="000000"/>
        </w:rPr>
      </w:pPr>
    </w:p>
    <w:p w14:paraId="435183E4">
      <w:pPr>
        <w:widowControl/>
        <w:jc w:val="left"/>
        <w:rPr>
          <w:rFonts w:ascii="Times New Roman" w:hAnsi="Times New Roman" w:cs="Times New Roman"/>
          <w:color w:val="000000"/>
        </w:rPr>
      </w:pPr>
    </w:p>
    <w:p w14:paraId="2BD07625">
      <w:pPr>
        <w:widowControl/>
        <w:jc w:val="left"/>
        <w:rPr>
          <w:rFonts w:ascii="Times New Roman" w:hAnsi="Times New Roman" w:cs="Times New Roman"/>
          <w:color w:val="000000"/>
        </w:rPr>
      </w:pPr>
    </w:p>
    <w:p w14:paraId="15B77DE7">
      <w:pPr>
        <w:widowControl/>
        <w:jc w:val="left"/>
        <w:rPr>
          <w:rFonts w:ascii="Times New Roman" w:hAnsi="Times New Roman" w:cs="Times New Roman"/>
          <w:color w:val="000000"/>
        </w:rPr>
      </w:pPr>
    </w:p>
    <w:p w14:paraId="2F1BA8C1">
      <w:pPr>
        <w:widowControl/>
        <w:jc w:val="left"/>
        <w:rPr>
          <w:rFonts w:ascii="Times New Roman" w:hAnsi="Times New Roman" w:cs="Times New Roman"/>
          <w:color w:val="000000"/>
        </w:rPr>
      </w:pPr>
    </w:p>
    <w:p w14:paraId="21306A51">
      <w:pPr>
        <w:widowControl/>
        <w:jc w:val="left"/>
        <w:rPr>
          <w:rFonts w:ascii="Times New Roman" w:hAnsi="Times New Roman" w:cs="Times New Roman"/>
          <w:color w:val="000000"/>
        </w:rPr>
      </w:pPr>
    </w:p>
    <w:p w14:paraId="49B865B6">
      <w:pPr>
        <w:widowControl/>
        <w:jc w:val="left"/>
        <w:outlineLvl w:val="0"/>
        <w:rPr>
          <w:rFonts w:hint="eastAsia" w:ascii="Times New Roman" w:hAnsi="Times New Roman" w:eastAsia="宋体" w:cs="Times New Roman"/>
          <w:b/>
          <w:color w:val="000000"/>
          <w:kern w:val="0"/>
          <w:sz w:val="24"/>
          <w:lang w:bidi="ar"/>
        </w:rPr>
      </w:pPr>
      <w:r>
        <w:rPr>
          <w:rFonts w:ascii="Times New Roman" w:hAnsi="Times New Roman" w:eastAsia="宋体" w:cs="Times New Roman"/>
          <w:b/>
          <w:color w:val="000000"/>
          <w:kern w:val="0"/>
          <w:sz w:val="24"/>
          <w:lang w:bidi="ar"/>
        </w:rPr>
        <w:t xml:space="preserve">Supplementary </w:t>
      </w:r>
      <w:r>
        <w:rPr>
          <w:rFonts w:hint="eastAsia" w:ascii="Times New Roman" w:hAnsi="Times New Roman" w:eastAsia="宋体" w:cs="Times New Roman"/>
          <w:b/>
          <w:color w:val="000000"/>
          <w:kern w:val="0"/>
          <w:sz w:val="24"/>
          <w:lang w:bidi="ar"/>
        </w:rPr>
        <w:t>Table</w:t>
      </w:r>
    </w:p>
    <w:p w14:paraId="0D51C0CF">
      <w:pPr>
        <w:widowControl/>
        <w:jc w:val="left"/>
        <w:outlineLvl w:val="0"/>
        <w:rPr>
          <w:rFonts w:hint="eastAsia" w:ascii="Times New Roman" w:hAnsi="Times New Roman" w:eastAsia="宋体" w:cs="Times New Roman"/>
          <w:b/>
          <w:color w:val="000000"/>
          <w:kern w:val="0"/>
          <w:sz w:val="24"/>
          <w:lang w:bidi="ar"/>
        </w:rPr>
      </w:pPr>
      <w:bookmarkStart w:id="0" w:name="_GoBack"/>
      <w:bookmarkEnd w:id="0"/>
    </w:p>
    <w:p w14:paraId="53EA6984">
      <w:pPr>
        <w:widowControl/>
        <w:spacing w:line="360" w:lineRule="exact"/>
        <w:jc w:val="lef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eastAsia="宋体" w:cs="Times New Roman"/>
          <w:kern w:val="0"/>
          <w:sz w:val="24"/>
          <w:lang w:bidi="ar"/>
        </w:rPr>
        <w:t>Table 1 Amounts of Nbs coupling to each liposome</w:t>
      </w:r>
    </w:p>
    <w:p w14:paraId="21A9B482">
      <w:pPr>
        <w:pStyle w:val="8"/>
        <w:snapToGrid w:val="0"/>
        <w:ind w:left="300" w:hanging="300" w:hangingChars="150"/>
      </w:pPr>
      <w:r>
        <w:rPr>
          <w:rFonts w:ascii="Times New Roman" w:hAnsi="Times New Roman"/>
        </w:rPr>
        <w:drawing>
          <wp:inline distT="0" distB="0" distL="114300" distR="114300">
            <wp:extent cx="5648325" cy="2133600"/>
            <wp:effectExtent l="0" t="0" r="0" b="0"/>
            <wp:docPr id="5" name="图片 26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6" descr="表格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rcRect t="14504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1NDZkYTQ3YjdmNjQzYmNhNDg3NjU3YjkyNDc4ZmQifQ=="/>
  </w:docVars>
  <w:rsids>
    <w:rsidRoot w:val="00FB34A2"/>
    <w:rsid w:val="00EE790F"/>
    <w:rsid w:val="00F82796"/>
    <w:rsid w:val="00FB34A2"/>
    <w:rsid w:val="050857D9"/>
    <w:rsid w:val="1C557469"/>
    <w:rsid w:val="1E941237"/>
    <w:rsid w:val="211D5A8D"/>
    <w:rsid w:val="293A03F2"/>
    <w:rsid w:val="71A6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autoRedefine/>
    <w:qFormat/>
    <w:uiPriority w:val="0"/>
    <w:pPr>
      <w:keepNext/>
      <w:keepLines/>
      <w:widowControl/>
      <w:spacing w:before="340" w:after="330" w:line="576" w:lineRule="auto"/>
      <w:jc w:val="left"/>
      <w:outlineLvl w:val="0"/>
    </w:pPr>
    <w:rPr>
      <w:rFonts w:hint="eastAsia" w:ascii="宋体" w:hAnsi="宋体" w:eastAsia="宋体" w:cs="Times New Roman"/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EndNote Bibliography Char"/>
    <w:basedOn w:val="6"/>
    <w:link w:val="8"/>
    <w:autoRedefine/>
    <w:qFormat/>
    <w:uiPriority w:val="0"/>
    <w:rPr>
      <w:rFonts w:hint="default" w:ascii="Calibri" w:hAnsi="Calibri" w:cs="Calibri"/>
      <w:szCs w:val="24"/>
    </w:rPr>
  </w:style>
  <w:style w:type="paragraph" w:customStyle="1" w:styleId="8">
    <w:name w:val="EndNote Bibliography"/>
    <w:basedOn w:val="1"/>
    <w:link w:val="7"/>
    <w:autoRedefine/>
    <w:qFormat/>
    <w:uiPriority w:val="0"/>
    <w:pPr>
      <w:widowControl/>
      <w:jc w:val="left"/>
    </w:pPr>
    <w:rPr>
      <w:rFonts w:ascii="Calibri" w:hAnsi="Calibri" w:eastAsia="宋体" w:cs="Times New Roman"/>
      <w:kern w:val="0"/>
      <w:sz w:val="20"/>
    </w:rPr>
  </w:style>
  <w:style w:type="character" w:customStyle="1" w:styleId="9">
    <w:name w:val="标题 1 字符"/>
    <w:basedOn w:val="6"/>
    <w:link w:val="2"/>
    <w:autoRedefine/>
    <w:qFormat/>
    <w:uiPriority w:val="0"/>
    <w:rPr>
      <w:rFonts w:hint="eastAsia" w:ascii="宋体" w:hAnsi="宋体" w:eastAsia="宋体" w:cs="宋体"/>
      <w:b/>
      <w:bCs/>
      <w:kern w:val="44"/>
      <w:sz w:val="44"/>
      <w:szCs w:val="44"/>
    </w:rPr>
  </w:style>
  <w:style w:type="paragraph" w:customStyle="1" w:styleId="10">
    <w:name w:val="msolistparagraph"/>
    <w:basedOn w:val="1"/>
    <w:autoRedefine/>
    <w:qFormat/>
    <w:uiPriority w:val="0"/>
    <w:pPr>
      <w:widowControl/>
      <w:ind w:firstLine="420" w:firstLineChars="200"/>
      <w:jc w:val="left"/>
    </w:pPr>
    <w:rPr>
      <w:rFonts w:hint="eastAsia" w:ascii="宋体" w:hAnsi="宋体" w:eastAsia="宋体" w:cs="Times New Roman"/>
      <w:kern w:val="0"/>
      <w:sz w:val="24"/>
    </w:rPr>
  </w:style>
  <w:style w:type="character" w:customStyle="1" w:styleId="11">
    <w:name w:val="列表段落 字符"/>
    <w:basedOn w:val="6"/>
    <w:autoRedefine/>
    <w:qFormat/>
    <w:uiPriority w:val="0"/>
    <w:rPr>
      <w:rFonts w:hint="eastAsia" w:ascii="宋体" w:hAnsi="宋体" w:eastAsia="宋体" w:cs="宋体"/>
      <w:sz w:val="24"/>
      <w:szCs w:val="24"/>
    </w:rPr>
  </w:style>
  <w:style w:type="paragraph" w:customStyle="1" w:styleId="12">
    <w:name w:val="列出段落1"/>
    <w:basedOn w:val="1"/>
    <w:autoRedefine/>
    <w:qFormat/>
    <w:uiPriority w:val="0"/>
    <w:pPr>
      <w:ind w:firstLine="420" w:firstLineChars="200"/>
    </w:pPr>
    <w:rPr>
      <w:rFonts w:ascii="Calibri" w:hAnsi="Calibri" w:eastAsia="宋体" w:cs="Times New Roman"/>
      <w:szCs w:val="21"/>
    </w:rPr>
  </w:style>
  <w:style w:type="character" w:customStyle="1" w:styleId="13">
    <w:name w:val="页眉 字符"/>
    <w:basedOn w:val="6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475</Words>
  <Characters>2428</Characters>
  <Lines>65</Lines>
  <Paragraphs>10</Paragraphs>
  <TotalTime>1</TotalTime>
  <ScaleCrop>false</ScaleCrop>
  <LinksUpToDate>false</LinksUpToDate>
  <CharactersWithSpaces>2893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2022-12-26T12:11:00Z</dcterms:created>
  <dc:creator>DELL</dc:creator>
  <cp:lastModifiedBy>小谢</cp:lastModifiedBy>
  <dcterms:modified xsi:type="dcterms:W3CDTF">2024-07-10T01:30:13Z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152D61DF99194BC295813EAF0D55E034</vt:lpwstr>
  </property>
  <property fmtid="{D5CDD505-2E9C-101B-9397-08002B2CF9AE}" pid="4" name="GrammarlyDocumentId">
    <vt:lpwstr>28aea99ad0ca3e0670ef7a47a4528c4d1f0af38270c119576c028986269ba6f8</vt:lpwstr>
  </property>
</Properties>
</file>