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C5E37">
      <w:pPr>
        <w:keepNext w:val="0"/>
        <w:keepLines w:val="0"/>
        <w:pageBreakBefore w:val="0"/>
        <w:widowControl/>
        <w:kinsoku/>
        <w:wordWrap/>
        <w:overflowPunct/>
        <w:topLinePunct w:val="0"/>
        <w:autoSpaceDE/>
        <w:autoSpaceDN/>
        <w:bidi w:val="0"/>
        <w:adjustRightInd w:val="0"/>
        <w:snapToGrid w:val="0"/>
        <w:spacing w:line="480" w:lineRule="auto"/>
        <w:jc w:val="center"/>
        <w:textAlignment w:val="auto"/>
        <w:rPr>
          <w:rFonts w:ascii="Times New Roman" w:hAnsi="Times New Roman" w:eastAsia="宋体" w:cs="Times New Roman"/>
          <w:b/>
          <w:bCs/>
          <w:kern w:val="0"/>
          <w:sz w:val="24"/>
        </w:rPr>
      </w:pPr>
      <w:bookmarkStart w:id="0" w:name="OLE_LINK242"/>
      <w:bookmarkStart w:id="1" w:name="OLE_LINK236"/>
      <w:bookmarkStart w:id="2" w:name="OLE_LINK235"/>
      <w:r>
        <w:rPr>
          <w:rFonts w:ascii="Times New Roman" w:hAnsi="Times New Roman" w:eastAsia="宋体" w:cs="Times New Roman"/>
          <w:b/>
          <w:bCs/>
          <w:kern w:val="0"/>
          <w:sz w:val="24"/>
        </w:rPr>
        <w:t>Supporting Information</w:t>
      </w:r>
    </w:p>
    <w:bookmarkEnd w:id="0"/>
    <w:bookmarkEnd w:id="1"/>
    <w:bookmarkEnd w:id="2"/>
    <w:p w14:paraId="198AFEB6">
      <w:pPr>
        <w:keepNext w:val="0"/>
        <w:keepLines w:val="0"/>
        <w:pageBreakBefore w:val="0"/>
        <w:kinsoku/>
        <w:wordWrap/>
        <w:overflowPunct/>
        <w:topLinePunct w:val="0"/>
        <w:autoSpaceDE/>
        <w:autoSpaceDN/>
        <w:bidi w:val="0"/>
        <w:adjustRightInd/>
        <w:snapToGrid w:val="0"/>
        <w:spacing w:line="480" w:lineRule="auto"/>
        <w:jc w:val="center"/>
        <w:textAlignment w:val="auto"/>
        <w:rPr>
          <w:rFonts w:hint="eastAsia" w:ascii="Times New Roman" w:hAnsi="Times New Roman" w:cs="Times New Roman"/>
          <w:b/>
          <w:bCs/>
          <w:iCs/>
          <w:sz w:val="24"/>
          <w:szCs w:val="24"/>
          <w:shd w:val="clear" w:color="auto" w:fill="FFFFFF"/>
        </w:rPr>
      </w:pPr>
      <w:r>
        <w:rPr>
          <w:rFonts w:hint="eastAsia" w:ascii="Times New Roman" w:hAnsi="Times New Roman" w:cs="Times New Roman"/>
          <w:b/>
          <w:bCs/>
          <w:iCs/>
          <w:sz w:val="24"/>
          <w:szCs w:val="24"/>
          <w:shd w:val="clear" w:color="auto" w:fill="FFFFFF"/>
          <w:lang w:val="en-US" w:eastAsia="zh-CN"/>
        </w:rPr>
        <w:t>F</w:t>
      </w:r>
      <w:r>
        <w:rPr>
          <w:rFonts w:hint="eastAsia" w:ascii="Times New Roman" w:hAnsi="Times New Roman" w:cs="Times New Roman"/>
          <w:b/>
          <w:bCs/>
          <w:iCs/>
          <w:sz w:val="24"/>
          <w:szCs w:val="24"/>
          <w:shd w:val="clear" w:color="auto" w:fill="FFFFFF"/>
        </w:rPr>
        <w:t xml:space="preserve">erroptosis-inducing nanomedicine and </w:t>
      </w:r>
      <w:r>
        <w:rPr>
          <w:rFonts w:hint="eastAsia" w:ascii="Times New Roman" w:hAnsi="Times New Roman" w:cs="Times New Roman"/>
          <w:b/>
          <w:bCs/>
          <w:iCs/>
          <w:sz w:val="24"/>
          <w:szCs w:val="24"/>
          <w:shd w:val="clear" w:color="auto" w:fill="FFFFFF"/>
          <w:lang w:val="en-US" w:eastAsia="zh-CN"/>
        </w:rPr>
        <w:t>t</w:t>
      </w:r>
      <w:r>
        <w:rPr>
          <w:rFonts w:hint="eastAsia" w:ascii="Times New Roman" w:hAnsi="Times New Roman" w:cs="Times New Roman"/>
          <w:b/>
          <w:bCs/>
          <w:iCs/>
          <w:sz w:val="24"/>
          <w:szCs w:val="24"/>
          <w:shd w:val="clear" w:color="auto" w:fill="FFFFFF"/>
        </w:rPr>
        <w:t>argeted short peptide</w:t>
      </w:r>
      <w:r>
        <w:rPr>
          <w:rFonts w:hint="eastAsia" w:ascii="Times New Roman" w:hAnsi="Times New Roman" w:cs="Times New Roman"/>
          <w:b/>
          <w:bCs/>
          <w:iCs/>
          <w:sz w:val="24"/>
          <w:szCs w:val="24"/>
          <w:shd w:val="clear" w:color="auto" w:fill="FFFFFF"/>
          <w:lang w:val="en-US" w:eastAsia="zh-CN"/>
        </w:rPr>
        <w:t xml:space="preserve"> for </w:t>
      </w:r>
      <w:r>
        <w:rPr>
          <w:rFonts w:hint="eastAsia" w:ascii="Times New Roman" w:hAnsi="Times New Roman" w:cs="Times New Roman"/>
          <w:b/>
          <w:bCs/>
          <w:iCs/>
          <w:sz w:val="24"/>
          <w:szCs w:val="24"/>
          <w:shd w:val="clear" w:color="auto" w:fill="FFFFFF"/>
        </w:rPr>
        <w:t>synergistic treatment of</w:t>
      </w:r>
      <w:r>
        <w:rPr>
          <w:rFonts w:hint="eastAsia" w:ascii="Times New Roman" w:hAnsi="Times New Roman" w:cs="Times New Roman"/>
          <w:b/>
          <w:bCs/>
          <w:iCs/>
          <w:sz w:val="24"/>
          <w:szCs w:val="24"/>
          <w:shd w:val="clear" w:color="auto" w:fill="FFFFFF"/>
          <w:lang w:val="en-US" w:eastAsia="zh-CN"/>
        </w:rPr>
        <w:t xml:space="preserve"> </w:t>
      </w:r>
      <w:r>
        <w:rPr>
          <w:rFonts w:hint="eastAsia" w:ascii="Times New Roman" w:hAnsi="Times New Roman" w:cs="Times New Roman"/>
          <w:b/>
          <w:bCs/>
          <w:iCs/>
          <w:sz w:val="24"/>
          <w:szCs w:val="24"/>
          <w:shd w:val="clear" w:color="auto" w:fill="FFFFFF"/>
        </w:rPr>
        <w:t>hepatocellular carcinoma</w:t>
      </w:r>
    </w:p>
    <w:p w14:paraId="678E4037">
      <w:pPr>
        <w:keepNext w:val="0"/>
        <w:keepLines w:val="0"/>
        <w:pageBreakBefore w:val="0"/>
        <w:kinsoku/>
        <w:wordWrap/>
        <w:overflowPunct/>
        <w:topLinePunct w:val="0"/>
        <w:autoSpaceDE/>
        <w:autoSpaceDN/>
        <w:bidi w:val="0"/>
        <w:snapToGrid w:val="0"/>
        <w:spacing w:line="480" w:lineRule="auto"/>
        <w:jc w:val="center"/>
        <w:textAlignment w:val="auto"/>
        <w:rPr>
          <w:rFonts w:ascii="Times New Roman" w:hAnsi="Times New Roman" w:cs="Times New Roman"/>
          <w:b/>
          <w:bCs/>
          <w:iCs/>
          <w:sz w:val="24"/>
          <w:szCs w:val="24"/>
          <w:shd w:val="clear" w:color="auto" w:fill="FFFFFF"/>
        </w:rPr>
      </w:pPr>
    </w:p>
    <w:p w14:paraId="03554B44">
      <w:pPr>
        <w:keepNext w:val="0"/>
        <w:keepLines w:val="0"/>
        <w:pageBreakBefore w:val="0"/>
        <w:kinsoku/>
        <w:wordWrap/>
        <w:overflowPunct/>
        <w:topLinePunct w:val="0"/>
        <w:autoSpaceDE/>
        <w:autoSpaceDN/>
        <w:bidi w:val="0"/>
        <w:adjustRightInd/>
        <w:snapToGrid w:val="0"/>
        <w:spacing w:line="480" w:lineRule="auto"/>
        <w:jc w:val="center"/>
        <w:textAlignment w:val="auto"/>
        <w:rPr>
          <w:rFonts w:ascii="Times New Roman" w:hAnsi="Times New Roman" w:cs="Times New Roman"/>
          <w:iCs/>
          <w:sz w:val="21"/>
          <w:szCs w:val="21"/>
          <w:shd w:val="clear" w:color="auto" w:fill="FFFFFF"/>
          <w:vertAlign w:val="superscript"/>
        </w:rPr>
      </w:pPr>
      <w:bookmarkStart w:id="3" w:name="OLE_LINK64"/>
      <w:bookmarkStart w:id="4" w:name="_Hlk132626180"/>
      <w:bookmarkStart w:id="5" w:name="_Hlk135040824"/>
      <w:r>
        <w:rPr>
          <w:rFonts w:hint="eastAsia" w:ascii="Times New Roman" w:hAnsi="Times New Roman" w:cs="Times New Roman"/>
          <w:iCs/>
          <w:sz w:val="21"/>
          <w:szCs w:val="21"/>
          <w:shd w:val="clear" w:color="auto" w:fill="FFFFFF"/>
        </w:rPr>
        <w:t>L</w:t>
      </w:r>
      <w:r>
        <w:rPr>
          <w:rFonts w:ascii="Times New Roman" w:hAnsi="Times New Roman" w:cs="Times New Roman"/>
          <w:iCs/>
          <w:sz w:val="21"/>
          <w:szCs w:val="21"/>
          <w:shd w:val="clear" w:color="auto" w:fill="FFFFFF"/>
        </w:rPr>
        <w:t>uyang Wang</w:t>
      </w:r>
      <w:r>
        <w:rPr>
          <w:rFonts w:ascii="Times New Roman" w:hAnsi="Times New Roman" w:cs="Times New Roman"/>
          <w:iCs/>
          <w:color w:val="auto"/>
          <w:sz w:val="21"/>
          <w:szCs w:val="21"/>
          <w:shd w:val="clear" w:color="auto" w:fill="FFFFFF"/>
          <w:vertAlign w:val="superscript"/>
        </w:rPr>
        <w:t>1</w:t>
      </w:r>
      <w:r>
        <w:rPr>
          <w:rFonts w:hint="eastAsia" w:ascii="Times New Roman" w:hAnsi="Times New Roman" w:cs="Times New Roman"/>
          <w:iCs/>
          <w:color w:val="FF0000"/>
          <w:sz w:val="21"/>
          <w:szCs w:val="21"/>
          <w:shd w:val="clear" w:color="auto" w:fill="FFFFFF"/>
          <w:vertAlign w:val="superscript"/>
          <w:lang w:val="en-US" w:eastAsia="zh-CN"/>
        </w:rPr>
        <w:t xml:space="preserve"> ,3</w:t>
      </w:r>
      <w:r>
        <w:rPr>
          <w:rFonts w:ascii="Times New Roman" w:hAnsi="Times New Roman" w:cs="Times New Roman"/>
          <w:iCs/>
          <w:color w:val="FF0000"/>
          <w:sz w:val="21"/>
          <w:szCs w:val="21"/>
          <w:shd w:val="clear" w:color="auto" w:fill="FFFFFF"/>
          <w:vertAlign w:val="superscript"/>
        </w:rPr>
        <w:t xml:space="preserve"> ,</w:t>
      </w:r>
      <w:r>
        <w:rPr>
          <w:rFonts w:hint="eastAsia" w:ascii="Times New Roman" w:hAnsi="Times New Roman" w:cs="Times New Roman"/>
          <w:iCs/>
          <w:color w:val="FF0000"/>
          <w:sz w:val="21"/>
          <w:szCs w:val="21"/>
          <w:shd w:val="clear" w:color="auto" w:fill="FFFFFF"/>
          <w:vertAlign w:val="superscript"/>
          <w:lang w:val="en-US" w:eastAsia="zh-CN"/>
        </w:rPr>
        <w:t>5</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Le Tong</w:t>
      </w:r>
      <w:r>
        <w:rPr>
          <w:rFonts w:ascii="Times New Roman" w:hAnsi="Times New Roman" w:cs="Times New Roman"/>
          <w:iCs/>
          <w:color w:val="auto"/>
          <w:sz w:val="21"/>
          <w:szCs w:val="21"/>
          <w:shd w:val="clear" w:color="auto" w:fill="FFFFFF"/>
          <w:vertAlign w:val="superscript"/>
        </w:rPr>
        <w:t>1</w:t>
      </w:r>
      <w:r>
        <w:rPr>
          <w:rFonts w:hint="eastAsia" w:ascii="Times New Roman" w:hAnsi="Times New Roman" w:cs="Times New Roman"/>
          <w:iCs/>
          <w:color w:val="FF0000"/>
          <w:sz w:val="21"/>
          <w:szCs w:val="21"/>
          <w:shd w:val="clear" w:color="auto" w:fill="FFFFFF"/>
          <w:vertAlign w:val="superscript"/>
        </w:rPr>
        <w:t>,</w:t>
      </w:r>
      <w:r>
        <w:rPr>
          <w:rFonts w:hint="eastAsia" w:ascii="Times New Roman" w:hAnsi="Times New Roman" w:cs="Times New Roman"/>
          <w:iCs/>
          <w:color w:val="FF0000"/>
          <w:sz w:val="21"/>
          <w:szCs w:val="21"/>
          <w:shd w:val="clear" w:color="auto" w:fill="FFFFFF"/>
          <w:vertAlign w:val="superscript"/>
          <w:lang w:val="en-US" w:eastAsia="zh-CN"/>
        </w:rPr>
        <w:t xml:space="preserve"> 2,</w:t>
      </w:r>
      <w:r>
        <w:rPr>
          <w:rFonts w:ascii="Times New Roman" w:hAnsi="Times New Roman" w:cs="Times New Roman"/>
          <w:iCs/>
          <w:color w:val="FF0000"/>
          <w:sz w:val="21"/>
          <w:szCs w:val="21"/>
          <w:shd w:val="clear" w:color="auto" w:fill="FFFFFF"/>
          <w:vertAlign w:val="superscript"/>
        </w:rPr>
        <w:t xml:space="preserve"> </w:t>
      </w:r>
      <w:r>
        <w:rPr>
          <w:rFonts w:hint="eastAsia" w:ascii="Times New Roman" w:hAnsi="Times New Roman" w:cs="Times New Roman"/>
          <w:iCs/>
          <w:color w:val="FF0000"/>
          <w:sz w:val="21"/>
          <w:szCs w:val="21"/>
          <w:shd w:val="clear" w:color="auto" w:fill="FFFFFF"/>
          <w:vertAlign w:val="superscript"/>
          <w:lang w:val="en-US" w:eastAsia="zh-CN"/>
        </w:rPr>
        <w:t>6</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Z</w:t>
      </w:r>
      <w:r>
        <w:rPr>
          <w:rFonts w:hint="eastAsia" w:ascii="Times New Roman" w:hAnsi="Times New Roman" w:cs="Times New Roman"/>
          <w:iCs/>
          <w:sz w:val="21"/>
          <w:szCs w:val="21"/>
          <w:shd w:val="clear" w:color="auto" w:fill="FFFFFF"/>
        </w:rPr>
        <w:t>e</w:t>
      </w:r>
      <w:r>
        <w:rPr>
          <w:rFonts w:ascii="Times New Roman" w:hAnsi="Times New Roman" w:cs="Times New Roman"/>
          <w:iCs/>
          <w:sz w:val="21"/>
          <w:szCs w:val="21"/>
          <w:shd w:val="clear" w:color="auto" w:fill="FFFFFF"/>
        </w:rPr>
        <w:t xml:space="preserve">cheng </w:t>
      </w:r>
      <w:bookmarkStart w:id="6" w:name="OLE_LINK23"/>
      <w:r>
        <w:rPr>
          <w:rFonts w:ascii="Times New Roman" w:hAnsi="Times New Roman" w:cs="Times New Roman"/>
          <w:iCs/>
          <w:sz w:val="21"/>
          <w:szCs w:val="21"/>
          <w:shd w:val="clear" w:color="auto" w:fill="FFFFFF"/>
        </w:rPr>
        <w:t>Xiong</w:t>
      </w:r>
      <w:bookmarkEnd w:id="6"/>
      <w:r>
        <w:rPr>
          <w:rFonts w:hint="eastAsia" w:ascii="Times New Roman" w:hAnsi="Times New Roman" w:cs="Times New Roman"/>
          <w:iCs/>
          <w:color w:val="FF0000"/>
          <w:sz w:val="21"/>
          <w:szCs w:val="21"/>
          <w:shd w:val="clear" w:color="auto" w:fill="FFFFFF"/>
          <w:vertAlign w:val="superscript"/>
          <w:lang w:val="en-US" w:eastAsia="zh-CN"/>
        </w:rPr>
        <w:t>4</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xml:space="preserve">, </w:t>
      </w:r>
      <w:r>
        <w:rPr>
          <w:rFonts w:hint="eastAsia" w:ascii="Times New Roman" w:hAnsi="Times New Roman" w:cs="Times New Roman"/>
          <w:iCs/>
          <w:color w:val="FF0000"/>
          <w:sz w:val="21"/>
          <w:szCs w:val="21"/>
          <w:shd w:val="clear" w:color="auto" w:fill="FFFFFF"/>
          <w:lang w:val="en-US" w:eastAsia="zh-CN"/>
        </w:rPr>
        <w:t>Yi Chen</w:t>
      </w:r>
      <w:r>
        <w:rPr>
          <w:rFonts w:hint="eastAsia" w:ascii="Times New Roman" w:hAnsi="Times New Roman" w:cs="Times New Roman"/>
          <w:iCs/>
          <w:color w:val="FF0000"/>
          <w:sz w:val="21"/>
          <w:szCs w:val="21"/>
          <w:shd w:val="clear" w:color="auto" w:fill="FFFFFF"/>
          <w:vertAlign w:val="superscript"/>
          <w:lang w:val="en-US" w:eastAsia="zh-CN"/>
        </w:rPr>
        <w:t>3</w:t>
      </w:r>
      <w:r>
        <w:rPr>
          <w:rFonts w:hint="eastAsia" w:ascii="Times New Roman" w:hAnsi="Times New Roman" w:cs="Times New Roman"/>
          <w:iCs/>
          <w:sz w:val="21"/>
          <w:szCs w:val="21"/>
          <w:shd w:val="clear" w:color="auto" w:fill="FFFFFF"/>
          <w:lang w:val="en-US" w:eastAsia="zh-CN"/>
        </w:rPr>
        <w:t xml:space="preserve">, </w:t>
      </w:r>
      <w:r>
        <w:rPr>
          <w:rFonts w:ascii="Times New Roman" w:hAnsi="Times New Roman" w:cs="Times New Roman"/>
          <w:iCs/>
          <w:sz w:val="21"/>
          <w:szCs w:val="21"/>
          <w:shd w:val="clear" w:color="auto" w:fill="FFFFFF"/>
        </w:rPr>
        <w:t>Ping Zhang</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rPr>
        <w:t>, Yan Gao</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rPr>
        <w:t>, Jing Liu</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rPr>
        <w:t>, Lei Yang</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rPr>
        <w:t>,</w:t>
      </w:r>
      <w:r>
        <w:rPr>
          <w:rFonts w:ascii="Times New Roman" w:hAnsi="Times New Roman" w:cs="Times New Roman"/>
          <w:iCs/>
          <w:sz w:val="21"/>
          <w:szCs w:val="21"/>
        </w:rPr>
        <w:t xml:space="preserve"> Chunqi Huang</w:t>
      </w:r>
      <w:r>
        <w:rPr>
          <w:rFonts w:hint="eastAsia" w:ascii="Times New Roman" w:hAnsi="Times New Roman" w:cs="Times New Roman"/>
          <w:iCs/>
          <w:color w:val="FF0000"/>
          <w:sz w:val="21"/>
          <w:szCs w:val="21"/>
          <w:vertAlign w:val="superscript"/>
          <w:lang w:val="en-US" w:eastAsia="zh-CN"/>
        </w:rPr>
        <w:t>7</w:t>
      </w:r>
      <w:r>
        <w:rPr>
          <w:rFonts w:ascii="Times New Roman" w:hAnsi="Times New Roman" w:cs="Times New Roman"/>
          <w:iCs/>
          <w:sz w:val="21"/>
          <w:szCs w:val="21"/>
        </w:rPr>
        <w:t>,</w:t>
      </w:r>
      <w:r>
        <w:rPr>
          <w:rFonts w:ascii="Times New Roman" w:hAnsi="Times New Roman" w:cs="Times New Roman"/>
          <w:iCs/>
          <w:sz w:val="21"/>
          <w:szCs w:val="21"/>
          <w:shd w:val="clear" w:color="auto" w:fill="FFFFFF"/>
        </w:rPr>
        <w:t xml:space="preserve"> Gaoqi Ye</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rPr>
        <w:t xml:space="preserve">, </w:t>
      </w:r>
      <w:r>
        <w:rPr>
          <w:rFonts w:hint="eastAsia" w:ascii="Times New Roman" w:hAnsi="Times New Roman" w:cs="Times New Roman"/>
          <w:iCs/>
          <w:sz w:val="21"/>
          <w:szCs w:val="21"/>
          <w:shd w:val="clear" w:color="auto" w:fill="FFFFFF"/>
        </w:rPr>
        <w:t>J</w:t>
      </w:r>
      <w:r>
        <w:rPr>
          <w:rFonts w:ascii="Times New Roman" w:hAnsi="Times New Roman" w:cs="Times New Roman"/>
          <w:iCs/>
          <w:sz w:val="21"/>
          <w:szCs w:val="21"/>
          <w:shd w:val="clear" w:color="auto" w:fill="FFFFFF"/>
        </w:rPr>
        <w:t>ing Du</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Huibiao Liu</w:t>
      </w:r>
      <w:r>
        <w:rPr>
          <w:rFonts w:hint="eastAsia" w:ascii="Times New Roman" w:hAnsi="Times New Roman" w:cs="Times New Roman"/>
          <w:iCs/>
          <w:color w:val="FF0000"/>
          <w:sz w:val="21"/>
          <w:szCs w:val="21"/>
          <w:shd w:val="clear" w:color="auto" w:fill="FFFFFF"/>
          <w:vertAlign w:val="superscript"/>
          <w:lang w:val="en-US" w:eastAsia="zh-CN"/>
        </w:rPr>
        <w:t>4</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Wei Yang</w:t>
      </w:r>
      <w:r>
        <w:rPr>
          <w:rFonts w:hint="eastAsia" w:ascii="Times New Roman" w:hAnsi="Times New Roman" w:cs="Times New Roman"/>
          <w:iCs/>
          <w:color w:val="FF0000"/>
          <w:sz w:val="21"/>
          <w:szCs w:val="21"/>
          <w:shd w:val="clear" w:color="auto" w:fill="FFFFFF"/>
          <w:vertAlign w:val="superscript"/>
          <w:lang w:val="en-US" w:eastAsia="zh-CN"/>
        </w:rPr>
        <w:t>3</w:t>
      </w:r>
      <w:r>
        <w:rPr>
          <w:rFonts w:ascii="Times New Roman" w:hAnsi="Times New Roman" w:cs="Times New Roman"/>
          <w:iCs/>
          <w:sz w:val="21"/>
          <w:szCs w:val="21"/>
          <w:shd w:val="clear" w:color="auto" w:fill="FFFFFF"/>
          <w:vertAlign w:val="superscript"/>
        </w:rPr>
        <w:t>*</w:t>
      </w:r>
      <w:r>
        <w:rPr>
          <w:rFonts w:ascii="Times New Roman" w:hAnsi="Times New Roman" w:cs="Times New Roman"/>
          <w:iCs/>
          <w:sz w:val="21"/>
          <w:szCs w:val="21"/>
          <w:shd w:val="clear" w:color="auto" w:fill="FFFFFF"/>
        </w:rPr>
        <w:t xml:space="preserve">, </w:t>
      </w:r>
      <w:bookmarkStart w:id="7" w:name="OLE_LINK52"/>
      <w:r>
        <w:rPr>
          <w:rFonts w:ascii="Times New Roman" w:hAnsi="Times New Roman" w:cs="Times New Roman"/>
          <w:iCs/>
          <w:sz w:val="21"/>
          <w:szCs w:val="21"/>
          <w:shd w:val="clear" w:color="auto" w:fill="FFFFFF"/>
        </w:rPr>
        <w:t>Ying Wang</w:t>
      </w:r>
      <w:r>
        <w:rPr>
          <w:rFonts w:ascii="Times New Roman" w:hAnsi="Times New Roman" w:cs="Times New Roman"/>
          <w:iCs/>
          <w:sz w:val="21"/>
          <w:szCs w:val="21"/>
          <w:shd w:val="clear" w:color="auto" w:fill="FFFFFF"/>
          <w:vertAlign w:val="superscript"/>
        </w:rPr>
        <w:t>1,</w:t>
      </w:r>
      <w:bookmarkEnd w:id="3"/>
      <w:bookmarkEnd w:id="7"/>
      <w:r>
        <w:rPr>
          <w:rFonts w:hint="eastAsia" w:ascii="Times New Roman" w:hAnsi="Times New Roman" w:cs="Times New Roman"/>
          <w:iCs/>
          <w:sz w:val="21"/>
          <w:szCs w:val="21"/>
          <w:shd w:val="clear" w:color="auto" w:fill="FFFFFF"/>
          <w:vertAlign w:val="superscript"/>
          <w:lang w:val="en-US" w:eastAsia="zh-CN"/>
        </w:rPr>
        <w:t xml:space="preserve"> </w:t>
      </w:r>
      <w:r>
        <w:rPr>
          <w:rFonts w:hint="eastAsia" w:ascii="Times New Roman" w:hAnsi="Times New Roman" w:cs="Times New Roman"/>
          <w:iCs/>
          <w:color w:val="FF0000"/>
          <w:sz w:val="21"/>
          <w:szCs w:val="21"/>
          <w:shd w:val="clear" w:color="auto" w:fill="FFFFFF"/>
          <w:vertAlign w:val="superscript"/>
          <w:lang w:val="en-US" w:eastAsia="zh-CN"/>
        </w:rPr>
        <w:t>2,3</w:t>
      </w:r>
      <w:r>
        <w:rPr>
          <w:rFonts w:ascii="Times New Roman" w:hAnsi="Times New Roman" w:cs="Times New Roman"/>
          <w:iCs/>
          <w:sz w:val="21"/>
          <w:szCs w:val="21"/>
          <w:shd w:val="clear" w:color="auto" w:fill="FFFFFF"/>
          <w:vertAlign w:val="superscript"/>
        </w:rPr>
        <w:t>*</w:t>
      </w:r>
    </w:p>
    <w:bookmarkEnd w:id="4"/>
    <w:bookmarkEnd w:id="5"/>
    <w:p w14:paraId="588BA585">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cs="Times New Roman"/>
          <w:iCs/>
          <w:color w:val="FF0000"/>
          <w:sz w:val="24"/>
          <w:szCs w:val="24"/>
          <w:shd w:val="clear" w:color="auto" w:fill="FFFFFF"/>
        </w:rPr>
      </w:pPr>
    </w:p>
    <w:p w14:paraId="255C13CD">
      <w:pPr>
        <w:keepNext w:val="0"/>
        <w:keepLines w:val="0"/>
        <w:pageBreakBefore w:val="0"/>
        <w:kinsoku/>
        <w:wordWrap/>
        <w:overflowPunct/>
        <w:topLinePunct w:val="0"/>
        <w:autoSpaceDE/>
        <w:autoSpaceDN/>
        <w:bidi w:val="0"/>
        <w:adjustRightInd/>
        <w:snapToGrid w:val="0"/>
        <w:spacing w:line="480" w:lineRule="auto"/>
        <w:jc w:val="both"/>
        <w:textAlignment w:val="auto"/>
        <w:rPr>
          <w:rFonts w:hint="eastAsia" w:ascii="Times New Roman" w:hAnsi="Times New Roman" w:cs="Times New Roman"/>
          <w:iCs/>
          <w:shd w:val="clear" w:color="auto" w:fill="FFFFFF"/>
        </w:rPr>
      </w:pPr>
      <w:r>
        <w:rPr>
          <w:rFonts w:hint="eastAsia" w:ascii="Times New Roman" w:hAnsi="Times New Roman" w:cs="Times New Roman"/>
          <w:iCs/>
          <w:shd w:val="clear" w:color="auto" w:fill="FFFFFF"/>
          <w:vertAlign w:val="superscript"/>
          <w:lang w:val="en-US" w:eastAsia="zh-CN"/>
        </w:rPr>
        <w:t xml:space="preserve">1 </w:t>
      </w:r>
      <w:r>
        <w:rPr>
          <w:rFonts w:hint="eastAsia" w:ascii="Times New Roman" w:hAnsi="Times New Roman" w:cs="Times New Roman"/>
          <w:iCs/>
          <w:shd w:val="clear" w:color="auto" w:fill="FFFFFF"/>
        </w:rPr>
        <w:t>Department of</w:t>
      </w:r>
      <w:r>
        <w:rPr>
          <w:rFonts w:hint="eastAsia" w:ascii="Times New Roman" w:hAnsi="Times New Roman" w:cs="Times New Roman"/>
          <w:iCs/>
          <w:shd w:val="clear" w:color="auto" w:fill="FFFFFF"/>
          <w:lang w:val="en-US" w:eastAsia="zh-CN"/>
        </w:rPr>
        <w:t xml:space="preserve"> </w:t>
      </w:r>
      <w:r>
        <w:rPr>
          <w:rFonts w:hint="eastAsia" w:ascii="Times New Roman" w:hAnsi="Times New Roman" w:cs="Times New Roman"/>
          <w:iCs/>
          <w:shd w:val="clear" w:color="auto" w:fill="FFFFFF"/>
        </w:rPr>
        <w:t xml:space="preserve">Clinical Research Center, Affiliated Hangzhou First People's Hospital , </w:t>
      </w:r>
      <w:r>
        <w:rPr>
          <w:rFonts w:hint="eastAsia" w:ascii="Times New Roman" w:hAnsi="Times New Roman" w:cs="Times New Roman"/>
          <w:iCs/>
          <w:color w:val="FF0000"/>
          <w:shd w:val="clear" w:color="auto" w:fill="FFFFFF"/>
        </w:rPr>
        <w:t xml:space="preserve">School </w:t>
      </w:r>
      <w:r>
        <w:rPr>
          <w:rFonts w:hint="eastAsia" w:ascii="Times New Roman" w:hAnsi="Times New Roman" w:cs="Times New Roman"/>
          <w:iCs/>
          <w:color w:val="FF0000"/>
          <w:shd w:val="clear" w:color="auto" w:fill="FFFFFF"/>
          <w:lang w:val="en-US" w:eastAsia="zh-CN"/>
        </w:rPr>
        <w:t>o</w:t>
      </w:r>
      <w:r>
        <w:rPr>
          <w:rFonts w:hint="eastAsia" w:ascii="Times New Roman" w:hAnsi="Times New Roman" w:cs="Times New Roman"/>
          <w:iCs/>
          <w:color w:val="FF0000"/>
          <w:shd w:val="clear" w:color="auto" w:fill="FFFFFF"/>
        </w:rPr>
        <w:t>f Medicine, Westlake University.</w:t>
      </w:r>
      <w:r>
        <w:rPr>
          <w:rFonts w:hint="eastAsia" w:ascii="Times New Roman" w:hAnsi="Times New Roman" w:cs="Times New Roman"/>
          <w:iCs/>
          <w:color w:val="FF0000"/>
          <w:shd w:val="clear" w:color="auto" w:fill="FFFFFF"/>
          <w:lang w:val="en-US" w:eastAsia="zh-CN"/>
        </w:rPr>
        <w:t xml:space="preserve"> </w:t>
      </w:r>
      <w:r>
        <w:rPr>
          <w:rFonts w:hint="eastAsia" w:ascii="Times New Roman" w:hAnsi="Times New Roman" w:cs="Times New Roman"/>
          <w:iCs/>
          <w:shd w:val="clear" w:color="auto" w:fill="FFFFFF"/>
        </w:rPr>
        <w:t>Hangzhou, Zhejiang, 310006, P. R. China.</w:t>
      </w:r>
    </w:p>
    <w:p w14:paraId="7EB170D1">
      <w:pPr>
        <w:keepNext w:val="0"/>
        <w:keepLines w:val="0"/>
        <w:pageBreakBefore w:val="0"/>
        <w:kinsoku/>
        <w:wordWrap/>
        <w:overflowPunct/>
        <w:topLinePunct w:val="0"/>
        <w:autoSpaceDE/>
        <w:autoSpaceDN/>
        <w:bidi w:val="0"/>
        <w:adjustRightInd/>
        <w:snapToGrid w:val="0"/>
        <w:spacing w:line="480" w:lineRule="auto"/>
        <w:jc w:val="both"/>
        <w:textAlignment w:val="auto"/>
        <w:rPr>
          <w:rFonts w:hint="eastAsia" w:ascii="Times New Roman" w:hAnsi="Times New Roman" w:cs="Times New Roman"/>
          <w:iCs/>
          <w:color w:val="FF0000"/>
          <w:shd w:val="clear" w:color="auto" w:fill="FFFFFF"/>
        </w:rPr>
      </w:pPr>
      <w:r>
        <w:rPr>
          <w:rFonts w:hint="eastAsia" w:ascii="Times New Roman" w:hAnsi="Times New Roman" w:cs="Times New Roman"/>
          <w:iCs/>
          <w:color w:val="FF0000"/>
          <w:shd w:val="clear" w:color="auto" w:fill="FFFFFF"/>
          <w:vertAlign w:val="superscript"/>
        </w:rPr>
        <w:t>2</w:t>
      </w:r>
      <w:r>
        <w:rPr>
          <w:rFonts w:hint="eastAsia" w:ascii="Times New Roman" w:hAnsi="Times New Roman" w:cs="Times New Roman"/>
          <w:iCs/>
          <w:color w:val="FF0000"/>
          <w:shd w:val="clear" w:color="auto" w:fill="FFFFFF"/>
          <w:vertAlign w:val="superscript"/>
          <w:lang w:val="en-US" w:eastAsia="zh-CN"/>
        </w:rPr>
        <w:t xml:space="preserve"> </w:t>
      </w:r>
      <w:r>
        <w:rPr>
          <w:rFonts w:hint="eastAsia" w:ascii="Times New Roman" w:hAnsi="Times New Roman" w:cs="Times New Roman"/>
          <w:iCs/>
          <w:color w:val="FF0000"/>
          <w:shd w:val="clear" w:color="auto" w:fill="FFFFFF"/>
        </w:rPr>
        <w:t>Department of</w:t>
      </w:r>
      <w:r>
        <w:rPr>
          <w:rFonts w:hint="eastAsia" w:ascii="Times New Roman" w:hAnsi="Times New Roman" w:cs="Times New Roman"/>
          <w:iCs/>
          <w:color w:val="FF0000"/>
          <w:shd w:val="clear" w:color="auto" w:fill="FFFFFF"/>
          <w:lang w:val="en-US" w:eastAsia="zh-CN"/>
        </w:rPr>
        <w:t xml:space="preserve"> </w:t>
      </w:r>
      <w:r>
        <w:rPr>
          <w:rFonts w:hint="eastAsia" w:ascii="Times New Roman" w:hAnsi="Times New Roman" w:cs="Times New Roman"/>
          <w:iCs/>
          <w:color w:val="FF0000"/>
          <w:shd w:val="clear" w:color="auto" w:fill="FFFFFF"/>
        </w:rPr>
        <w:t xml:space="preserve">Laboratory Medicine, Affiliated Hangzhou First People's Hospital , School </w:t>
      </w:r>
      <w:r>
        <w:rPr>
          <w:rFonts w:hint="eastAsia" w:ascii="Times New Roman" w:hAnsi="Times New Roman" w:cs="Times New Roman"/>
          <w:iCs/>
          <w:color w:val="FF0000"/>
          <w:shd w:val="clear" w:color="auto" w:fill="FFFFFF"/>
          <w:lang w:val="en-US" w:eastAsia="zh-CN"/>
        </w:rPr>
        <w:t>o</w:t>
      </w:r>
      <w:r>
        <w:rPr>
          <w:rFonts w:hint="eastAsia" w:ascii="Times New Roman" w:hAnsi="Times New Roman" w:cs="Times New Roman"/>
          <w:iCs/>
          <w:color w:val="FF0000"/>
          <w:shd w:val="clear" w:color="auto" w:fill="FFFFFF"/>
        </w:rPr>
        <w:t>f Medicine, Westlake University.</w:t>
      </w:r>
      <w:r>
        <w:rPr>
          <w:rFonts w:hint="eastAsia" w:ascii="Times New Roman" w:hAnsi="Times New Roman" w:cs="Times New Roman"/>
          <w:iCs/>
          <w:color w:val="FF0000"/>
          <w:shd w:val="clear" w:color="auto" w:fill="FFFFFF"/>
          <w:lang w:val="en-US" w:eastAsia="zh-CN"/>
        </w:rPr>
        <w:t xml:space="preserve"> </w:t>
      </w:r>
      <w:r>
        <w:rPr>
          <w:rFonts w:hint="eastAsia" w:ascii="Times New Roman" w:hAnsi="Times New Roman" w:cs="Times New Roman"/>
          <w:iCs/>
          <w:color w:val="FF0000"/>
          <w:shd w:val="clear" w:color="auto" w:fill="FFFFFF"/>
        </w:rPr>
        <w:t>Hangzhou, Zhejiang, 310006, P. R. China.</w:t>
      </w:r>
    </w:p>
    <w:p w14:paraId="507CA4B4">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cs="Times New Roman"/>
          <w:iCs/>
          <w:shd w:val="clear" w:color="auto" w:fill="FFFFFF"/>
        </w:rPr>
      </w:pPr>
      <w:r>
        <w:rPr>
          <w:rFonts w:hint="eastAsia" w:ascii="Times New Roman" w:hAnsi="Times New Roman" w:cs="Times New Roman"/>
          <w:iCs/>
          <w:shd w:val="clear" w:color="auto" w:fill="FFFFFF"/>
          <w:vertAlign w:val="superscript"/>
          <w:lang w:val="en-US" w:eastAsia="zh-CN"/>
        </w:rPr>
        <w:t>3</w:t>
      </w:r>
      <w:r>
        <w:rPr>
          <w:rFonts w:ascii="Times New Roman" w:hAnsi="Times New Roman" w:cs="Times New Roman"/>
          <w:iCs/>
          <w:shd w:val="clear" w:color="auto" w:fill="FFFFFF"/>
        </w:rPr>
        <w:t xml:space="preserve"> </w:t>
      </w:r>
      <w:bookmarkStart w:id="8" w:name="OLE_LINK56"/>
      <w:bookmarkStart w:id="9" w:name="OLE_LINK44"/>
      <w:bookmarkStart w:id="10" w:name="OLE_LINK41"/>
      <w:r>
        <w:rPr>
          <w:rFonts w:hint="eastAsia" w:ascii="Times New Roman" w:hAnsi="Times New Roman" w:cs="Times New Roman"/>
          <w:iCs/>
          <w:shd w:val="clear" w:color="auto" w:fill="FFFFFF"/>
        </w:rPr>
        <w:t xml:space="preserve">Laboratory Medicine Center, Department of Clinical Laboratory, </w:t>
      </w:r>
      <w:bookmarkEnd w:id="8"/>
      <w:bookmarkStart w:id="11" w:name="OLE_LINK47"/>
      <w:r>
        <w:rPr>
          <w:rFonts w:hint="eastAsia" w:ascii="Times New Roman" w:hAnsi="Times New Roman" w:cs="Times New Roman"/>
          <w:iCs/>
          <w:shd w:val="clear" w:color="auto" w:fill="FFFFFF"/>
        </w:rPr>
        <w:t>Zhejiang Provincial People's Hospital(Affiliated People's Hospital), Hangzhou Medical College</w:t>
      </w:r>
      <w:bookmarkEnd w:id="9"/>
      <w:bookmarkEnd w:id="11"/>
      <w:r>
        <w:rPr>
          <w:rFonts w:hint="eastAsia" w:ascii="Times New Roman" w:hAnsi="Times New Roman" w:cs="Times New Roman"/>
          <w:iCs/>
          <w:shd w:val="clear" w:color="auto" w:fill="FFFFFF"/>
        </w:rPr>
        <w:t xml:space="preserve">, </w:t>
      </w:r>
      <w:bookmarkStart w:id="12" w:name="OLE_LINK45"/>
      <w:r>
        <w:rPr>
          <w:rFonts w:hint="eastAsia" w:ascii="Times New Roman" w:hAnsi="Times New Roman" w:cs="Times New Roman"/>
          <w:iCs/>
          <w:shd w:val="clear" w:color="auto" w:fill="FFFFFF"/>
        </w:rPr>
        <w:t>Hangzhou</w:t>
      </w:r>
      <w:bookmarkEnd w:id="12"/>
      <w:r>
        <w:rPr>
          <w:rFonts w:hint="eastAsia" w:ascii="Times New Roman" w:hAnsi="Times New Roman" w:cs="Times New Roman"/>
          <w:iCs/>
          <w:shd w:val="clear" w:color="auto" w:fill="FFFFFF"/>
        </w:rPr>
        <w:t xml:space="preserve">, Zhejiang, </w:t>
      </w:r>
      <w:r>
        <w:rPr>
          <w:rFonts w:hint="eastAsia" w:ascii="Times New Roman" w:hAnsi="Times New Roman" w:cs="Times New Roman"/>
          <w:iCs/>
        </w:rPr>
        <w:t>310014</w:t>
      </w:r>
      <w:r>
        <w:rPr>
          <w:rFonts w:hint="eastAsia" w:ascii="Times New Roman" w:hAnsi="Times New Roman" w:cs="Times New Roman"/>
          <w:iCs/>
          <w:lang w:val="en-US" w:eastAsia="zh-CN"/>
        </w:rPr>
        <w:t xml:space="preserve">, </w:t>
      </w:r>
      <w:r>
        <w:rPr>
          <w:rFonts w:ascii="Times New Roman" w:hAnsi="Times New Roman" w:cs="Times New Roman"/>
          <w:iCs/>
          <w:shd w:val="clear" w:color="auto" w:fill="FFFFFF"/>
        </w:rPr>
        <w:t xml:space="preserve"> P. R.</w:t>
      </w:r>
      <w:r>
        <w:rPr>
          <w:rFonts w:hint="eastAsia" w:ascii="Times New Roman" w:hAnsi="Times New Roman" w:cs="Times New Roman"/>
          <w:iCs/>
          <w:shd w:val="clear" w:color="auto" w:fill="FFFFFF"/>
          <w:lang w:val="en-US" w:eastAsia="zh-CN"/>
        </w:rPr>
        <w:t xml:space="preserve"> </w:t>
      </w:r>
      <w:r>
        <w:rPr>
          <w:rFonts w:hint="eastAsia" w:ascii="Times New Roman" w:hAnsi="Times New Roman" w:cs="Times New Roman"/>
          <w:iCs/>
          <w:shd w:val="clear" w:color="auto" w:fill="FFFFFF"/>
        </w:rPr>
        <w:t>China</w:t>
      </w:r>
      <w:r>
        <w:rPr>
          <w:rFonts w:ascii="Times New Roman" w:hAnsi="Times New Roman" w:cs="Times New Roman"/>
          <w:iCs/>
          <w:shd w:val="clear" w:color="auto" w:fill="FFFFFF"/>
        </w:rPr>
        <w:t>.</w:t>
      </w:r>
      <w:bookmarkEnd w:id="10"/>
    </w:p>
    <w:p w14:paraId="5ECFEC34">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cs="Times New Roman"/>
          <w:iCs/>
        </w:rPr>
      </w:pPr>
      <w:r>
        <w:rPr>
          <w:rFonts w:hint="eastAsia" w:ascii="Times New Roman" w:hAnsi="Times New Roman" w:cs="Times New Roman"/>
          <w:iCs/>
          <w:shd w:val="clear" w:color="auto" w:fill="FFFFFF"/>
          <w:vertAlign w:val="superscript"/>
          <w:lang w:val="en-US" w:eastAsia="zh-CN"/>
        </w:rPr>
        <w:t>4</w:t>
      </w:r>
      <w:r>
        <w:rPr>
          <w:rFonts w:ascii="Times New Roman" w:hAnsi="Times New Roman" w:cs="Times New Roman"/>
          <w:iCs/>
          <w:shd w:val="clear" w:color="auto" w:fill="FFFFFF"/>
        </w:rPr>
        <w:t xml:space="preserve"> </w:t>
      </w:r>
      <w:bookmarkStart w:id="13" w:name="OLE_LINK24"/>
      <w:bookmarkStart w:id="14" w:name="_Hlk132626469"/>
      <w:r>
        <w:rPr>
          <w:rFonts w:ascii="Times New Roman" w:hAnsi="Times New Roman" w:cs="Times New Roman"/>
          <w:iCs/>
          <w:shd w:val="clear" w:color="auto" w:fill="FFFFFF"/>
        </w:rPr>
        <w:t xml:space="preserve">CAS Key Laboratory of Organic Solids, Beijing National Laboratory for Molecular Sciences, </w:t>
      </w:r>
      <w:bookmarkStart w:id="15" w:name="OLE_LINK55"/>
      <w:r>
        <w:rPr>
          <w:rFonts w:ascii="Times New Roman" w:hAnsi="Times New Roman" w:cs="Times New Roman"/>
          <w:iCs/>
          <w:shd w:val="clear" w:color="auto" w:fill="FFFFFF"/>
        </w:rPr>
        <w:t xml:space="preserve">CAS Research/Education Center for Excellence in Molecular Sciences, </w:t>
      </w:r>
      <w:bookmarkStart w:id="16" w:name="OLE_LINK54"/>
      <w:r>
        <w:rPr>
          <w:rFonts w:ascii="Times New Roman" w:hAnsi="Times New Roman" w:cs="Times New Roman"/>
          <w:iCs/>
          <w:shd w:val="clear" w:color="auto" w:fill="FFFFFF"/>
        </w:rPr>
        <w:t xml:space="preserve">Institute of Chemistry </w:t>
      </w:r>
      <w:r>
        <w:rPr>
          <w:rFonts w:ascii="Times New Roman" w:hAnsi="Times New Roman" w:cs="Times New Roman"/>
          <w:iCs/>
        </w:rPr>
        <w:t>Chinese Academy of Sciences</w:t>
      </w:r>
      <w:bookmarkEnd w:id="13"/>
      <w:bookmarkEnd w:id="15"/>
      <w:bookmarkEnd w:id="16"/>
      <w:r>
        <w:rPr>
          <w:rFonts w:ascii="Times New Roman" w:hAnsi="Times New Roman" w:cs="Times New Roman"/>
          <w:iCs/>
        </w:rPr>
        <w:t xml:space="preserve">, </w:t>
      </w:r>
      <w:bookmarkStart w:id="17" w:name="OLE_LINK25"/>
      <w:r>
        <w:rPr>
          <w:rFonts w:ascii="Times New Roman" w:hAnsi="Times New Roman" w:cs="Times New Roman"/>
          <w:iCs/>
        </w:rPr>
        <w:t>Beijing</w:t>
      </w:r>
      <w:bookmarkEnd w:id="17"/>
      <w:r>
        <w:rPr>
          <w:rFonts w:ascii="Times New Roman" w:hAnsi="Times New Roman" w:cs="Times New Roman"/>
          <w:iCs/>
        </w:rPr>
        <w:t>, 100190, P. R. China.</w:t>
      </w:r>
    </w:p>
    <w:bookmarkEnd w:id="14"/>
    <w:p w14:paraId="1350484D">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cs="Times New Roman"/>
          <w:iCs/>
        </w:rPr>
      </w:pPr>
      <w:bookmarkStart w:id="18" w:name="_Hlk135062720"/>
      <w:bookmarkStart w:id="19" w:name="_Hlk132625965"/>
      <w:r>
        <w:rPr>
          <w:rFonts w:hint="eastAsia" w:ascii="Times New Roman" w:hAnsi="Times New Roman" w:cs="Times New Roman"/>
          <w:iCs/>
          <w:vertAlign w:val="superscript"/>
          <w:lang w:val="en-US" w:eastAsia="zh-CN"/>
        </w:rPr>
        <w:t>5</w:t>
      </w:r>
      <w:r>
        <w:rPr>
          <w:rFonts w:ascii="Times New Roman" w:hAnsi="Times New Roman" w:cs="Times New Roman"/>
          <w:iCs/>
          <w:vertAlign w:val="superscript"/>
        </w:rPr>
        <w:t xml:space="preserve"> </w:t>
      </w:r>
      <w:bookmarkStart w:id="20" w:name="OLE_LINK14"/>
      <w:r>
        <w:rPr>
          <w:rFonts w:ascii="Times New Roman" w:hAnsi="Times New Roman" w:cs="Times New Roman"/>
          <w:iCs/>
        </w:rPr>
        <w:t>Center for Drug Safety Evaluation</w:t>
      </w:r>
      <w:bookmarkEnd w:id="20"/>
      <w:r>
        <w:rPr>
          <w:rFonts w:hint="eastAsia" w:ascii="Times New Roman" w:hAnsi="Times New Roman" w:cs="Times New Roman"/>
          <w:iCs/>
        </w:rPr>
        <w:t>,</w:t>
      </w:r>
      <w:r>
        <w:rPr>
          <w:rFonts w:ascii="Times New Roman" w:hAnsi="Times New Roman" w:cs="Times New Roman"/>
          <w:iCs/>
        </w:rPr>
        <w:t xml:space="preserve"> </w:t>
      </w:r>
      <w:r>
        <w:rPr>
          <w:rFonts w:hint="eastAsia" w:ascii="Times New Roman" w:hAnsi="Times New Roman" w:cs="Times New Roman"/>
          <w:iCs/>
          <w:color w:val="FF0000"/>
        </w:rPr>
        <w:t>Qingdao Center</w:t>
      </w:r>
      <w:r>
        <w:rPr>
          <w:rFonts w:hint="eastAsia" w:ascii="Times New Roman" w:hAnsi="Times New Roman" w:cs="Times New Roman"/>
          <w:iCs/>
          <w:color w:val="FF0000"/>
          <w:lang w:val="en-US" w:eastAsia="zh-CN"/>
        </w:rPr>
        <w:t xml:space="preserve"> f</w:t>
      </w:r>
      <w:r>
        <w:rPr>
          <w:rFonts w:hint="eastAsia" w:ascii="Times New Roman" w:hAnsi="Times New Roman" w:cs="Times New Roman"/>
          <w:iCs/>
          <w:color w:val="FF0000"/>
        </w:rPr>
        <w:t>or Pharmaceutical</w:t>
      </w:r>
      <w:r>
        <w:rPr>
          <w:rFonts w:hint="eastAsia" w:ascii="Times New Roman" w:hAnsi="Times New Roman" w:cs="Times New Roman"/>
          <w:iCs/>
          <w:color w:val="FF0000"/>
          <w:lang w:val="en-US" w:eastAsia="zh-CN"/>
        </w:rPr>
        <w:t xml:space="preserve"> </w:t>
      </w:r>
      <w:r>
        <w:rPr>
          <w:rFonts w:hint="eastAsia" w:ascii="Times New Roman" w:hAnsi="Times New Roman" w:cs="Times New Roman"/>
          <w:iCs/>
          <w:color w:val="FF0000"/>
        </w:rPr>
        <w:t>Collaborative  Innovation</w:t>
      </w:r>
      <w:r>
        <w:rPr>
          <w:rFonts w:ascii="Times New Roman" w:hAnsi="Times New Roman" w:cs="Times New Roman"/>
          <w:iCs/>
          <w:color w:val="FF0000"/>
        </w:rPr>
        <w:t>,</w:t>
      </w:r>
      <w:r>
        <w:rPr>
          <w:rFonts w:ascii="Times New Roman" w:hAnsi="Times New Roman" w:cs="Times New Roman"/>
          <w:iCs/>
        </w:rPr>
        <w:t xml:space="preserve"> </w:t>
      </w:r>
      <w:bookmarkStart w:id="21" w:name="OLE_LINK57"/>
      <w:r>
        <w:rPr>
          <w:rFonts w:ascii="Times New Roman" w:hAnsi="Times New Roman" w:cs="Times New Roman"/>
          <w:iCs/>
        </w:rPr>
        <w:t>Qingdao</w:t>
      </w:r>
      <w:bookmarkEnd w:id="21"/>
      <w:r>
        <w:rPr>
          <w:rFonts w:ascii="Times New Roman" w:hAnsi="Times New Roman" w:cs="Times New Roman"/>
          <w:iCs/>
        </w:rPr>
        <w:t>, Shandong, 266209, P. R. China.</w:t>
      </w:r>
      <w:bookmarkEnd w:id="18"/>
    </w:p>
    <w:bookmarkEnd w:id="19"/>
    <w:p w14:paraId="79EC0B5C">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cs="Times New Roman"/>
          <w:iCs/>
        </w:rPr>
      </w:pPr>
      <w:r>
        <w:rPr>
          <w:rFonts w:hint="eastAsia" w:ascii="Times New Roman" w:hAnsi="Times New Roman" w:cs="Times New Roman"/>
          <w:iCs/>
          <w:vertAlign w:val="superscript"/>
          <w:lang w:val="en-US" w:eastAsia="zh-CN"/>
        </w:rPr>
        <w:t>6</w:t>
      </w:r>
      <w:r>
        <w:rPr>
          <w:rFonts w:ascii="Times New Roman" w:hAnsi="Times New Roman" w:cs="Times New Roman"/>
          <w:iCs/>
        </w:rPr>
        <w:t xml:space="preserve"> </w:t>
      </w:r>
      <w:bookmarkStart w:id="22" w:name="OLE_LINK58"/>
      <w:bookmarkStart w:id="23" w:name="_Hlk134995975"/>
      <w:r>
        <w:rPr>
          <w:rFonts w:ascii="Times New Roman" w:hAnsi="Times New Roman" w:cs="Times New Roman"/>
          <w:iCs/>
        </w:rPr>
        <w:t>School of Life Sciences, Westlake University</w:t>
      </w:r>
      <w:bookmarkEnd w:id="22"/>
      <w:r>
        <w:rPr>
          <w:rFonts w:ascii="Times New Roman" w:hAnsi="Times New Roman" w:cs="Times New Roman"/>
          <w:iCs/>
        </w:rPr>
        <w:t xml:space="preserve">, </w:t>
      </w:r>
      <w:bookmarkStart w:id="24" w:name="OLE_LINK59"/>
      <w:r>
        <w:rPr>
          <w:rFonts w:ascii="Times New Roman" w:hAnsi="Times New Roman" w:cs="Times New Roman"/>
          <w:iCs/>
        </w:rPr>
        <w:t>Hangzhou</w:t>
      </w:r>
      <w:bookmarkEnd w:id="24"/>
      <w:r>
        <w:rPr>
          <w:rFonts w:ascii="Times New Roman" w:hAnsi="Times New Roman" w:cs="Times New Roman"/>
          <w:iCs/>
        </w:rPr>
        <w:t xml:space="preserve">, </w:t>
      </w:r>
      <w:bookmarkStart w:id="25" w:name="OLE_LINK22"/>
      <w:r>
        <w:rPr>
          <w:rFonts w:ascii="Times New Roman" w:hAnsi="Times New Roman" w:cs="Times New Roman"/>
          <w:iCs/>
        </w:rPr>
        <w:t>Zhejiang</w:t>
      </w:r>
      <w:bookmarkEnd w:id="25"/>
      <w:r>
        <w:rPr>
          <w:rFonts w:ascii="Times New Roman" w:hAnsi="Times New Roman" w:cs="Times New Roman"/>
          <w:iCs/>
        </w:rPr>
        <w:t>, 310024, P. R. China.</w:t>
      </w:r>
    </w:p>
    <w:bookmarkEnd w:id="23"/>
    <w:p w14:paraId="4787F69D">
      <w:pPr>
        <w:keepNext w:val="0"/>
        <w:keepLines w:val="0"/>
        <w:pageBreakBefore w:val="0"/>
        <w:kinsoku/>
        <w:wordWrap/>
        <w:overflowPunct/>
        <w:topLinePunct w:val="0"/>
        <w:autoSpaceDE/>
        <w:autoSpaceDN/>
        <w:bidi w:val="0"/>
        <w:adjustRightInd/>
        <w:snapToGrid w:val="0"/>
        <w:spacing w:line="480" w:lineRule="auto"/>
        <w:jc w:val="both"/>
        <w:textAlignment w:val="auto"/>
        <w:rPr>
          <w:rFonts w:ascii="Times New Roman" w:hAnsi="Times New Roman"/>
          <w:i/>
          <w:color w:val="000000"/>
          <w:sz w:val="24"/>
        </w:rPr>
      </w:pPr>
      <w:r>
        <w:rPr>
          <w:rFonts w:hint="eastAsia" w:ascii="Times New Roman" w:hAnsi="Times New Roman" w:cs="Times New Roman"/>
          <w:iCs/>
          <w:vertAlign w:val="superscript"/>
          <w:lang w:val="en-US" w:eastAsia="zh-CN"/>
        </w:rPr>
        <w:t>7</w:t>
      </w:r>
      <w:r>
        <w:rPr>
          <w:rFonts w:ascii="Times New Roman" w:hAnsi="Times New Roman" w:cs="Times New Roman"/>
          <w:iCs/>
        </w:rPr>
        <w:t xml:space="preserve"> Department of Laboratory Medicine, The Second Affiliated Hospital of Zhejiang Chinese Medical University, Xinhua Hospital of Zhejiang Province, </w:t>
      </w:r>
      <w:bookmarkStart w:id="26" w:name="OLE_LINK60"/>
      <w:r>
        <w:rPr>
          <w:rFonts w:ascii="Times New Roman" w:hAnsi="Times New Roman" w:cs="Times New Roman"/>
          <w:iCs/>
        </w:rPr>
        <w:t>Hangzhou</w:t>
      </w:r>
      <w:bookmarkEnd w:id="26"/>
      <w:r>
        <w:rPr>
          <w:rFonts w:ascii="Times New Roman" w:hAnsi="Times New Roman" w:cs="Times New Roman"/>
          <w:iCs/>
        </w:rPr>
        <w:t>, Zhejiang, 310053, P. R. China.</w:t>
      </w:r>
      <w:r>
        <w:rPr>
          <w:b/>
          <w:bCs/>
          <w:iCs/>
        </w:rPr>
        <w:br w:type="page"/>
      </w:r>
    </w:p>
    <w:p w14:paraId="7766677B">
      <w:pPr>
        <w:keepNext w:val="0"/>
        <w:keepLines w:val="0"/>
        <w:pageBreakBefore w:val="0"/>
        <w:widowControl/>
        <w:kinsoku/>
        <w:wordWrap/>
        <w:overflowPunct/>
        <w:topLinePunct w:val="0"/>
        <w:autoSpaceDE/>
        <w:autoSpaceDN/>
        <w:bidi w:val="0"/>
        <w:snapToGrid w:val="0"/>
        <w:spacing w:line="480" w:lineRule="auto"/>
        <w:textAlignment w:val="auto"/>
        <w:rPr>
          <w:rFonts w:ascii="Times New Roman" w:hAnsi="Times New Roman" w:cs="Times New Roman"/>
          <w:b/>
          <w:sz w:val="24"/>
        </w:rPr>
      </w:pPr>
      <w:r>
        <w:rPr>
          <w:rFonts w:ascii="Times New Roman" w:hAnsi="Times New Roman" w:cs="Times New Roman"/>
          <w:b/>
          <w:sz w:val="24"/>
        </w:rPr>
        <w:t>Reagents and materials</w:t>
      </w:r>
    </w:p>
    <w:p w14:paraId="3415021A">
      <w:pPr>
        <w:keepNext w:val="0"/>
        <w:keepLines w:val="0"/>
        <w:pageBreakBefore w:val="0"/>
        <w:kinsoku/>
        <w:wordWrap/>
        <w:overflowPunct/>
        <w:topLinePunct w:val="0"/>
        <w:autoSpaceDE/>
        <w:autoSpaceDN/>
        <w:bidi w:val="0"/>
        <w:snapToGrid w:val="0"/>
        <w:spacing w:line="480" w:lineRule="auto"/>
        <w:ind w:firstLine="480" w:firstLineChars="200"/>
        <w:textAlignment w:val="auto"/>
        <w:rPr>
          <w:rFonts w:ascii="Times New Roman" w:hAnsi="Times New Roman" w:cs="Times New Roman"/>
          <w:iCs/>
          <w:sz w:val="24"/>
        </w:rPr>
      </w:pPr>
      <w:r>
        <w:rPr>
          <w:rFonts w:ascii="Times New Roman" w:hAnsi="Times New Roman" w:cs="Times New Roman"/>
          <w:iCs/>
          <w:sz w:val="24"/>
        </w:rPr>
        <w:t xml:space="preserve">DMEM and FBS </w:t>
      </w:r>
      <w:bookmarkStart w:id="27" w:name="_Hlk126702018"/>
      <w:r>
        <w:rPr>
          <w:rFonts w:ascii="Times New Roman" w:hAnsi="Times New Roman" w:cs="Times New Roman"/>
          <w:iCs/>
          <w:sz w:val="24"/>
        </w:rPr>
        <w:t>were obtained from Gibco (Grand Island, USA).</w:t>
      </w:r>
      <w:bookmarkEnd w:id="27"/>
      <w:r>
        <w:rPr>
          <w:rFonts w:ascii="Times New Roman" w:hAnsi="Times New Roman" w:cs="Times New Roman"/>
          <w:iCs/>
          <w:sz w:val="24"/>
        </w:rPr>
        <w:t xml:space="preserve"> siRNA was purchased from RiboBio (Guangzhou, China). Lipofectamine</w:t>
      </w:r>
      <w:r>
        <w:rPr>
          <w:rFonts w:ascii="Times New Roman" w:hAnsi="Times New Roman" w:cs="Times New Roman"/>
          <w:iCs/>
          <w:sz w:val="24"/>
          <w:vertAlign w:val="superscript"/>
        </w:rPr>
        <w:t>TM</w:t>
      </w:r>
      <w:r>
        <w:rPr>
          <w:rFonts w:ascii="Times New Roman" w:hAnsi="Times New Roman" w:cs="Times New Roman"/>
          <w:iCs/>
          <w:sz w:val="24"/>
        </w:rPr>
        <w:t xml:space="preserve"> 3000 and Mitosox were obtained from Invitrogen (Carlsbad, CA, USA). DOX was obtained from Macklin (Shanghai, China). CCK8 kit, BCA kit, CalceinAM/PI staining kit, Hoechst, GSH, DMSO, and (HRP)-conjugated secondary antibody were obtained from Beyotime (Shanghai, China). Sorafenib and </w:t>
      </w:r>
      <w:r>
        <w:rPr>
          <w:rFonts w:hint="eastAsia" w:ascii="Times New Roman" w:hAnsi="Times New Roman" w:cs="Times New Roman"/>
          <w:iCs/>
          <w:sz w:val="24"/>
        </w:rPr>
        <w:t>f</w:t>
      </w:r>
      <w:r>
        <w:rPr>
          <w:rFonts w:ascii="Times New Roman" w:hAnsi="Times New Roman" w:cs="Times New Roman"/>
          <w:iCs/>
          <w:sz w:val="24"/>
        </w:rPr>
        <w:t xml:space="preserve">errostatin-1 were purchased from Selleck Chemicals (Houston, TX, USA). MitoTracker Red, C11-BODIPY (581/591), ECL-Plus kit and were purchased from Thermo Fisher Scientific (Waltham, MA, USA). Deferoxamine (DFO), RIPA buffer, Crystal violet, Monochlorobimane (mBCL) and were obtained from Sigma-Aldrich (St. Louis, MO, USA). Cy5.5 was obtained from MCE (NJ, USA). The antibodies to </w:t>
      </w:r>
      <w:r>
        <w:rPr>
          <w:rFonts w:ascii="Times New Roman" w:hAnsi="Times New Roman" w:cs="Times New Roman"/>
          <w:i/>
          <w:sz w:val="24"/>
        </w:rPr>
        <w:t>LDHA</w:t>
      </w:r>
      <w:r>
        <w:rPr>
          <w:rFonts w:ascii="Times New Roman" w:hAnsi="Times New Roman" w:cs="Times New Roman"/>
          <w:iCs/>
          <w:sz w:val="24"/>
        </w:rPr>
        <w:t xml:space="preserve"> (ab52488), </w:t>
      </w:r>
      <w:r>
        <w:rPr>
          <w:rFonts w:ascii="Times New Roman" w:hAnsi="Times New Roman" w:cs="Times New Roman"/>
          <w:i/>
          <w:sz w:val="24"/>
        </w:rPr>
        <w:t>VDAC1</w:t>
      </w:r>
      <w:r>
        <w:rPr>
          <w:rFonts w:ascii="Times New Roman" w:hAnsi="Times New Roman" w:cs="Times New Roman"/>
          <w:iCs/>
          <w:sz w:val="24"/>
        </w:rPr>
        <w:t xml:space="preserve"> (ab306581), </w:t>
      </w:r>
      <w:r>
        <w:rPr>
          <w:rFonts w:ascii="Times New Roman" w:hAnsi="Times New Roman" w:cs="Times New Roman"/>
          <w:i/>
          <w:sz w:val="24"/>
        </w:rPr>
        <w:t xml:space="preserve">NDUFV2 </w:t>
      </w:r>
      <w:r>
        <w:rPr>
          <w:rFonts w:ascii="Times New Roman" w:hAnsi="Times New Roman" w:cs="Times New Roman"/>
          <w:iCs/>
          <w:sz w:val="24"/>
        </w:rPr>
        <w:t xml:space="preserve">(ab183717), </w:t>
      </w:r>
      <w:r>
        <w:rPr>
          <w:rFonts w:ascii="Times New Roman" w:hAnsi="Times New Roman" w:cs="Times New Roman"/>
          <w:i/>
          <w:sz w:val="24"/>
        </w:rPr>
        <w:t xml:space="preserve">Tfam </w:t>
      </w:r>
      <w:r>
        <w:rPr>
          <w:rFonts w:ascii="Times New Roman" w:hAnsi="Times New Roman" w:cs="Times New Roman"/>
          <w:iCs/>
          <w:sz w:val="24"/>
        </w:rPr>
        <w:t xml:space="preserve">(ab176558), </w:t>
      </w:r>
      <w:r>
        <w:rPr>
          <w:rFonts w:ascii="Times New Roman" w:hAnsi="Times New Roman" w:cs="Times New Roman"/>
          <w:i/>
          <w:sz w:val="24"/>
        </w:rPr>
        <w:t>GAPDH</w:t>
      </w:r>
      <w:r>
        <w:rPr>
          <w:rFonts w:ascii="Times New Roman" w:hAnsi="Times New Roman" w:cs="Times New Roman"/>
          <w:iCs/>
          <w:sz w:val="24"/>
        </w:rPr>
        <w:t xml:space="preserve"> (ab181602), </w:t>
      </w:r>
      <w:r>
        <w:rPr>
          <w:rFonts w:ascii="Times New Roman" w:hAnsi="Times New Roman" w:cs="Times New Roman"/>
          <w:i/>
          <w:sz w:val="24"/>
        </w:rPr>
        <w:t>PERK</w:t>
      </w:r>
      <w:r>
        <w:rPr>
          <w:rFonts w:ascii="Times New Roman" w:hAnsi="Times New Roman" w:cs="Times New Roman"/>
          <w:iCs/>
          <w:sz w:val="24"/>
        </w:rPr>
        <w:t xml:space="preserve"> (ab229912), </w:t>
      </w:r>
      <w:r>
        <w:rPr>
          <w:rFonts w:ascii="Times New Roman" w:hAnsi="Times New Roman" w:cs="Times New Roman"/>
          <w:i/>
          <w:sz w:val="24"/>
        </w:rPr>
        <w:t>NRF2</w:t>
      </w:r>
      <w:r>
        <w:rPr>
          <w:rFonts w:ascii="Times New Roman" w:hAnsi="Times New Roman" w:cs="Times New Roman"/>
          <w:iCs/>
          <w:sz w:val="24"/>
        </w:rPr>
        <w:t xml:space="preserve"> (ab62352),</w:t>
      </w:r>
      <w:r>
        <w:rPr>
          <w:rFonts w:ascii="Times New Roman" w:hAnsi="Times New Roman" w:cs="Times New Roman"/>
          <w:i/>
          <w:sz w:val="24"/>
        </w:rPr>
        <w:t xml:space="preserve"> SIRT6 </w:t>
      </w:r>
      <w:r>
        <w:rPr>
          <w:rFonts w:ascii="Times New Roman" w:hAnsi="Times New Roman" w:cs="Times New Roman"/>
          <w:iCs/>
          <w:sz w:val="24"/>
        </w:rPr>
        <w:t xml:space="preserve">(ab191385), </w:t>
      </w:r>
      <w:r>
        <w:rPr>
          <w:rFonts w:ascii="Times New Roman" w:hAnsi="Times New Roman" w:cs="Times New Roman"/>
          <w:i/>
          <w:sz w:val="24"/>
        </w:rPr>
        <w:t>GLUD1</w:t>
      </w:r>
      <w:r>
        <w:rPr>
          <w:rFonts w:ascii="Times New Roman" w:hAnsi="Times New Roman" w:cs="Times New Roman"/>
          <w:iCs/>
          <w:sz w:val="24"/>
        </w:rPr>
        <w:t xml:space="preserve"> (ab168352), </w:t>
      </w:r>
      <w:r>
        <w:rPr>
          <w:rFonts w:ascii="Times New Roman" w:hAnsi="Times New Roman" w:cs="Times New Roman"/>
          <w:i/>
          <w:sz w:val="24"/>
        </w:rPr>
        <w:t>HSP70</w:t>
      </w:r>
      <w:r>
        <w:rPr>
          <w:rFonts w:ascii="Times New Roman" w:hAnsi="Times New Roman" w:cs="Times New Roman"/>
          <w:iCs/>
          <w:sz w:val="24"/>
        </w:rPr>
        <w:t xml:space="preserve"> (ab194360), </w:t>
      </w:r>
      <w:r>
        <w:rPr>
          <w:rFonts w:ascii="Times New Roman" w:hAnsi="Times New Roman" w:cs="Times New Roman"/>
          <w:i/>
          <w:sz w:val="24"/>
        </w:rPr>
        <w:t>GPX4</w:t>
      </w:r>
      <w:r>
        <w:rPr>
          <w:rFonts w:ascii="Times New Roman" w:hAnsi="Times New Roman" w:cs="Times New Roman"/>
          <w:iCs/>
          <w:sz w:val="24"/>
        </w:rPr>
        <w:t xml:space="preserve"> (ab125066), </w:t>
      </w:r>
      <w:r>
        <w:rPr>
          <w:rFonts w:ascii="Times New Roman" w:hAnsi="Times New Roman" w:cs="Times New Roman"/>
          <w:i/>
          <w:sz w:val="24"/>
        </w:rPr>
        <w:t>Ki67</w:t>
      </w:r>
      <w:r>
        <w:rPr>
          <w:rFonts w:ascii="Times New Roman" w:hAnsi="Times New Roman" w:cs="Times New Roman"/>
          <w:iCs/>
          <w:sz w:val="24"/>
        </w:rPr>
        <w:t xml:space="preserve"> (ab15580) and </w:t>
      </w:r>
      <w:r>
        <w:rPr>
          <w:rFonts w:ascii="Times New Roman" w:hAnsi="Times New Roman" w:cs="Times New Roman"/>
          <w:i/>
          <w:sz w:val="24"/>
        </w:rPr>
        <w:t>PCNA</w:t>
      </w:r>
      <w:r>
        <w:rPr>
          <w:rFonts w:ascii="Times New Roman" w:hAnsi="Times New Roman" w:cs="Times New Roman"/>
          <w:iCs/>
          <w:sz w:val="24"/>
        </w:rPr>
        <w:t xml:space="preserve"> (ab18197) were purchased from Abcam (Cambridge, UK). The antibody to</w:t>
      </w:r>
      <w:r>
        <w:rPr>
          <w:rFonts w:ascii="Times New Roman" w:hAnsi="Times New Roman" w:cs="Times New Roman"/>
          <w:i/>
          <w:sz w:val="24"/>
        </w:rPr>
        <w:t xml:space="preserve"> HSPA5</w:t>
      </w:r>
      <w:r>
        <w:rPr>
          <w:rFonts w:ascii="Times New Roman" w:hAnsi="Times New Roman" w:cs="Times New Roman"/>
          <w:iCs/>
          <w:sz w:val="24"/>
        </w:rPr>
        <w:t xml:space="preserve"> (A11366) and </w:t>
      </w:r>
      <w:r>
        <w:rPr>
          <w:rFonts w:ascii="Times New Roman" w:hAnsi="Times New Roman" w:cs="Times New Roman"/>
          <w:i/>
          <w:sz w:val="24"/>
        </w:rPr>
        <w:t>β-Actin</w:t>
      </w:r>
      <w:r>
        <w:rPr>
          <w:rFonts w:ascii="Times New Roman" w:hAnsi="Times New Roman" w:cs="Times New Roman"/>
          <w:iCs/>
          <w:sz w:val="24"/>
        </w:rPr>
        <w:t xml:space="preserve"> (AC026) was purchased from Abclonal (Wuhan, China). The antibody to </w:t>
      </w:r>
      <w:r>
        <w:rPr>
          <w:rFonts w:ascii="Times New Roman" w:hAnsi="Times New Roman" w:cs="Times New Roman"/>
          <w:i/>
          <w:sz w:val="24"/>
        </w:rPr>
        <w:t>SLC7A11</w:t>
      </w:r>
      <w:r>
        <w:rPr>
          <w:rFonts w:ascii="Times New Roman" w:hAnsi="Times New Roman" w:cs="Times New Roman"/>
          <w:iCs/>
          <w:sz w:val="24"/>
        </w:rPr>
        <w:t xml:space="preserve"> (12691S) was purchased from CST (MA, USA). 96-well plates and transwell were purchased from </w:t>
      </w:r>
      <w:bookmarkStart w:id="28" w:name="OLE_LINK7"/>
      <w:r>
        <w:rPr>
          <w:rFonts w:ascii="Times New Roman" w:hAnsi="Times New Roman" w:cs="Times New Roman"/>
          <w:iCs/>
          <w:sz w:val="24"/>
        </w:rPr>
        <w:t xml:space="preserve">Corning Incorporated </w:t>
      </w:r>
      <w:bookmarkEnd w:id="28"/>
      <w:r>
        <w:rPr>
          <w:rFonts w:ascii="Times New Roman" w:hAnsi="Times New Roman" w:cs="Times New Roman"/>
          <w:iCs/>
          <w:sz w:val="24"/>
        </w:rPr>
        <w:t>(NY, USA). Confocal dishes (35 mm with 20 mm bottom well) were obtained from Cellvis (CA, USA). XFe24 seahorse cell culture microplate was purchased from Seahorse Bioscience (Agilent, CA, USA).</w:t>
      </w:r>
    </w:p>
    <w:p w14:paraId="1484D9F1">
      <w:pPr>
        <w:keepNext w:val="0"/>
        <w:keepLines w:val="0"/>
        <w:pageBreakBefore w:val="0"/>
        <w:kinsoku/>
        <w:wordWrap/>
        <w:overflowPunct/>
        <w:topLinePunct w:val="0"/>
        <w:autoSpaceDE/>
        <w:autoSpaceDN/>
        <w:bidi w:val="0"/>
        <w:snapToGrid w:val="0"/>
        <w:spacing w:line="480" w:lineRule="auto"/>
        <w:ind w:firstLine="480" w:firstLineChars="200"/>
        <w:textAlignment w:val="auto"/>
        <w:rPr>
          <w:rFonts w:ascii="Times New Roman" w:hAnsi="Times New Roman" w:cs="Times New Roman"/>
          <w:iCs/>
          <w:sz w:val="24"/>
        </w:rPr>
      </w:pPr>
    </w:p>
    <w:p w14:paraId="581B8F98">
      <w:pPr>
        <w:keepNext w:val="0"/>
        <w:keepLines w:val="0"/>
        <w:pageBreakBefore w:val="0"/>
        <w:widowControl/>
        <w:kinsoku/>
        <w:wordWrap/>
        <w:overflowPunct/>
        <w:topLinePunct w:val="0"/>
        <w:autoSpaceDE/>
        <w:autoSpaceDN/>
        <w:bidi w:val="0"/>
        <w:snapToGrid w:val="0"/>
        <w:spacing w:line="480" w:lineRule="auto"/>
        <w:textAlignment w:val="auto"/>
        <w:rPr>
          <w:rFonts w:ascii="Times New Roman" w:hAnsi="Times New Roman" w:cs="Times New Roman"/>
          <w:b/>
          <w:sz w:val="24"/>
        </w:rPr>
      </w:pPr>
      <w:r>
        <w:rPr>
          <w:rFonts w:ascii="Times New Roman" w:hAnsi="Times New Roman" w:cs="Times New Roman"/>
          <w:b/>
          <w:sz w:val="24"/>
        </w:rPr>
        <w:t>Apparatus</w:t>
      </w:r>
      <w:r>
        <w:rPr>
          <w:rFonts w:hint="eastAsia" w:ascii="Times New Roman" w:hAnsi="Times New Roman" w:cs="Times New Roman"/>
          <w:b/>
          <w:sz w:val="24"/>
        </w:rPr>
        <w:t xml:space="preserve"> and</w:t>
      </w:r>
      <w:r>
        <w:rPr>
          <w:rFonts w:ascii="Times New Roman" w:hAnsi="Times New Roman"/>
          <w:b/>
          <w:sz w:val="24"/>
        </w:rPr>
        <w:t xml:space="preserve"> measurement</w:t>
      </w:r>
    </w:p>
    <w:p w14:paraId="15D9F770">
      <w:pPr>
        <w:keepNext w:val="0"/>
        <w:keepLines w:val="0"/>
        <w:pageBreakBefore w:val="0"/>
        <w:tabs>
          <w:tab w:val="right" w:pos="8306"/>
        </w:tabs>
        <w:kinsoku/>
        <w:wordWrap/>
        <w:overflowPunct/>
        <w:topLinePunct w:val="0"/>
        <w:autoSpaceDE/>
        <w:autoSpaceDN/>
        <w:bidi w:val="0"/>
        <w:snapToGrid w:val="0"/>
        <w:spacing w:line="480" w:lineRule="auto"/>
        <w:ind w:firstLine="476" w:firstLineChars="200"/>
        <w:textAlignment w:val="auto"/>
        <w:rPr>
          <w:rFonts w:hint="eastAsia" w:ascii="Times New Roman" w:hAnsi="Times New Roman" w:eastAsia="宋体" w:cs="Times New Roman"/>
          <w:iCs/>
          <w:color w:val="FF0000"/>
          <w:spacing w:val="-1"/>
          <w:sz w:val="24"/>
          <w:lang w:val="en-US" w:eastAsia="zh-CN"/>
        </w:rPr>
      </w:pPr>
      <w:r>
        <w:rPr>
          <w:rFonts w:ascii="Times New Roman" w:hAnsi="Times New Roman" w:eastAsia="宋体" w:cs="Times New Roman"/>
          <w:iCs/>
          <w:spacing w:val="-1"/>
          <w:sz w:val="24"/>
        </w:rPr>
        <w:t xml:space="preserve">Surface morphology and ultrastructures were obtained using </w:t>
      </w:r>
      <w:r>
        <w:rPr>
          <w:rFonts w:hint="eastAsia" w:ascii="Times New Roman" w:hAnsi="Times New Roman" w:eastAsia="宋体" w:cs="Times New Roman"/>
          <w:iCs/>
          <w:color w:val="FF0000"/>
          <w:spacing w:val="-1"/>
          <w:sz w:val="24"/>
          <w:lang w:val="en-US" w:eastAsia="zh-CN"/>
        </w:rPr>
        <w:t>FE</w:t>
      </w:r>
      <w:r>
        <w:rPr>
          <w:rFonts w:ascii="Times New Roman" w:hAnsi="Times New Roman" w:eastAsia="宋体" w:cs="Times New Roman"/>
          <w:iCs/>
          <w:color w:val="FF0000"/>
          <w:spacing w:val="-1"/>
          <w:sz w:val="24"/>
        </w:rPr>
        <w:t>SEM (</w:t>
      </w:r>
      <w:r>
        <w:rPr>
          <w:rFonts w:hint="eastAsia" w:ascii="Times New Roman" w:hAnsi="Times New Roman" w:eastAsia="宋体" w:cs="Times New Roman"/>
          <w:iCs/>
          <w:color w:val="FF0000"/>
          <w:spacing w:val="-1"/>
          <w:sz w:val="24"/>
        </w:rPr>
        <w:t>Talos F200X</w:t>
      </w:r>
      <w:r>
        <w:rPr>
          <w:rFonts w:ascii="Times New Roman" w:hAnsi="Times New Roman" w:eastAsia="宋体" w:cs="Times New Roman"/>
          <w:iCs/>
          <w:color w:val="FF0000"/>
          <w:spacing w:val="-1"/>
          <w:sz w:val="24"/>
        </w:rPr>
        <w:t xml:space="preserve">, </w:t>
      </w:r>
      <w:r>
        <w:rPr>
          <w:rFonts w:hint="eastAsia" w:ascii="Times New Roman" w:hAnsi="Times New Roman" w:eastAsia="宋体" w:cs="Times New Roman"/>
          <w:iCs/>
          <w:color w:val="FF0000"/>
          <w:spacing w:val="-1"/>
          <w:sz w:val="24"/>
          <w:lang w:val="en-US" w:eastAsia="zh-CN"/>
        </w:rPr>
        <w:t>FEI</w:t>
      </w:r>
      <w:r>
        <w:rPr>
          <w:rFonts w:ascii="Times New Roman" w:hAnsi="Times New Roman" w:eastAsia="宋体" w:cs="Times New Roman"/>
          <w:iCs/>
          <w:color w:val="FF0000"/>
          <w:spacing w:val="-1"/>
          <w:sz w:val="24"/>
        </w:rPr>
        <w:t>, USA)</w:t>
      </w:r>
      <w:r>
        <w:rPr>
          <w:rFonts w:ascii="Times New Roman" w:hAnsi="Times New Roman" w:eastAsia="宋体" w:cs="Times New Roman"/>
          <w:iCs/>
          <w:spacing w:val="-1"/>
          <w:sz w:val="24"/>
        </w:rPr>
        <w:t xml:space="preserve">, </w:t>
      </w:r>
      <w:r>
        <w:rPr>
          <w:rFonts w:ascii="Times New Roman" w:hAnsi="Times New Roman" w:eastAsia="宋体" w:cs="Times New Roman"/>
          <w:iCs/>
          <w:color w:val="FF0000"/>
          <w:spacing w:val="-1"/>
          <w:sz w:val="24"/>
        </w:rPr>
        <w:t>TEM (</w:t>
      </w:r>
      <w:r>
        <w:rPr>
          <w:rFonts w:hint="eastAsia" w:ascii="Times New Roman" w:hAnsi="Times New Roman" w:eastAsia="宋体" w:cs="Times New Roman"/>
          <w:iCs/>
          <w:color w:val="FF0000"/>
          <w:spacing w:val="-1"/>
          <w:sz w:val="24"/>
        </w:rPr>
        <w:t>Gemini</w:t>
      </w:r>
      <w:r>
        <w:rPr>
          <w:rFonts w:hint="eastAsia" w:ascii="Times New Roman" w:hAnsi="Times New Roman" w:eastAsia="宋体" w:cs="Times New Roman"/>
          <w:iCs/>
          <w:color w:val="FF0000"/>
          <w:spacing w:val="-1"/>
          <w:sz w:val="24"/>
          <w:lang w:val="en-US" w:eastAsia="zh-CN"/>
        </w:rPr>
        <w:t xml:space="preserve"> </w:t>
      </w:r>
      <w:r>
        <w:rPr>
          <w:rFonts w:hint="eastAsia" w:ascii="Times New Roman" w:hAnsi="Times New Roman" w:eastAsia="宋体" w:cs="Times New Roman"/>
          <w:iCs/>
          <w:color w:val="FF0000"/>
          <w:spacing w:val="-1"/>
          <w:sz w:val="24"/>
        </w:rPr>
        <w:t>300</w:t>
      </w:r>
      <w:r>
        <w:rPr>
          <w:rFonts w:ascii="Times New Roman" w:hAnsi="Times New Roman" w:eastAsia="宋体" w:cs="Times New Roman"/>
          <w:iCs/>
          <w:color w:val="FF0000"/>
          <w:spacing w:val="-1"/>
          <w:sz w:val="24"/>
        </w:rPr>
        <w:t xml:space="preserve">, </w:t>
      </w:r>
      <w:r>
        <w:rPr>
          <w:rFonts w:hint="eastAsia" w:ascii="Times New Roman" w:hAnsi="Times New Roman" w:eastAsia="宋体" w:cs="Times New Roman"/>
          <w:iCs/>
          <w:color w:val="FF0000"/>
          <w:spacing w:val="-1"/>
          <w:sz w:val="24"/>
        </w:rPr>
        <w:t>ZEISS</w:t>
      </w:r>
      <w:r>
        <w:rPr>
          <w:rFonts w:ascii="Times New Roman" w:hAnsi="Times New Roman" w:eastAsia="宋体" w:cs="Times New Roman"/>
          <w:iCs/>
          <w:color w:val="FF0000"/>
          <w:spacing w:val="-1"/>
          <w:sz w:val="24"/>
        </w:rPr>
        <w:t xml:space="preserve">, </w:t>
      </w:r>
      <w:r>
        <w:rPr>
          <w:rFonts w:hint="eastAsia" w:ascii="Times New Roman" w:hAnsi="Times New Roman" w:eastAsia="宋体" w:cs="Times New Roman"/>
          <w:iCs/>
          <w:color w:val="FF0000"/>
          <w:spacing w:val="-1"/>
          <w:sz w:val="24"/>
        </w:rPr>
        <w:t>Germany</w:t>
      </w:r>
      <w:r>
        <w:rPr>
          <w:rFonts w:ascii="Times New Roman" w:hAnsi="Times New Roman" w:eastAsia="宋体" w:cs="Times New Roman"/>
          <w:iCs/>
          <w:color w:val="FF0000"/>
          <w:spacing w:val="-1"/>
          <w:sz w:val="24"/>
        </w:rPr>
        <w:t>)</w:t>
      </w:r>
      <w:r>
        <w:rPr>
          <w:rFonts w:ascii="Times New Roman" w:hAnsi="Times New Roman" w:eastAsia="宋体" w:cs="Times New Roman"/>
          <w:iCs/>
          <w:spacing w:val="-1"/>
          <w:sz w:val="24"/>
        </w:rPr>
        <w:t xml:space="preserve">, and AFM (Bruker AXS, GER). </w:t>
      </w:r>
      <w:r>
        <w:rPr>
          <w:rFonts w:hint="eastAsia" w:ascii="Times New Roman" w:hAnsi="Times New Roman" w:eastAsia="宋体" w:cs="Times New Roman"/>
          <w:iCs/>
          <w:color w:val="FF0000"/>
          <w:spacing w:val="-1"/>
          <w:sz w:val="24"/>
          <w:lang w:val="en-US" w:eastAsia="zh-CN"/>
        </w:rPr>
        <w:t xml:space="preserve">Zeta potential measurements of </w:t>
      </w:r>
      <w:bookmarkStart w:id="29" w:name="OLE_LINK13"/>
      <w:r>
        <w:rPr>
          <w:rFonts w:hint="eastAsia" w:ascii="Times New Roman" w:hAnsi="Times New Roman" w:eastAsia="宋体" w:cs="Times New Roman"/>
          <w:iCs/>
          <w:color w:val="FF0000"/>
          <w:spacing w:val="-1"/>
          <w:sz w:val="24"/>
          <w:lang w:val="en-US" w:eastAsia="zh-CN"/>
        </w:rPr>
        <w:t>the prepared</w:t>
      </w:r>
      <w:bookmarkEnd w:id="29"/>
      <w:r>
        <w:rPr>
          <w:rFonts w:hint="eastAsia" w:ascii="Times New Roman" w:hAnsi="Times New Roman" w:eastAsia="宋体" w:cs="Times New Roman"/>
          <w:iCs/>
          <w:color w:val="FF0000"/>
          <w:spacing w:val="-1"/>
          <w:sz w:val="24"/>
          <w:lang w:val="en-US" w:eastAsia="zh-CN"/>
        </w:rPr>
        <w:t xml:space="preserve"> samples were </w:t>
      </w:r>
      <w:bookmarkStart w:id="30" w:name="OLE_LINK11"/>
      <w:r>
        <w:rPr>
          <w:rFonts w:hint="eastAsia" w:ascii="Times New Roman" w:hAnsi="Times New Roman" w:eastAsia="宋体" w:cs="Times New Roman"/>
          <w:iCs/>
          <w:color w:val="FF0000"/>
          <w:spacing w:val="-1"/>
          <w:sz w:val="24"/>
          <w:lang w:val="en-US" w:eastAsia="zh-CN"/>
        </w:rPr>
        <w:t>gained</w:t>
      </w:r>
      <w:bookmarkEnd w:id="30"/>
      <w:r>
        <w:rPr>
          <w:rFonts w:hint="eastAsia" w:ascii="Times New Roman" w:hAnsi="Times New Roman" w:eastAsia="宋体" w:cs="Times New Roman"/>
          <w:iCs/>
          <w:color w:val="FF0000"/>
          <w:spacing w:val="-1"/>
          <w:sz w:val="24"/>
          <w:lang w:val="en-US" w:eastAsia="zh-CN"/>
        </w:rPr>
        <w:t xml:space="preserve"> with a Zetasizer Nano ZS90 (Malvern, UK) </w:t>
      </w:r>
      <w:bookmarkStart w:id="31" w:name="OLE_LINK10"/>
      <w:r>
        <w:rPr>
          <w:rFonts w:hint="eastAsia" w:ascii="Times New Roman" w:hAnsi="Times New Roman" w:eastAsia="宋体" w:cs="Times New Roman"/>
          <w:iCs/>
          <w:color w:val="FF0000"/>
          <w:spacing w:val="-1"/>
          <w:sz w:val="24"/>
          <w:lang w:val="en-US" w:eastAsia="zh-CN"/>
        </w:rPr>
        <w:t xml:space="preserve">to confirm the DSL and </w:t>
      </w:r>
      <w:bookmarkStart w:id="32" w:name="OLE_LINK12"/>
      <w:r>
        <w:rPr>
          <w:rFonts w:hint="eastAsia" w:ascii="Times New Roman" w:hAnsi="Times New Roman" w:eastAsia="宋体" w:cs="Times New Roman"/>
          <w:iCs/>
          <w:color w:val="FF0000"/>
          <w:spacing w:val="-1"/>
          <w:sz w:val="24"/>
          <w:lang w:val="en-US" w:eastAsia="zh-CN"/>
        </w:rPr>
        <w:t>stability of decentralized systems.</w:t>
      </w:r>
      <w:bookmarkEnd w:id="31"/>
      <w:bookmarkEnd w:id="32"/>
      <w:r>
        <w:rPr>
          <w:rFonts w:hint="eastAsia" w:ascii="Times New Roman" w:hAnsi="Times New Roman" w:eastAsia="宋体" w:cs="Times New Roman"/>
          <w:iCs/>
          <w:color w:val="FF0000"/>
          <w:spacing w:val="-1"/>
          <w:sz w:val="24"/>
          <w:lang w:val="en-US" w:eastAsia="zh-CN"/>
        </w:rPr>
        <w:t xml:space="preserve"> </w:t>
      </w:r>
      <w:r>
        <w:rPr>
          <w:rFonts w:ascii="Times New Roman" w:hAnsi="Times New Roman" w:eastAsia="宋体" w:cs="Times New Roman"/>
          <w:iCs/>
          <w:spacing w:val="-1"/>
          <w:sz w:val="24"/>
        </w:rPr>
        <w:t xml:space="preserve">UV–vis spectra were obtained on Shimadzu UV-1800 (Japan). </w:t>
      </w:r>
      <w:r>
        <w:rPr>
          <w:rFonts w:hint="eastAsia" w:ascii="Times New Roman" w:hAnsi="Times New Roman" w:eastAsia="宋体" w:cs="Times New Roman"/>
          <w:iCs/>
          <w:spacing w:val="-1"/>
          <w:sz w:val="24"/>
          <w:lang w:val="en-US" w:eastAsia="zh-CN"/>
        </w:rPr>
        <w:t xml:space="preserve">The </w:t>
      </w:r>
      <w:r>
        <w:rPr>
          <w:rFonts w:hint="eastAsia" w:ascii="Times New Roman" w:hAnsi="Times New Roman" w:eastAsia="宋体" w:cs="Times New Roman"/>
          <w:iCs/>
          <w:spacing w:val="-1"/>
          <w:sz w:val="24"/>
        </w:rPr>
        <w:t>XPS profiles were recorded on an Thermo ESCALAB 250Xi (USA).</w:t>
      </w:r>
      <w:r>
        <w:rPr>
          <w:rFonts w:hint="eastAsia" w:ascii="Times New Roman" w:hAnsi="Times New Roman" w:eastAsia="宋体" w:cs="Times New Roman"/>
          <w:iCs/>
          <w:spacing w:val="-1"/>
          <w:sz w:val="24"/>
          <w:lang w:val="en-US" w:eastAsia="zh-CN"/>
        </w:rPr>
        <w:t xml:space="preserve"> </w:t>
      </w:r>
      <w:r>
        <w:rPr>
          <w:rFonts w:ascii="Times New Roman" w:hAnsi="Times New Roman" w:eastAsia="宋体" w:cs="Times New Roman"/>
          <w:iCs/>
          <w:spacing w:val="-1"/>
          <w:sz w:val="24"/>
        </w:rPr>
        <w:t xml:space="preserve">Fluorescent and bright field images of cells were respectively taken with laser confocal microscopy (Leica TCS SP5, German) and light microscopy (Olympus, Japan). The fluorescent intensity of cells was determined by flow cytometry (Beckman coulter, USA). </w:t>
      </w:r>
      <w:r>
        <w:rPr>
          <w:rFonts w:hint="eastAsia" w:ascii="Times New Roman" w:hAnsi="Times New Roman" w:eastAsia="宋体" w:cs="Times New Roman"/>
          <w:iCs/>
          <w:color w:val="FF0000"/>
          <w:spacing w:val="-1"/>
          <w:sz w:val="24"/>
        </w:rPr>
        <w:t>The absorbance at 450 nm and 562</w:t>
      </w:r>
      <w:r>
        <w:rPr>
          <w:rFonts w:hint="eastAsia" w:ascii="Times New Roman" w:hAnsi="Times New Roman" w:eastAsia="宋体" w:cs="Times New Roman"/>
          <w:iCs/>
          <w:color w:val="FF0000"/>
          <w:spacing w:val="-1"/>
          <w:sz w:val="24"/>
          <w:lang w:val="en-US" w:eastAsia="zh-CN"/>
        </w:rPr>
        <w:t xml:space="preserve"> </w:t>
      </w:r>
      <w:r>
        <w:rPr>
          <w:rFonts w:hint="eastAsia" w:ascii="Times New Roman" w:hAnsi="Times New Roman" w:eastAsia="宋体" w:cs="Times New Roman"/>
          <w:iCs/>
          <w:color w:val="FF0000"/>
          <w:spacing w:val="-1"/>
          <w:sz w:val="24"/>
        </w:rPr>
        <w:t xml:space="preserve">nm was measured by </w:t>
      </w:r>
      <w:r>
        <w:rPr>
          <w:rFonts w:hint="eastAsia" w:ascii="Times New Roman" w:hAnsi="Times New Roman" w:eastAsia="宋体" w:cs="Times New Roman"/>
          <w:iCs/>
          <w:color w:val="FF0000"/>
          <w:spacing w:val="-1"/>
          <w:sz w:val="24"/>
          <w:lang w:val="en-US" w:eastAsia="zh-CN"/>
        </w:rPr>
        <w:t>m</w:t>
      </w:r>
      <w:r>
        <w:rPr>
          <w:rFonts w:hint="eastAsia" w:ascii="Times New Roman" w:hAnsi="Times New Roman" w:eastAsia="宋体" w:cs="Times New Roman"/>
          <w:iCs/>
          <w:color w:val="FF0000"/>
          <w:spacing w:val="-1"/>
          <w:sz w:val="24"/>
        </w:rPr>
        <w:t>icroplate</w:t>
      </w:r>
      <w:r>
        <w:rPr>
          <w:rFonts w:hint="eastAsia" w:ascii="Times New Roman" w:hAnsi="Times New Roman" w:eastAsia="宋体" w:cs="Times New Roman"/>
          <w:iCs/>
          <w:color w:val="FF0000"/>
          <w:spacing w:val="-1"/>
          <w:sz w:val="24"/>
          <w:lang w:val="en-US" w:eastAsia="zh-CN"/>
        </w:rPr>
        <w:t xml:space="preserve"> r</w:t>
      </w:r>
      <w:r>
        <w:rPr>
          <w:rFonts w:hint="eastAsia" w:ascii="Times New Roman" w:hAnsi="Times New Roman" w:eastAsia="宋体" w:cs="Times New Roman"/>
          <w:iCs/>
          <w:color w:val="FF0000"/>
          <w:spacing w:val="-1"/>
          <w:sz w:val="24"/>
        </w:rPr>
        <w:t>eader</w:t>
      </w:r>
      <w:r>
        <w:rPr>
          <w:rFonts w:hint="eastAsia" w:ascii="Times New Roman" w:hAnsi="Times New Roman" w:eastAsia="宋体" w:cs="Times New Roman"/>
          <w:iCs/>
          <w:color w:val="FF0000"/>
          <w:spacing w:val="-1"/>
          <w:sz w:val="24"/>
          <w:lang w:val="en-US" w:eastAsia="zh-CN"/>
        </w:rPr>
        <w:t xml:space="preserve"> (Synergy LX, BioTek, </w:t>
      </w:r>
      <w:r>
        <w:rPr>
          <w:rFonts w:ascii="Times New Roman" w:hAnsi="Times New Roman" w:eastAsia="宋体" w:cs="Times New Roman"/>
          <w:iCs/>
          <w:color w:val="FF0000"/>
          <w:spacing w:val="-1"/>
          <w:sz w:val="24"/>
        </w:rPr>
        <w:t>USA</w:t>
      </w:r>
      <w:r>
        <w:rPr>
          <w:rFonts w:hint="eastAsia" w:ascii="Times New Roman" w:hAnsi="Times New Roman" w:eastAsia="宋体" w:cs="Times New Roman"/>
          <w:iCs/>
          <w:color w:val="FF0000"/>
          <w:spacing w:val="-1"/>
          <w:sz w:val="24"/>
          <w:lang w:val="en-US" w:eastAsia="zh-CN"/>
        </w:rPr>
        <w:t xml:space="preserve">). </w:t>
      </w:r>
      <w:r>
        <w:rPr>
          <w:rFonts w:ascii="Times New Roman" w:hAnsi="Times New Roman" w:eastAsia="宋体" w:cs="Times New Roman"/>
          <w:iCs/>
          <w:spacing w:val="-1"/>
          <w:sz w:val="24"/>
        </w:rPr>
        <w:t>The OCR was acquired by Seahorse XFe24</w:t>
      </w:r>
      <w:r>
        <w:rPr>
          <w:rFonts w:hint="eastAsia" w:ascii="Times New Roman" w:hAnsi="Times New Roman" w:eastAsia="宋体" w:cs="Times New Roman"/>
          <w:iCs/>
          <w:spacing w:val="-1"/>
          <w:sz w:val="24"/>
        </w:rPr>
        <w:t xml:space="preserve"> </w:t>
      </w:r>
      <w:r>
        <w:rPr>
          <w:rFonts w:ascii="Times New Roman" w:hAnsi="Times New Roman" w:eastAsia="宋体" w:cs="Times New Roman"/>
          <w:iCs/>
          <w:spacing w:val="-1"/>
          <w:sz w:val="24"/>
        </w:rPr>
        <w:t>Bioanalyzer (Agilent, CA, USA).</w:t>
      </w:r>
      <w:r>
        <w:rPr>
          <w:rFonts w:hint="eastAsia" w:ascii="Times New Roman" w:hAnsi="Times New Roman" w:eastAsia="宋体" w:cs="Times New Roman"/>
          <w:iCs/>
          <w:spacing w:val="-1"/>
          <w:sz w:val="24"/>
          <w:lang w:val="en-US" w:eastAsia="zh-CN"/>
        </w:rPr>
        <w:t xml:space="preserve"> </w:t>
      </w:r>
      <w:r>
        <w:rPr>
          <w:rFonts w:hint="eastAsia" w:ascii="Times New Roman" w:hAnsi="Times New Roman" w:eastAsia="宋体" w:cs="Times New Roman"/>
          <w:iCs/>
          <w:color w:val="FF0000"/>
          <w:spacing w:val="-1"/>
          <w:sz w:val="24"/>
          <w:lang w:val="en-US" w:eastAsia="zh-CN"/>
        </w:rPr>
        <w:t xml:space="preserve">Flow cytometry was performed using BD FACSAria III (USA). Captured protein density was recorded on </w:t>
      </w:r>
      <w:bookmarkStart w:id="33" w:name="OLE_LINK16"/>
      <w:r>
        <w:rPr>
          <w:rFonts w:hint="eastAsia" w:ascii="Times New Roman" w:hAnsi="Times New Roman" w:eastAsia="宋体" w:cs="Times New Roman"/>
          <w:iCs/>
          <w:color w:val="FF0000"/>
          <w:spacing w:val="-1"/>
          <w:sz w:val="24"/>
          <w:lang w:val="en-US" w:eastAsia="zh-CN"/>
        </w:rPr>
        <w:t>ECL chemiluminescence system</w:t>
      </w:r>
      <w:bookmarkEnd w:id="33"/>
      <w:r>
        <w:rPr>
          <w:rFonts w:hint="eastAsia" w:ascii="Times New Roman" w:hAnsi="Times New Roman" w:eastAsia="宋体" w:cs="Times New Roman"/>
          <w:iCs/>
          <w:color w:val="FF0000"/>
          <w:spacing w:val="-1"/>
          <w:sz w:val="24"/>
          <w:lang w:val="en-US" w:eastAsia="zh-CN"/>
        </w:rPr>
        <w:t xml:space="preserve"> (Bio-Rad, Hercules, CA).</w:t>
      </w:r>
    </w:p>
    <w:p w14:paraId="7DA8CCB0">
      <w:pPr>
        <w:keepNext w:val="0"/>
        <w:keepLines w:val="0"/>
        <w:pageBreakBefore w:val="0"/>
        <w:tabs>
          <w:tab w:val="right" w:pos="8306"/>
        </w:tabs>
        <w:kinsoku/>
        <w:wordWrap/>
        <w:overflowPunct/>
        <w:topLinePunct w:val="0"/>
        <w:autoSpaceDE/>
        <w:autoSpaceDN/>
        <w:bidi w:val="0"/>
        <w:snapToGrid w:val="0"/>
        <w:spacing w:line="480" w:lineRule="auto"/>
        <w:ind w:firstLine="476" w:firstLineChars="200"/>
        <w:textAlignment w:val="auto"/>
        <w:rPr>
          <w:rFonts w:hint="default" w:ascii="Times New Roman" w:hAnsi="Times New Roman" w:eastAsia="宋体" w:cs="Times New Roman"/>
          <w:iCs/>
          <w:spacing w:val="-1"/>
          <w:sz w:val="24"/>
          <w:lang w:val="en-US" w:eastAsia="zh-CN"/>
        </w:rPr>
      </w:pPr>
    </w:p>
    <w:p w14:paraId="09CE2EA3">
      <w:pPr>
        <w:keepNext w:val="0"/>
        <w:keepLines w:val="0"/>
        <w:pageBreakBefore w:val="0"/>
        <w:kinsoku/>
        <w:wordWrap/>
        <w:overflowPunct/>
        <w:topLinePunct w:val="0"/>
        <w:autoSpaceDE/>
        <w:autoSpaceDN/>
        <w:bidi w:val="0"/>
        <w:snapToGrid w:val="0"/>
        <w:spacing w:line="480" w:lineRule="auto"/>
        <w:ind w:left="482" w:hanging="482" w:hangingChars="200"/>
        <w:textAlignment w:val="auto"/>
        <w:rPr>
          <w:rFonts w:ascii="Times New Roman" w:hAnsi="Times New Roman" w:cs="Times New Roman"/>
          <w:b/>
          <w:bCs/>
          <w:iCs/>
          <w:sz w:val="24"/>
        </w:rPr>
      </w:pPr>
      <w:bookmarkStart w:id="34" w:name="_Hlk126704352"/>
      <w:r>
        <w:rPr>
          <w:rFonts w:ascii="Times New Roman" w:hAnsi="Times New Roman" w:cs="Times New Roman"/>
          <w:b/>
          <w:bCs/>
          <w:iCs/>
          <w:sz w:val="24"/>
        </w:rPr>
        <w:t>Synthesis of the MNMG</w:t>
      </w:r>
    </w:p>
    <w:bookmarkEnd w:id="34"/>
    <w:p w14:paraId="4EAE9544">
      <w:pPr>
        <w:keepNext w:val="0"/>
        <w:keepLines w:val="0"/>
        <w:pageBreakBefore w:val="0"/>
        <w:kinsoku/>
        <w:wordWrap/>
        <w:overflowPunct/>
        <w:topLinePunct w:val="0"/>
        <w:autoSpaceDE/>
        <w:autoSpaceDN/>
        <w:bidi w:val="0"/>
        <w:snapToGrid w:val="0"/>
        <w:spacing w:line="480" w:lineRule="auto"/>
        <w:ind w:left="482" w:hanging="482" w:hangingChars="200"/>
        <w:textAlignment w:val="auto"/>
        <w:rPr>
          <w:rFonts w:ascii="Times New Roman" w:hAnsi="Times New Roman" w:cs="Times New Roman"/>
          <w:b/>
          <w:bCs/>
          <w:iCs/>
          <w:sz w:val="24"/>
        </w:rPr>
      </w:pPr>
      <w:r>
        <w:rPr>
          <w:rFonts w:ascii="Times New Roman" w:hAnsi="Times New Roman" w:cs="Times New Roman"/>
          <w:b/>
          <w:bCs/>
          <w:iCs/>
          <w:sz w:val="24"/>
        </w:rPr>
        <w:t>Preparation of GDYO:</w:t>
      </w:r>
    </w:p>
    <w:p w14:paraId="73F621C7">
      <w:pPr>
        <w:keepNext w:val="0"/>
        <w:keepLines w:val="0"/>
        <w:pageBreakBefore w:val="0"/>
        <w:kinsoku/>
        <w:wordWrap/>
        <w:overflowPunct/>
        <w:topLinePunct w:val="0"/>
        <w:autoSpaceDE/>
        <w:autoSpaceDN/>
        <w:bidi w:val="0"/>
        <w:snapToGrid w:val="0"/>
        <w:spacing w:line="480" w:lineRule="auto"/>
        <w:ind w:firstLine="480" w:firstLineChars="200"/>
        <w:textAlignment w:val="auto"/>
        <w:rPr>
          <w:rFonts w:ascii="Times New Roman" w:hAnsi="Times New Roman" w:cs="Times New Roman"/>
          <w:iCs/>
          <w:sz w:val="24"/>
        </w:rPr>
      </w:pPr>
      <w:r>
        <w:rPr>
          <w:rFonts w:ascii="Times New Roman" w:hAnsi="Times New Roman" w:cs="Times New Roman"/>
          <w:iCs/>
          <w:sz w:val="24"/>
        </w:rPr>
        <w:t>The GDY was prepared by professor Yuliang Li, Institute of Chemistry, Chinese Academy of Sciences, Beijing 100080, China</w:t>
      </w:r>
      <w:r>
        <w:rPr>
          <w:rFonts w:hint="eastAsia" w:ascii="Times New Roman" w:hAnsi="Times New Roman" w:cs="Times New Roman"/>
          <w:iCs/>
          <w:sz w:val="24"/>
        </w:rPr>
        <w:t xml:space="preserve">. </w:t>
      </w:r>
      <w:r>
        <w:rPr>
          <w:rFonts w:ascii="Times New Roman" w:hAnsi="Times New Roman" w:cs="Times New Roman"/>
          <w:iCs/>
          <w:sz w:val="24"/>
        </w:rPr>
        <w:t>In the case of an ice-water bath, 50 mg of GDY powder was added to a mixture of concentrated H</w:t>
      </w:r>
      <w:r>
        <w:rPr>
          <w:rFonts w:ascii="Times New Roman" w:hAnsi="Times New Roman" w:cs="Times New Roman"/>
          <w:iCs/>
          <w:sz w:val="24"/>
          <w:vertAlign w:val="subscript"/>
        </w:rPr>
        <w:t>2</w:t>
      </w:r>
      <w:r>
        <w:rPr>
          <w:rFonts w:ascii="Times New Roman" w:hAnsi="Times New Roman" w:cs="Times New Roman"/>
          <w:iCs/>
          <w:sz w:val="24"/>
        </w:rPr>
        <w:t>SO</w:t>
      </w:r>
      <w:r>
        <w:rPr>
          <w:rFonts w:ascii="Times New Roman" w:hAnsi="Times New Roman" w:cs="Times New Roman"/>
          <w:iCs/>
          <w:sz w:val="24"/>
          <w:vertAlign w:val="subscript"/>
        </w:rPr>
        <w:t>4</w:t>
      </w:r>
      <w:r>
        <w:rPr>
          <w:rFonts w:ascii="Times New Roman" w:hAnsi="Times New Roman" w:cs="Times New Roman"/>
          <w:iCs/>
          <w:sz w:val="24"/>
        </w:rPr>
        <w:t xml:space="preserve"> and concentrated HNO</w:t>
      </w:r>
      <w:r>
        <w:rPr>
          <w:rFonts w:ascii="Times New Roman" w:hAnsi="Times New Roman" w:cs="Times New Roman"/>
          <w:iCs/>
          <w:sz w:val="24"/>
          <w:vertAlign w:val="subscript"/>
        </w:rPr>
        <w:t>3</w:t>
      </w:r>
      <w:r>
        <w:rPr>
          <w:rFonts w:ascii="Times New Roman" w:hAnsi="Times New Roman" w:cs="Times New Roman"/>
          <w:iCs/>
          <w:sz w:val="24"/>
        </w:rPr>
        <w:t xml:space="preserve"> (1:2 by volume) and stirred for 12 hours</w:t>
      </w:r>
      <w:r>
        <w:rPr>
          <w:rFonts w:ascii="Times New Roman" w:hAnsi="Times New Roman" w:cs="Times New Roman"/>
          <w:iCs/>
          <w:sz w:val="24"/>
          <w:vertAlign w:val="superscript"/>
        </w:rPr>
        <w:fldChar w:fldCharType="begin">
          <w:fldData xml:space="preserve">PEVuZE5vdGU+PENpdGU+PEF1dGhvcj5KaWFuZzwvQXV0aG9yPjxZZWFyPjIwMTk8L1llYXI+PFJl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</w:fldData>
        </w:fldChar>
      </w:r>
      <w:r>
        <w:rPr>
          <w:rFonts w:ascii="Times New Roman" w:hAnsi="Times New Roman" w:cs="Times New Roman"/>
          <w:iCs/>
          <w:sz w:val="24"/>
          <w:vertAlign w:val="superscript"/>
        </w:rPr>
        <w:instrText xml:space="preserve"> ADDIN EN.CITE </w:instrText>
      </w:r>
      <w:r>
        <w:rPr>
          <w:rFonts w:ascii="Times New Roman" w:hAnsi="Times New Roman" w:cs="Times New Roman"/>
          <w:iCs/>
          <w:sz w:val="24"/>
          <w:vertAlign w:val="superscript"/>
        </w:rPr>
        <w:fldChar w:fldCharType="begin">
          <w:fldData xml:space="preserve">PEVuZE5vdGU+PENpdGU+PEF1dGhvcj5KaWFuZzwvQXV0aG9yPjxZZWFyPjIwMTk8L1llYXI+PFJl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</w:fldData>
        </w:fldChar>
      </w:r>
      <w:r>
        <w:rPr>
          <w:rFonts w:ascii="Times New Roman" w:hAnsi="Times New Roman" w:cs="Times New Roman"/>
          <w:iCs/>
          <w:sz w:val="24"/>
          <w:vertAlign w:val="superscript"/>
        </w:rPr>
        <w:instrText xml:space="preserve"> ADDIN EN.CITE.DATA </w:instrText>
      </w:r>
      <w:r>
        <w:rPr>
          <w:rFonts w:ascii="Times New Roman" w:hAnsi="Times New Roman" w:cs="Times New Roman"/>
          <w:iCs/>
          <w:sz w:val="24"/>
        </w:rPr>
        <w:fldChar w:fldCharType="end"/>
      </w:r>
      <w:r>
        <w:rPr>
          <w:rFonts w:ascii="Times New Roman" w:hAnsi="Times New Roman" w:cs="Times New Roman"/>
          <w:iCs/>
          <w:sz w:val="24"/>
          <w:vertAlign w:val="superscript"/>
        </w:rPr>
        <w:fldChar w:fldCharType="separate"/>
      </w:r>
      <w:r>
        <w:rPr>
          <w:rFonts w:ascii="Times New Roman" w:hAnsi="Times New Roman" w:cs="Times New Roman"/>
          <w:iCs/>
          <w:sz w:val="24"/>
          <w:vertAlign w:val="superscript"/>
        </w:rPr>
        <w:t>[1]</w:t>
      </w:r>
      <w:r>
        <w:rPr>
          <w:rFonts w:ascii="Times New Roman" w:hAnsi="Times New Roman" w:cs="Times New Roman"/>
          <w:iCs/>
          <w:sz w:val="24"/>
        </w:rPr>
        <w:fldChar w:fldCharType="end"/>
      </w:r>
      <w:r>
        <w:rPr>
          <w:rFonts w:ascii="Times New Roman" w:hAnsi="Times New Roman" w:cs="Times New Roman"/>
          <w:iCs/>
          <w:sz w:val="24"/>
        </w:rPr>
        <w:t>. The above mixture was centrifuged, and the precipitate was collected. This precipitate was then poured into 200 mL of ddH</w:t>
      </w:r>
      <w:r>
        <w:rPr>
          <w:rFonts w:ascii="Times New Roman" w:hAnsi="Times New Roman" w:cs="Times New Roman"/>
          <w:iCs/>
          <w:sz w:val="24"/>
          <w:vertAlign w:val="subscript"/>
        </w:rPr>
        <w:t>2</w:t>
      </w:r>
      <w:r>
        <w:rPr>
          <w:rFonts w:ascii="Times New Roman" w:hAnsi="Times New Roman" w:cs="Times New Roman"/>
          <w:iCs/>
          <w:sz w:val="24"/>
        </w:rPr>
        <w:t>O, collected by centrifugation, and washed five times with ddH</w:t>
      </w:r>
      <w:r>
        <w:rPr>
          <w:rFonts w:ascii="Times New Roman" w:hAnsi="Times New Roman" w:cs="Times New Roman"/>
          <w:iCs/>
          <w:sz w:val="24"/>
          <w:vertAlign w:val="subscript"/>
        </w:rPr>
        <w:t>2</w:t>
      </w:r>
      <w:r>
        <w:rPr>
          <w:rFonts w:ascii="Times New Roman" w:hAnsi="Times New Roman" w:cs="Times New Roman"/>
          <w:iCs/>
          <w:sz w:val="24"/>
        </w:rPr>
        <w:t>O to remove residual acids and impurities to obtain a dark brown precipitate. The pellet was redispersed in a mixture of 40 mL ddH</w:t>
      </w:r>
      <w:r>
        <w:rPr>
          <w:rFonts w:ascii="Times New Roman" w:hAnsi="Times New Roman" w:cs="Times New Roman"/>
          <w:iCs/>
          <w:sz w:val="24"/>
          <w:vertAlign w:val="subscript"/>
        </w:rPr>
        <w:t>2</w:t>
      </w:r>
      <w:r>
        <w:rPr>
          <w:rFonts w:ascii="Times New Roman" w:hAnsi="Times New Roman" w:cs="Times New Roman"/>
          <w:iCs/>
          <w:sz w:val="24"/>
        </w:rPr>
        <w:t>O and 0.05 mL HCl, and the black-brown suspension was sonicated at 10°C for 24 hours (150 W, 40 kHz). To remove unstripped and large aggregated nanosheets, the suspension was centrifuged (3000 rpm, 5 minutes) to leave the supernatant to obtain ultrathin GDYO nanosheet suspension. Finally, the GDYO nanosheet suspension was freeze-dried and stored in inert gas.</w:t>
      </w:r>
    </w:p>
    <w:p w14:paraId="4F41AA5F">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Synthesis of GDYO@SP94:</w:t>
      </w:r>
    </w:p>
    <w:p w14:paraId="21EC04B6">
      <w:pPr>
        <w:keepNext w:val="0"/>
        <w:keepLines w:val="0"/>
        <w:pageBreakBefore w:val="0"/>
        <w:kinsoku/>
        <w:wordWrap/>
        <w:overflowPunct/>
        <w:topLinePunct w:val="0"/>
        <w:autoSpaceDE/>
        <w:autoSpaceDN/>
        <w:bidi w:val="0"/>
        <w:snapToGrid w:val="0"/>
        <w:spacing w:line="480" w:lineRule="auto"/>
        <w:textAlignment w:val="auto"/>
      </w:pPr>
      <w:r>
        <w:rPr>
          <w:rFonts w:ascii="Times New Roman" w:hAnsi="Times New Roman" w:cs="Times New Roman"/>
          <w:iCs/>
          <w:sz w:val="24"/>
        </w:rPr>
        <w:t>5 mg of GDYO powder was mixed with H</w:t>
      </w:r>
      <w:r>
        <w:rPr>
          <w:rFonts w:ascii="Times New Roman" w:hAnsi="Times New Roman" w:cs="Times New Roman"/>
          <w:iCs/>
          <w:sz w:val="24"/>
          <w:vertAlign w:val="subscript"/>
        </w:rPr>
        <w:t>2</w:t>
      </w:r>
      <w:r>
        <w:rPr>
          <w:rFonts w:ascii="Times New Roman" w:hAnsi="Times New Roman" w:cs="Times New Roman"/>
          <w:iCs/>
          <w:sz w:val="24"/>
        </w:rPr>
        <w:t>N-PEG-NH</w:t>
      </w:r>
      <w:r>
        <w:rPr>
          <w:rFonts w:ascii="Times New Roman" w:hAnsi="Times New Roman" w:cs="Times New Roman"/>
          <w:iCs/>
          <w:sz w:val="24"/>
          <w:vertAlign w:val="subscript"/>
        </w:rPr>
        <w:t>2</w:t>
      </w:r>
      <w:r>
        <w:rPr>
          <w:rFonts w:ascii="Times New Roman" w:hAnsi="Times New Roman" w:cs="Times New Roman"/>
          <w:iCs/>
          <w:sz w:val="24"/>
        </w:rPr>
        <w:t xml:space="preserve"> (15 mg mL</w:t>
      </w:r>
      <w:r>
        <w:rPr>
          <w:rFonts w:ascii="Times New Roman" w:hAnsi="Times New Roman" w:cs="Times New Roman"/>
          <w:iCs/>
          <w:sz w:val="24"/>
          <w:vertAlign w:val="superscript"/>
        </w:rPr>
        <w:t>-1</w:t>
      </w:r>
      <w:r>
        <w:rPr>
          <w:rFonts w:ascii="Times New Roman" w:hAnsi="Times New Roman" w:cs="Times New Roman"/>
          <w:iCs/>
          <w:sz w:val="24"/>
        </w:rPr>
        <w:t xml:space="preserve">, 1 mL) (pH = 8.0) and sonicated for 5 minutes. After adding </w:t>
      </w:r>
      <w:bookmarkStart w:id="35" w:name="OLE_LINK2"/>
      <w:bookmarkStart w:id="36" w:name="OLE_LINK3"/>
      <w:r>
        <w:rPr>
          <w:rFonts w:ascii="Times New Roman" w:hAnsi="Times New Roman" w:cs="Times New Roman"/>
          <w:iCs/>
          <w:sz w:val="24"/>
        </w:rPr>
        <w:t xml:space="preserve">carbodiimide </w:t>
      </w:r>
      <w:bookmarkEnd w:id="35"/>
      <w:r>
        <w:rPr>
          <w:rFonts w:ascii="Times New Roman" w:hAnsi="Times New Roman" w:cs="Times New Roman"/>
          <w:iCs/>
          <w:sz w:val="24"/>
        </w:rPr>
        <w:t>(EDC</w:t>
      </w:r>
      <w:bookmarkEnd w:id="36"/>
      <w:r>
        <w:rPr>
          <w:rFonts w:ascii="Times New Roman" w:hAnsi="Times New Roman" w:cs="Times New Roman"/>
          <w:iCs/>
          <w:sz w:val="24"/>
        </w:rPr>
        <w:t>, 5 mg mL</w:t>
      </w:r>
      <w:r>
        <w:rPr>
          <w:rFonts w:ascii="Times New Roman" w:hAnsi="Times New Roman" w:cs="Times New Roman"/>
          <w:iCs/>
          <w:sz w:val="24"/>
          <w:vertAlign w:val="superscript"/>
        </w:rPr>
        <w:t>-1</w:t>
      </w:r>
      <w:r>
        <w:rPr>
          <w:rFonts w:ascii="Times New Roman" w:hAnsi="Times New Roman" w:cs="Times New Roman"/>
          <w:iCs/>
          <w:sz w:val="24"/>
        </w:rPr>
        <w:t xml:space="preserve">, 1 mL) and </w:t>
      </w:r>
      <w:bookmarkStart w:id="37" w:name="OLE_LINK4"/>
      <w:r>
        <w:rPr>
          <w:rFonts w:ascii="Times New Roman" w:hAnsi="Times New Roman" w:cs="Times New Roman"/>
          <w:iCs/>
          <w:sz w:val="24"/>
        </w:rPr>
        <w:t>N-hydroxysuccinimide (NHS</w:t>
      </w:r>
      <w:bookmarkEnd w:id="37"/>
      <w:r>
        <w:rPr>
          <w:rFonts w:ascii="Times New Roman" w:hAnsi="Times New Roman" w:cs="Times New Roman"/>
          <w:iCs/>
          <w:sz w:val="24"/>
        </w:rPr>
        <w:t>, 6 mg mL</w:t>
      </w:r>
      <w:r>
        <w:rPr>
          <w:rFonts w:ascii="Times New Roman" w:hAnsi="Times New Roman" w:cs="Times New Roman"/>
          <w:iCs/>
          <w:sz w:val="24"/>
          <w:vertAlign w:val="superscript"/>
        </w:rPr>
        <w:t>-1</w:t>
      </w:r>
      <w:r>
        <w:rPr>
          <w:rFonts w:ascii="Times New Roman" w:hAnsi="Times New Roman" w:cs="Times New Roman"/>
          <w:iCs/>
          <w:sz w:val="24"/>
        </w:rPr>
        <w:t>, 1 mL, pH = 8.0) to the mixture, it was sonicated for 30 minutes. After stirring at 4°C for 12 hours, the dark brown precipitate was collected by centrifugation (13,000 rpm, 15 minutes) and redispersed in 500</w:t>
      </w:r>
      <w:bookmarkStart w:id="38" w:name="OLE_LINK20"/>
      <w:r>
        <w:rPr>
          <w:rFonts w:ascii="Times New Roman" w:hAnsi="Times New Roman" w:cs="Times New Roman"/>
          <w:iCs/>
          <w:sz w:val="24"/>
        </w:rPr>
        <w:t xml:space="preserve"> μ</w:t>
      </w:r>
      <w:bookmarkEnd w:id="38"/>
      <w:r>
        <w:rPr>
          <w:rFonts w:ascii="Times New Roman" w:hAnsi="Times New Roman" w:cs="Times New Roman"/>
          <w:iCs/>
          <w:sz w:val="24"/>
        </w:rPr>
        <w:t>L of DMSO. Continuing to add 5 mg of EDC and 6 mg of NHS to the suspension and adjust the pH to 6.0. After stirring the suspension for a further 15 minutes, 1.25 mg of SP94 short peptide powder was added, and stirring was continued at 4°C for 24 hours. Repeated centrifugation and collection yielded GDYO@SP94.</w:t>
      </w:r>
    </w:p>
    <w:p w14:paraId="12049245">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Loading of drugs and genes:</w:t>
      </w:r>
    </w:p>
    <w:p w14:paraId="703F2D27">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Branched polyethyleneimine (PEI, 12.5 mg mL</w:t>
      </w:r>
      <w:r>
        <w:rPr>
          <w:rFonts w:ascii="Times New Roman" w:hAnsi="Times New Roman" w:cs="Times New Roman"/>
          <w:iCs/>
          <w:sz w:val="24"/>
          <w:vertAlign w:val="superscript"/>
        </w:rPr>
        <w:t>-1</w:t>
      </w:r>
      <w:r>
        <w:rPr>
          <w:rFonts w:ascii="Times New Roman" w:hAnsi="Times New Roman" w:cs="Times New Roman"/>
          <w:iCs/>
          <w:sz w:val="24"/>
        </w:rPr>
        <w:t>, 1 mL) and EDC (final concentration 2.5 mg mL</w:t>
      </w:r>
      <w:r>
        <w:rPr>
          <w:rFonts w:ascii="Times New Roman" w:hAnsi="Times New Roman" w:cs="Times New Roman"/>
          <w:iCs/>
          <w:sz w:val="24"/>
          <w:vertAlign w:val="superscript"/>
        </w:rPr>
        <w:t>-1</w:t>
      </w:r>
      <w:r>
        <w:rPr>
          <w:rFonts w:ascii="Times New Roman" w:hAnsi="Times New Roman" w:cs="Times New Roman"/>
          <w:iCs/>
          <w:sz w:val="24"/>
        </w:rPr>
        <w:t xml:space="preserve">) were incorporated with the redispersed GDYO@SP94 suspension and stirred for 6 hours. </w:t>
      </w:r>
      <w:r>
        <w:rPr>
          <w:rFonts w:hint="eastAsia" w:ascii="Times New Roman" w:hAnsi="Times New Roman" w:cs="Times New Roman"/>
          <w:iCs/>
          <w:color w:val="FF0000"/>
          <w:sz w:val="24"/>
        </w:rPr>
        <w:t>DOX (400</w:t>
      </w:r>
      <w:bookmarkStart w:id="39" w:name="OLE_LINK27"/>
      <w:r>
        <w:rPr>
          <w:rFonts w:ascii="Times New Roman" w:hAnsi="Times New Roman" w:cs="Times New Roman"/>
          <w:iCs/>
          <w:color w:val="FF0000"/>
          <w:sz w:val="24"/>
        </w:rPr>
        <w:t xml:space="preserve"> μ</w:t>
      </w:r>
      <w:r>
        <w:rPr>
          <w:rFonts w:hint="eastAsia" w:ascii="Times New Roman" w:hAnsi="Times New Roman" w:cs="Times New Roman"/>
          <w:iCs/>
          <w:color w:val="FF0000"/>
          <w:sz w:val="24"/>
          <w:lang w:val="en-US" w:eastAsia="zh-CN"/>
        </w:rPr>
        <w:t>L</w:t>
      </w:r>
      <w:bookmarkEnd w:id="39"/>
      <w:r>
        <w:rPr>
          <w:rFonts w:hint="eastAsia" w:ascii="Times New Roman" w:hAnsi="Times New Roman" w:cs="Times New Roman"/>
          <w:iCs/>
          <w:color w:val="FF0000"/>
          <w:sz w:val="24"/>
        </w:rPr>
        <w:t>, 10 mg/mL) and anhydrous ferrous chloride (0.63 mg) were dissolved in 100</w:t>
      </w:r>
      <w:r>
        <w:rPr>
          <w:rFonts w:ascii="Times New Roman" w:hAnsi="Times New Roman" w:cs="Times New Roman"/>
          <w:iCs/>
          <w:color w:val="FF0000"/>
          <w:sz w:val="24"/>
        </w:rPr>
        <w:t xml:space="preserve"> μ</w:t>
      </w:r>
      <w:r>
        <w:rPr>
          <w:rFonts w:hint="eastAsia" w:ascii="Times New Roman" w:hAnsi="Times New Roman" w:cs="Times New Roman"/>
          <w:iCs/>
          <w:color w:val="FF0000"/>
          <w:sz w:val="24"/>
          <w:lang w:val="en-US" w:eastAsia="zh-CN"/>
        </w:rPr>
        <w:t>L</w:t>
      </w:r>
      <w:r>
        <w:rPr>
          <w:rFonts w:hint="eastAsia" w:ascii="Times New Roman" w:hAnsi="Times New Roman" w:cs="Times New Roman"/>
          <w:iCs/>
          <w:color w:val="FF0000"/>
          <w:sz w:val="24"/>
        </w:rPr>
        <w:t xml:space="preserve"> DMSO and quickly mixed uniformly to obtain black-purple DOX-Fe</w:t>
      </w:r>
      <w:r>
        <w:rPr>
          <w:rFonts w:hint="eastAsia" w:ascii="Times New Roman" w:hAnsi="Times New Roman" w:cs="Times New Roman"/>
          <w:iCs/>
          <w:color w:val="FF0000"/>
          <w:sz w:val="24"/>
          <w:vertAlign w:val="superscript"/>
        </w:rPr>
        <w:t>2+</w:t>
      </w:r>
      <w:r>
        <w:rPr>
          <w:rFonts w:hint="eastAsia" w:ascii="Times New Roman" w:hAnsi="Times New Roman" w:cs="Times New Roman"/>
          <w:iCs/>
          <w:color w:val="FF0000"/>
          <w:sz w:val="24"/>
        </w:rPr>
        <w:t xml:space="preserve"> solution</w:t>
      </w:r>
      <w:r>
        <w:rPr>
          <w:rFonts w:hint="eastAsia" w:ascii="Times New Roman" w:hAnsi="Times New Roman" w:cs="Times New Roman"/>
          <w:iCs/>
          <w:color w:val="FF0000"/>
          <w:sz w:val="24"/>
          <w:vertAlign w:val="superscript"/>
          <w:lang w:val="en-US" w:eastAsia="zh-CN"/>
        </w:rPr>
        <w:t>[2]</w:t>
      </w:r>
      <w:r>
        <w:rPr>
          <w:rFonts w:hint="eastAsia" w:ascii="Times New Roman" w:hAnsi="Times New Roman" w:cs="Times New Roman"/>
          <w:iCs/>
          <w:color w:val="FF0000"/>
          <w:sz w:val="24"/>
        </w:rPr>
        <w:t>.</w:t>
      </w:r>
      <w:r>
        <w:rPr>
          <w:rFonts w:hint="eastAsia" w:ascii="Times New Roman" w:hAnsi="Times New Roman" w:cs="Times New Roman"/>
          <w:iCs/>
          <w:color w:val="FF0000"/>
          <w:sz w:val="24"/>
          <w:lang w:val="en-US" w:eastAsia="zh-CN"/>
        </w:rPr>
        <w:t xml:space="preserve"> </w:t>
      </w:r>
      <w:r>
        <w:rPr>
          <w:rFonts w:hint="eastAsia" w:ascii="Times New Roman" w:hAnsi="Times New Roman" w:cs="Times New Roman"/>
          <w:iCs/>
          <w:color w:val="FF0000"/>
          <w:sz w:val="24"/>
        </w:rPr>
        <w:t>DOX-Fe</w:t>
      </w:r>
      <w:r>
        <w:rPr>
          <w:rFonts w:hint="eastAsia" w:ascii="Times New Roman" w:hAnsi="Times New Roman" w:cs="Times New Roman"/>
          <w:iCs/>
          <w:color w:val="FF0000"/>
          <w:sz w:val="24"/>
          <w:vertAlign w:val="superscript"/>
        </w:rPr>
        <w:t>2+</w:t>
      </w:r>
      <w:r>
        <w:rPr>
          <w:rFonts w:hint="eastAsia" w:ascii="Times New Roman" w:hAnsi="Times New Roman" w:cs="Times New Roman"/>
          <w:iCs/>
          <w:color w:val="FF0000"/>
          <w:sz w:val="24"/>
        </w:rPr>
        <w:t>, sorafenib (400</w:t>
      </w:r>
      <w:r>
        <w:rPr>
          <w:rFonts w:ascii="Times New Roman" w:hAnsi="Times New Roman" w:cs="Times New Roman"/>
          <w:iCs/>
          <w:color w:val="FF0000"/>
          <w:sz w:val="24"/>
        </w:rPr>
        <w:t xml:space="preserve"> μ</w:t>
      </w:r>
      <w:r>
        <w:rPr>
          <w:rFonts w:hint="eastAsia" w:ascii="Times New Roman" w:hAnsi="Times New Roman" w:cs="Times New Roman"/>
          <w:iCs/>
          <w:color w:val="FF0000"/>
          <w:sz w:val="24"/>
          <w:lang w:val="en-US" w:eastAsia="zh-CN"/>
        </w:rPr>
        <w:t>L</w:t>
      </w:r>
      <w:r>
        <w:rPr>
          <w:rFonts w:hint="eastAsia" w:ascii="Times New Roman" w:hAnsi="Times New Roman" w:cs="Times New Roman"/>
          <w:iCs/>
          <w:color w:val="FF0000"/>
          <w:sz w:val="24"/>
        </w:rPr>
        <w:t xml:space="preserve">, 10 mg/mL), and the previously prepared GDYO@SP94 suspension were directly mixed evenly without static and other operations, </w:t>
      </w:r>
      <w:r>
        <w:rPr>
          <w:rFonts w:ascii="Times New Roman" w:hAnsi="Times New Roman" w:cs="Times New Roman"/>
          <w:iCs/>
          <w:color w:val="FF0000"/>
          <w:sz w:val="24"/>
        </w:rPr>
        <w:t>sonicated</w:t>
      </w:r>
      <w:r>
        <w:rPr>
          <w:rFonts w:hint="eastAsia" w:ascii="Times New Roman" w:hAnsi="Times New Roman" w:cs="Times New Roman"/>
          <w:iCs/>
          <w:color w:val="FF0000"/>
          <w:sz w:val="24"/>
        </w:rPr>
        <w:t xml:space="preserve"> at 4</w:t>
      </w:r>
      <w:r>
        <w:rPr>
          <w:rFonts w:ascii="Times New Roman" w:hAnsi="Times New Roman" w:cs="Times New Roman"/>
          <w:iCs/>
          <w:color w:val="FF0000"/>
          <w:sz w:val="24"/>
        </w:rPr>
        <w:t>°C</w:t>
      </w:r>
      <w:r>
        <w:rPr>
          <w:rFonts w:hint="eastAsia" w:ascii="Times New Roman" w:hAnsi="Times New Roman" w:cs="Times New Roman"/>
          <w:iCs/>
          <w:color w:val="FF0000"/>
          <w:sz w:val="24"/>
        </w:rPr>
        <w:t xml:space="preserve"> for 12 hours and stirred for 24 hours.</w:t>
      </w:r>
      <w:r>
        <w:rPr>
          <w:rFonts w:hint="eastAsia" w:ascii="Times New Roman" w:hAnsi="Times New Roman" w:cs="Times New Roman"/>
          <w:iCs/>
          <w:color w:val="FF0000"/>
          <w:sz w:val="24"/>
          <w:lang w:val="en-US" w:eastAsia="zh-CN"/>
        </w:rPr>
        <w:t xml:space="preserve"> </w:t>
      </w:r>
      <w:r>
        <w:rPr>
          <w:rFonts w:ascii="Times New Roman" w:hAnsi="Times New Roman" w:cs="Times New Roman"/>
          <w:iCs/>
          <w:sz w:val="24"/>
        </w:rPr>
        <w:t>After centrifugation (13000 rpm, 15 minutes), the supernatant and the lower sediment were collected, and the drug-loaded nanocomposite GDYO@SP94/DOX-Fe</w:t>
      </w:r>
      <w:r>
        <w:rPr>
          <w:rFonts w:ascii="Times New Roman" w:hAnsi="Times New Roman" w:cs="Times New Roman"/>
          <w:iCs/>
          <w:sz w:val="24"/>
          <w:vertAlign w:val="superscript"/>
        </w:rPr>
        <w:t>2+</w:t>
      </w:r>
      <w:r>
        <w:rPr>
          <w:rFonts w:ascii="Times New Roman" w:hAnsi="Times New Roman" w:cs="Times New Roman"/>
          <w:iCs/>
          <w:sz w:val="24"/>
        </w:rPr>
        <w:t>/Sorafenib was obtained after freeze drying for 5 hours. The nano complex was re-dispersed in DMSO, the corresponding concentration was calculated, and an equal volume of siRNA (20 nM) was used. The multifunctional nanomedicine GDYO@SP94/DOX-Fe</w:t>
      </w:r>
      <w:r>
        <w:rPr>
          <w:rFonts w:ascii="Times New Roman" w:hAnsi="Times New Roman" w:cs="Times New Roman"/>
          <w:iCs/>
          <w:sz w:val="24"/>
          <w:vertAlign w:val="superscript"/>
        </w:rPr>
        <w:t>2+</w:t>
      </w:r>
      <w:r>
        <w:rPr>
          <w:rFonts w:ascii="Times New Roman" w:hAnsi="Times New Roman" w:cs="Times New Roman"/>
          <w:iCs/>
          <w:sz w:val="24"/>
        </w:rPr>
        <w:t>/Sorafenib/</w:t>
      </w:r>
      <w:r>
        <w:rPr>
          <w:rFonts w:ascii="Times New Roman" w:hAnsi="Times New Roman" w:cs="Times New Roman"/>
          <w:i/>
          <w:iCs/>
          <w:sz w:val="24"/>
        </w:rPr>
        <w:t>SLC7A11</w:t>
      </w:r>
      <w:r>
        <w:rPr>
          <w:rFonts w:ascii="Times New Roman" w:hAnsi="Times New Roman" w:cs="Times New Roman"/>
          <w:iCs/>
          <w:sz w:val="24"/>
        </w:rPr>
        <w:t>-i (MNMG) was ultimately obtained.</w:t>
      </w:r>
    </w:p>
    <w:p w14:paraId="4433E677">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p>
    <w:p w14:paraId="14AE8BFA">
      <w:pPr>
        <w:keepNext w:val="0"/>
        <w:keepLines w:val="0"/>
        <w:pageBreakBefore w:val="0"/>
        <w:kinsoku/>
        <w:wordWrap/>
        <w:overflowPunct/>
        <w:topLinePunct w:val="0"/>
        <w:autoSpaceDE/>
        <w:autoSpaceDN/>
        <w:bidi w:val="0"/>
        <w:snapToGrid w:val="0"/>
        <w:spacing w:line="480" w:lineRule="auto"/>
        <w:jc w:val="left"/>
        <w:textAlignment w:val="auto"/>
        <w:rPr>
          <w:rFonts w:hint="default" w:ascii="Times New Roman" w:hAnsi="Times New Roman" w:cs="Times New Roman"/>
          <w:b/>
          <w:bCs/>
          <w:iCs/>
          <w:color w:val="FF0000"/>
          <w:sz w:val="24"/>
          <w:lang w:val="en-US" w:eastAsia="zh-CN"/>
        </w:rPr>
      </w:pPr>
      <w:r>
        <w:rPr>
          <w:rFonts w:hint="eastAsia" w:ascii="Times New Roman" w:hAnsi="Times New Roman" w:cs="Times New Roman"/>
          <w:b/>
          <w:bCs/>
          <w:iCs/>
          <w:color w:val="FF0000"/>
          <w:sz w:val="24"/>
          <w:lang w:val="en-US" w:eastAsia="zh-CN"/>
        </w:rPr>
        <w:t>Supplementary figures</w:t>
      </w:r>
    </w:p>
    <w:p w14:paraId="3D88D0DC">
      <w:pPr>
        <w:keepNext w:val="0"/>
        <w:keepLines w:val="0"/>
        <w:pageBreakBefore w:val="0"/>
        <w:kinsoku/>
        <w:wordWrap/>
        <w:overflowPunct/>
        <w:topLinePunct w:val="0"/>
        <w:autoSpaceDE/>
        <w:autoSpaceDN/>
        <w:bidi w:val="0"/>
        <w:snapToGrid w:val="0"/>
        <w:spacing w:line="480" w:lineRule="auto"/>
        <w:jc w:val="center"/>
        <w:textAlignment w:val="auto"/>
        <w:rPr>
          <w:rFonts w:hint="eastAsia" w:ascii="Times New Roman" w:hAnsi="Times New Roman" w:cs="Times New Roman" w:eastAsiaTheme="minorEastAsia"/>
          <w:iCs/>
          <w:sz w:val="24"/>
          <w:lang w:eastAsia="zh-CN"/>
        </w:rPr>
      </w:pPr>
      <w:r>
        <w:rPr>
          <w:rFonts w:hint="eastAsia" w:ascii="Times New Roman" w:hAnsi="Times New Roman" w:cs="Times New Roman" w:eastAsiaTheme="minorEastAsia"/>
          <w:iCs/>
          <w:sz w:val="24"/>
          <w:lang w:eastAsia="zh-CN"/>
        </w:rPr>
        <w:drawing>
          <wp:inline distT="0" distB="0" distL="114300" distR="114300">
            <wp:extent cx="4176395" cy="1456055"/>
            <wp:effectExtent l="0" t="0" r="1905" b="444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rcRect t="1527"/>
                    <a:stretch>
                      <a:fillRect/>
                    </a:stretch>
                  </pic:blipFill>
                  <pic:spPr>
                    <a:xfrm>
                      <a:off x="0" y="0"/>
                      <a:ext cx="4176395" cy="1456055"/>
                    </a:xfrm>
                    <a:prstGeom prst="rect">
                      <a:avLst/>
                    </a:prstGeom>
                  </pic:spPr>
                </pic:pic>
              </a:graphicData>
            </a:graphic>
          </wp:inline>
        </w:drawing>
      </w:r>
    </w:p>
    <w:p w14:paraId="2B7B246F">
      <w:pPr>
        <w:keepNext w:val="0"/>
        <w:keepLines w:val="0"/>
        <w:widowControl/>
        <w:suppressLineNumbers w:val="0"/>
        <w:spacing w:line="480" w:lineRule="auto"/>
        <w:jc w:val="left"/>
        <w:rPr>
          <w:color w:val="FF0000"/>
          <w:sz w:val="24"/>
          <w:szCs w:val="24"/>
        </w:rPr>
      </w:pPr>
      <w:r>
        <w:rPr>
          <w:rFonts w:ascii="Times New Roman" w:hAnsi="Times New Roman" w:eastAsia="Times New Roman" w:cs="Times New Roman"/>
          <w:b/>
          <w:bCs/>
          <w:color w:val="FF0000"/>
          <w:spacing w:val="-1"/>
          <w:sz w:val="24"/>
        </w:rPr>
        <w:t>Fi</w:t>
      </w:r>
      <w:r>
        <w:rPr>
          <w:rFonts w:hint="eastAsia" w:ascii="Times New Roman" w:hAnsi="Times New Roman" w:cs="Times New Roman"/>
          <w:b/>
          <w:bCs/>
          <w:color w:val="FF0000"/>
          <w:spacing w:val="-1"/>
          <w:sz w:val="24"/>
        </w:rPr>
        <w:t>g</w:t>
      </w:r>
      <w:r>
        <w:rPr>
          <w:rFonts w:hint="eastAsia" w:ascii="Times New Roman" w:hAnsi="Times New Roman" w:cs="Times New Roman"/>
          <w:b/>
          <w:bCs/>
          <w:color w:val="FF0000"/>
          <w:spacing w:val="-1"/>
          <w:sz w:val="24"/>
          <w:lang w:val="en-US" w:eastAsia="zh-CN"/>
        </w:rPr>
        <w:t>ure</w:t>
      </w:r>
      <w:r>
        <w:rPr>
          <w:rFonts w:hint="eastAsia" w:ascii="Times New Roman" w:hAnsi="Times New Roman" w:cs="Times New Roman"/>
          <w:color w:val="FF0000"/>
          <w:spacing w:val="14"/>
          <w:sz w:val="24"/>
        </w:rPr>
        <w:t xml:space="preserve"> </w:t>
      </w:r>
      <w:r>
        <w:rPr>
          <w:rFonts w:ascii="Times New Roman" w:hAnsi="Times New Roman" w:eastAsia="Times New Roman" w:cs="Times New Roman"/>
          <w:b/>
          <w:bCs/>
          <w:color w:val="FF0000"/>
          <w:spacing w:val="-1"/>
          <w:sz w:val="24"/>
        </w:rPr>
        <w:t>S</w:t>
      </w:r>
      <w:r>
        <w:rPr>
          <w:rFonts w:hint="eastAsia" w:ascii="Times New Roman" w:hAnsi="Times New Roman" w:cs="Times New Roman"/>
          <w:b/>
          <w:bCs/>
          <w:color w:val="FF0000"/>
          <w:spacing w:val="-1"/>
          <w:sz w:val="24"/>
        </w:rPr>
        <w:t>1</w:t>
      </w:r>
      <w:r>
        <w:rPr>
          <w:rFonts w:ascii="Times New Roman" w:hAnsi="Times New Roman" w:eastAsia="Times New Roman" w:cs="Times New Roman"/>
          <w:b/>
          <w:bCs/>
          <w:color w:val="FF0000"/>
          <w:spacing w:val="-1"/>
          <w:sz w:val="24"/>
        </w:rPr>
        <w:t>.</w:t>
      </w:r>
      <w:r>
        <w:rPr>
          <w:rFonts w:hint="eastAsia" w:ascii="Times New Roman" w:hAnsi="Times New Roman" w:eastAsia="宋体" w:cs="Times New Roman"/>
          <w:b/>
          <w:bCs/>
          <w:color w:val="FF0000"/>
          <w:spacing w:val="-1"/>
          <w:sz w:val="24"/>
          <w:lang w:val="en-US" w:eastAsia="zh-CN"/>
        </w:rPr>
        <w:t xml:space="preserve"> </w:t>
      </w:r>
      <w:r>
        <w:rPr>
          <w:rFonts w:hint="default" w:ascii="Times New Roman" w:hAnsi="Times New Roman" w:eastAsia="宋体" w:cs="Times New Roman"/>
          <w:color w:val="FF0000"/>
          <w:kern w:val="0"/>
          <w:sz w:val="24"/>
          <w:szCs w:val="24"/>
          <w:lang w:val="en-US" w:eastAsia="zh-CN" w:bidi="ar"/>
        </w:rPr>
        <w:t xml:space="preserve">GDYO photographed under an atomic force microscope. Scale bar: 1 μm. </w:t>
      </w:r>
    </w:p>
    <w:p w14:paraId="7FC8651D">
      <w:pPr>
        <w:keepNext w:val="0"/>
        <w:keepLines w:val="0"/>
        <w:pageBreakBefore w:val="0"/>
        <w:kinsoku/>
        <w:wordWrap/>
        <w:overflowPunct/>
        <w:topLinePunct w:val="0"/>
        <w:autoSpaceDE/>
        <w:autoSpaceDN/>
        <w:bidi w:val="0"/>
        <w:snapToGrid w:val="0"/>
        <w:spacing w:line="480" w:lineRule="auto"/>
        <w:jc w:val="left"/>
        <w:textAlignment w:val="auto"/>
        <w:rPr>
          <w:rFonts w:hint="default" w:ascii="Times New Roman" w:hAnsi="Times New Roman" w:eastAsia="宋体" w:cs="Times New Roman"/>
          <w:iCs/>
          <w:color w:val="FF0000"/>
          <w:sz w:val="24"/>
          <w:szCs w:val="24"/>
          <w:lang w:val="en-US" w:eastAsia="zh-CN"/>
        </w:rPr>
      </w:pPr>
      <w:r>
        <w:rPr>
          <w:rFonts w:hint="eastAsia" w:ascii="Times New Roman" w:hAnsi="Times New Roman" w:eastAsia="宋体" w:cs="Times New Roman"/>
          <w:iCs/>
          <w:color w:val="FF0000"/>
          <w:sz w:val="24"/>
          <w:szCs w:val="24"/>
          <w:lang w:val="en-US" w:eastAsia="zh-CN"/>
        </w:rPr>
        <w:t>On the right is the corresponding statistical graph.</w:t>
      </w:r>
    </w:p>
    <w:p w14:paraId="3C7DC642">
      <w:pPr>
        <w:keepNext w:val="0"/>
        <w:keepLines w:val="0"/>
        <w:pageBreakBefore w:val="0"/>
        <w:kinsoku/>
        <w:wordWrap/>
        <w:overflowPunct/>
        <w:topLinePunct w:val="0"/>
        <w:autoSpaceDE/>
        <w:autoSpaceDN/>
        <w:bidi w:val="0"/>
        <w:snapToGrid w:val="0"/>
        <w:spacing w:line="480" w:lineRule="auto"/>
        <w:jc w:val="center"/>
        <w:textAlignment w:val="auto"/>
        <w:rPr>
          <w:rFonts w:hint="eastAsia" w:ascii="Times New Roman" w:hAnsi="Times New Roman" w:cs="Times New Roman" w:eastAsiaTheme="minorEastAsia"/>
          <w:iCs/>
          <w:sz w:val="24"/>
          <w:lang w:eastAsia="zh-CN"/>
        </w:rPr>
      </w:pPr>
      <w:r>
        <w:rPr>
          <w:rFonts w:hint="eastAsia" w:ascii="Times New Roman" w:hAnsi="Times New Roman" w:cs="Times New Roman" w:eastAsiaTheme="minorEastAsia"/>
          <w:iCs/>
          <w:sz w:val="24"/>
          <w:lang w:eastAsia="zh-CN"/>
        </w:rPr>
        <w:drawing>
          <wp:inline distT="0" distB="0" distL="114300" distR="114300">
            <wp:extent cx="3255010" cy="1908175"/>
            <wp:effectExtent l="0" t="0" r="8890" b="952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3255010" cy="1908175"/>
                    </a:xfrm>
                    <a:prstGeom prst="rect">
                      <a:avLst/>
                    </a:prstGeom>
                  </pic:spPr>
                </pic:pic>
              </a:graphicData>
            </a:graphic>
          </wp:inline>
        </w:drawing>
      </w:r>
    </w:p>
    <w:p w14:paraId="054FBC8A">
      <w:pPr>
        <w:keepNext w:val="0"/>
        <w:keepLines w:val="0"/>
        <w:pageBreakBefore w:val="0"/>
        <w:kinsoku/>
        <w:wordWrap/>
        <w:overflowPunct/>
        <w:topLinePunct w:val="0"/>
        <w:autoSpaceDE/>
        <w:autoSpaceDN/>
        <w:bidi w:val="0"/>
        <w:snapToGrid w:val="0"/>
        <w:spacing w:line="480" w:lineRule="auto"/>
        <w:jc w:val="left"/>
        <w:textAlignment w:val="auto"/>
        <w:rPr>
          <w:rFonts w:ascii="Times New Roman" w:hAnsi="Times New Roman" w:cs="Times New Roman"/>
          <w:iCs/>
          <w:color w:val="FF0000"/>
          <w:sz w:val="24"/>
        </w:rPr>
      </w:pPr>
      <w:r>
        <w:rPr>
          <w:rFonts w:ascii="Times New Roman" w:hAnsi="Times New Roman" w:eastAsia="Times New Roman" w:cs="Times New Roman"/>
          <w:b/>
          <w:bCs/>
          <w:color w:val="FF0000"/>
          <w:spacing w:val="-1"/>
          <w:sz w:val="24"/>
        </w:rPr>
        <w:t>Fi</w:t>
      </w:r>
      <w:r>
        <w:rPr>
          <w:rFonts w:hint="eastAsia" w:ascii="Times New Roman" w:hAnsi="Times New Roman" w:cs="Times New Roman"/>
          <w:b/>
          <w:bCs/>
          <w:color w:val="FF0000"/>
          <w:spacing w:val="-1"/>
          <w:sz w:val="24"/>
        </w:rPr>
        <w:t>g</w:t>
      </w:r>
      <w:r>
        <w:rPr>
          <w:rFonts w:hint="eastAsia" w:ascii="Times New Roman" w:hAnsi="Times New Roman" w:cs="Times New Roman"/>
          <w:b/>
          <w:bCs/>
          <w:color w:val="FF0000"/>
          <w:spacing w:val="-1"/>
          <w:sz w:val="24"/>
          <w:lang w:val="en-US" w:eastAsia="zh-CN"/>
        </w:rPr>
        <w:t>ure</w:t>
      </w:r>
      <w:r>
        <w:rPr>
          <w:rFonts w:hint="eastAsia" w:ascii="Times New Roman" w:hAnsi="Times New Roman" w:cs="Times New Roman"/>
          <w:color w:val="FF0000"/>
          <w:spacing w:val="14"/>
          <w:sz w:val="24"/>
        </w:rPr>
        <w:t xml:space="preserve"> </w:t>
      </w:r>
      <w:r>
        <w:rPr>
          <w:rFonts w:ascii="Times New Roman" w:hAnsi="Times New Roman" w:eastAsia="Times New Roman" w:cs="Times New Roman"/>
          <w:b/>
          <w:bCs/>
          <w:color w:val="FF0000"/>
          <w:spacing w:val="-1"/>
          <w:sz w:val="24"/>
        </w:rPr>
        <w:t>S</w:t>
      </w:r>
      <w:r>
        <w:rPr>
          <w:rFonts w:hint="eastAsia" w:ascii="Times New Roman" w:hAnsi="Times New Roman" w:eastAsia="宋体" w:cs="Times New Roman"/>
          <w:b/>
          <w:bCs/>
          <w:color w:val="FF0000"/>
          <w:spacing w:val="-1"/>
          <w:sz w:val="24"/>
          <w:lang w:val="en-US" w:eastAsia="zh-CN"/>
        </w:rPr>
        <w:t>2</w:t>
      </w:r>
      <w:r>
        <w:rPr>
          <w:rFonts w:ascii="Times New Roman" w:hAnsi="Times New Roman" w:eastAsia="Times New Roman" w:cs="Times New Roman"/>
          <w:b/>
          <w:bCs/>
          <w:color w:val="FF0000"/>
          <w:spacing w:val="-1"/>
          <w:sz w:val="24"/>
        </w:rPr>
        <w:t>.</w:t>
      </w:r>
      <w:r>
        <w:rPr>
          <w:rFonts w:hint="eastAsia" w:ascii="Times New Roman" w:hAnsi="Times New Roman" w:eastAsia="宋体" w:cs="Times New Roman"/>
          <w:b/>
          <w:bCs/>
          <w:color w:val="FF0000"/>
          <w:spacing w:val="-1"/>
          <w:sz w:val="24"/>
          <w:lang w:val="en-US" w:eastAsia="zh-CN"/>
        </w:rPr>
        <w:t xml:space="preserve"> </w:t>
      </w:r>
      <w:bookmarkStart w:id="40" w:name="OLE_LINK5"/>
      <w:r>
        <w:rPr>
          <w:rFonts w:ascii="Times New Roman" w:hAnsi="Times New Roman" w:eastAsia="Times New Roman" w:cs="Times New Roman"/>
          <w:color w:val="FF0000"/>
          <w:spacing w:val="-1"/>
          <w:sz w:val="24"/>
        </w:rPr>
        <w:t>UV</w:t>
      </w:r>
      <w:r>
        <w:rPr>
          <w:rFonts w:hint="eastAsia" w:ascii="Times New Roman" w:hAnsi="Times New Roman" w:eastAsia="宋体" w:cs="Times New Roman"/>
          <w:color w:val="FF0000"/>
          <w:spacing w:val="-1"/>
          <w:sz w:val="24"/>
          <w:lang w:val="en-US" w:eastAsia="zh-CN"/>
        </w:rPr>
        <w:t>-</w:t>
      </w:r>
      <w:r>
        <w:rPr>
          <w:rFonts w:ascii="Times New Roman" w:hAnsi="Times New Roman" w:eastAsia="Times New Roman" w:cs="Times New Roman"/>
          <w:color w:val="FF0000"/>
          <w:spacing w:val="-1"/>
          <w:sz w:val="24"/>
        </w:rPr>
        <w:t>Vis</w:t>
      </w:r>
      <w:r>
        <w:rPr>
          <w:rFonts w:ascii="Times New Roman" w:hAnsi="Times New Roman" w:eastAsia="Times New Roman" w:cs="Times New Roman"/>
          <w:color w:val="FF0000"/>
          <w:spacing w:val="9"/>
          <w:sz w:val="24"/>
        </w:rPr>
        <w:t xml:space="preserve"> </w:t>
      </w:r>
      <w:r>
        <w:rPr>
          <w:rFonts w:ascii="Times New Roman" w:hAnsi="Times New Roman" w:eastAsia="Times New Roman" w:cs="Times New Roman"/>
          <w:color w:val="FF0000"/>
          <w:spacing w:val="-1"/>
          <w:sz w:val="24"/>
        </w:rPr>
        <w:t>absorption</w:t>
      </w:r>
      <w:r>
        <w:rPr>
          <w:rFonts w:ascii="Times New Roman" w:hAnsi="Times New Roman" w:eastAsia="Times New Roman" w:cs="Times New Roman"/>
          <w:color w:val="FF0000"/>
          <w:spacing w:val="11"/>
          <w:w w:val="101"/>
          <w:sz w:val="24"/>
        </w:rPr>
        <w:t xml:space="preserve"> </w:t>
      </w:r>
      <w:r>
        <w:rPr>
          <w:rFonts w:ascii="Times New Roman" w:hAnsi="Times New Roman" w:eastAsia="Times New Roman" w:cs="Times New Roman"/>
          <w:color w:val="FF0000"/>
          <w:spacing w:val="-1"/>
          <w:sz w:val="24"/>
        </w:rPr>
        <w:t>spectra</w:t>
      </w:r>
      <w:r>
        <w:rPr>
          <w:rFonts w:ascii="Times New Roman" w:hAnsi="Times New Roman" w:eastAsia="Times New Roman" w:cs="Times New Roman"/>
          <w:color w:val="FF0000"/>
          <w:spacing w:val="8"/>
          <w:sz w:val="24"/>
        </w:rPr>
        <w:t xml:space="preserve"> </w:t>
      </w:r>
      <w:r>
        <w:rPr>
          <w:rFonts w:ascii="Times New Roman" w:hAnsi="Times New Roman" w:eastAsia="Times New Roman" w:cs="Times New Roman"/>
          <w:color w:val="FF0000"/>
          <w:spacing w:val="-1"/>
          <w:sz w:val="24"/>
        </w:rPr>
        <w:t>of</w:t>
      </w:r>
      <w:bookmarkEnd w:id="40"/>
      <w:r>
        <w:rPr>
          <w:rFonts w:hint="eastAsia" w:ascii="Times New Roman" w:hAnsi="Times New Roman" w:cs="Times New Roman"/>
          <w:color w:val="FF0000"/>
          <w:spacing w:val="-1"/>
          <w:sz w:val="24"/>
        </w:rPr>
        <w:t xml:space="preserve"> </w:t>
      </w:r>
      <w:r>
        <w:rPr>
          <w:rFonts w:hint="eastAsia" w:ascii="Times New Roman" w:hAnsi="Times New Roman" w:cs="Times New Roman"/>
          <w:color w:val="FF0000"/>
          <w:spacing w:val="-1"/>
          <w:sz w:val="24"/>
          <w:lang w:val="en-US" w:eastAsia="zh-CN"/>
        </w:rPr>
        <w:t>SP94, siRNA and sorafenib.</w:t>
      </w:r>
    </w:p>
    <w:p w14:paraId="302D2280">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cs="Times New Roman" w:eastAsiaTheme="minorEastAsia"/>
          <w:iCs/>
          <w:sz w:val="24"/>
          <w:lang w:eastAsia="zh-CN"/>
        </w:rPr>
      </w:pPr>
      <w:r>
        <w:rPr>
          <w:rFonts w:hint="eastAsia" w:ascii="Times New Roman" w:hAnsi="Times New Roman" w:cs="Times New Roman" w:eastAsiaTheme="minorEastAsia"/>
          <w:iCs/>
          <w:sz w:val="24"/>
          <w:lang w:eastAsia="zh-CN"/>
        </w:rPr>
        <w:drawing>
          <wp:inline distT="0" distB="0" distL="114300" distR="114300">
            <wp:extent cx="5268595" cy="4106545"/>
            <wp:effectExtent l="0" t="0" r="1905" b="8255"/>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6"/>
                    <a:stretch>
                      <a:fillRect/>
                    </a:stretch>
                  </pic:blipFill>
                  <pic:spPr>
                    <a:xfrm>
                      <a:off x="0" y="0"/>
                      <a:ext cx="5268595" cy="4106545"/>
                    </a:xfrm>
                    <a:prstGeom prst="rect">
                      <a:avLst/>
                    </a:prstGeom>
                  </pic:spPr>
                </pic:pic>
              </a:graphicData>
            </a:graphic>
          </wp:inline>
        </w:drawing>
      </w:r>
    </w:p>
    <w:p w14:paraId="59759B95">
      <w:pPr>
        <w:spacing w:line="480" w:lineRule="auto"/>
        <w:rPr>
          <w:rFonts w:hint="eastAsia" w:ascii="Times New Roman" w:hAnsi="Times New Roman" w:cs="Times New Roman" w:eastAsiaTheme="minorEastAsia"/>
          <w:color w:val="FF0000"/>
          <w:spacing w:val="9"/>
          <w:sz w:val="24"/>
          <w:lang w:val="en-US" w:eastAsia="zh-CN"/>
        </w:rPr>
      </w:pPr>
      <w:r>
        <w:rPr>
          <w:rFonts w:ascii="Times New Roman" w:hAnsi="Times New Roman" w:eastAsia="Times New Roman" w:cs="Times New Roman"/>
          <w:b/>
          <w:bCs/>
          <w:color w:val="FF0000"/>
          <w:spacing w:val="-1"/>
          <w:sz w:val="24"/>
        </w:rPr>
        <w:t>Fi</w:t>
      </w:r>
      <w:r>
        <w:rPr>
          <w:rFonts w:hint="eastAsia" w:ascii="Times New Roman" w:hAnsi="Times New Roman" w:cs="Times New Roman"/>
          <w:b/>
          <w:bCs/>
          <w:color w:val="FF0000"/>
          <w:spacing w:val="-1"/>
          <w:sz w:val="24"/>
        </w:rPr>
        <w:t>g</w:t>
      </w:r>
      <w:r>
        <w:rPr>
          <w:rFonts w:hint="eastAsia" w:ascii="Times New Roman" w:hAnsi="Times New Roman" w:cs="Times New Roman"/>
          <w:b/>
          <w:bCs/>
          <w:color w:val="FF0000"/>
          <w:spacing w:val="-1"/>
          <w:sz w:val="24"/>
          <w:lang w:val="en-US" w:eastAsia="zh-CN"/>
        </w:rPr>
        <w:t>ure</w:t>
      </w:r>
      <w:r>
        <w:rPr>
          <w:rFonts w:hint="eastAsia" w:ascii="Times New Roman" w:hAnsi="Times New Roman" w:cs="Times New Roman"/>
          <w:color w:val="FF0000"/>
          <w:spacing w:val="14"/>
          <w:sz w:val="24"/>
        </w:rPr>
        <w:t xml:space="preserve"> </w:t>
      </w:r>
      <w:r>
        <w:rPr>
          <w:rFonts w:ascii="Times New Roman" w:hAnsi="Times New Roman" w:eastAsia="Times New Roman" w:cs="Times New Roman"/>
          <w:b/>
          <w:bCs/>
          <w:color w:val="FF0000"/>
          <w:spacing w:val="-1"/>
          <w:sz w:val="24"/>
        </w:rPr>
        <w:t>S</w:t>
      </w:r>
      <w:r>
        <w:rPr>
          <w:rFonts w:hint="eastAsia" w:ascii="Times New Roman" w:hAnsi="Times New Roman" w:eastAsia="宋体" w:cs="Times New Roman"/>
          <w:b/>
          <w:bCs/>
          <w:color w:val="FF0000"/>
          <w:spacing w:val="-1"/>
          <w:sz w:val="24"/>
          <w:lang w:val="en-US" w:eastAsia="zh-CN"/>
        </w:rPr>
        <w:t>3</w:t>
      </w:r>
      <w:r>
        <w:rPr>
          <w:rFonts w:ascii="Times New Roman" w:hAnsi="Times New Roman" w:eastAsia="Times New Roman" w:cs="Times New Roman"/>
          <w:b/>
          <w:bCs/>
          <w:color w:val="FF0000"/>
          <w:spacing w:val="-1"/>
          <w:sz w:val="24"/>
        </w:rPr>
        <w:t>.</w:t>
      </w:r>
      <w:r>
        <w:rPr>
          <w:rFonts w:hint="eastAsia" w:ascii="Times New Roman" w:hAnsi="Times New Roman" w:eastAsia="宋体" w:cs="Times New Roman"/>
          <w:b/>
          <w:bCs/>
          <w:color w:val="FF0000"/>
          <w:spacing w:val="-1"/>
          <w:sz w:val="24"/>
          <w:lang w:val="en-US" w:eastAsia="zh-CN"/>
        </w:rPr>
        <w:t xml:space="preserve"> </w:t>
      </w:r>
      <w:bookmarkStart w:id="41" w:name="OLE_LINK8"/>
      <w:r>
        <w:rPr>
          <w:rFonts w:hint="eastAsia" w:ascii="Times New Roman" w:hAnsi="Times New Roman" w:eastAsia="宋体" w:cs="Times New Roman"/>
          <w:b/>
          <w:bCs/>
          <w:color w:val="FF0000"/>
          <w:spacing w:val="-1"/>
          <w:sz w:val="24"/>
          <w:lang w:val="en-US" w:eastAsia="zh-CN"/>
        </w:rPr>
        <w:t>Characterization of</w:t>
      </w:r>
      <w:bookmarkEnd w:id="41"/>
      <w:r>
        <w:rPr>
          <w:rFonts w:hint="eastAsia" w:ascii="Times New Roman" w:hAnsi="Times New Roman" w:eastAsia="宋体" w:cs="Times New Roman"/>
          <w:b/>
          <w:bCs/>
          <w:color w:val="FF0000"/>
          <w:spacing w:val="-1"/>
          <w:sz w:val="24"/>
          <w:lang w:val="en-US" w:eastAsia="zh-CN"/>
        </w:rPr>
        <w:t xml:space="preserve"> DOX-Fe</w:t>
      </w:r>
      <w:r>
        <w:rPr>
          <w:rFonts w:hint="eastAsia" w:ascii="Times New Roman" w:hAnsi="Times New Roman" w:eastAsia="宋体" w:cs="Times New Roman"/>
          <w:b/>
          <w:bCs/>
          <w:color w:val="FF0000"/>
          <w:spacing w:val="-1"/>
          <w:sz w:val="24"/>
          <w:vertAlign w:val="superscript"/>
          <w:lang w:val="en-US" w:eastAsia="zh-CN"/>
        </w:rPr>
        <w:t>2+</w:t>
      </w:r>
      <w:r>
        <w:rPr>
          <w:rFonts w:hint="eastAsia" w:ascii="Times New Roman" w:hAnsi="Times New Roman" w:eastAsia="宋体" w:cs="Times New Roman"/>
          <w:b/>
          <w:bCs/>
          <w:color w:val="FF0000"/>
          <w:spacing w:val="-1"/>
          <w:sz w:val="24"/>
          <w:lang w:val="en-US" w:eastAsia="zh-CN"/>
        </w:rPr>
        <w:t>.</w:t>
      </w:r>
      <w:r>
        <w:rPr>
          <w:rFonts w:hint="eastAsia" w:ascii="Times New Roman" w:hAnsi="Times New Roman" w:eastAsia="宋体" w:cs="Times New Roman"/>
          <w:b w:val="0"/>
          <w:bCs w:val="0"/>
          <w:color w:val="FF0000"/>
          <w:spacing w:val="-1"/>
          <w:sz w:val="24"/>
          <w:lang w:val="en-US" w:eastAsia="zh-CN"/>
        </w:rPr>
        <w:t xml:space="preserve"> (A) </w:t>
      </w:r>
      <w:r>
        <w:rPr>
          <w:rFonts w:ascii="Times New Roman" w:hAnsi="Times New Roman" w:eastAsia="Times New Roman" w:cs="Times New Roman"/>
          <w:color w:val="FF0000"/>
          <w:spacing w:val="-1"/>
          <w:sz w:val="24"/>
        </w:rPr>
        <w:t>UV</w:t>
      </w:r>
      <w:r>
        <w:rPr>
          <w:rFonts w:hint="eastAsia" w:ascii="Times New Roman" w:hAnsi="Times New Roman" w:eastAsia="宋体" w:cs="Times New Roman"/>
          <w:color w:val="FF0000"/>
          <w:spacing w:val="-1"/>
          <w:sz w:val="24"/>
          <w:lang w:val="en-US" w:eastAsia="zh-CN"/>
        </w:rPr>
        <w:t>-</w:t>
      </w:r>
      <w:r>
        <w:rPr>
          <w:rFonts w:ascii="Times New Roman" w:hAnsi="Times New Roman" w:eastAsia="Times New Roman" w:cs="Times New Roman"/>
          <w:color w:val="FF0000"/>
          <w:spacing w:val="-1"/>
          <w:sz w:val="24"/>
        </w:rPr>
        <w:t>Vis</w:t>
      </w:r>
      <w:r>
        <w:rPr>
          <w:rFonts w:ascii="Times New Roman" w:hAnsi="Times New Roman" w:eastAsia="Times New Roman" w:cs="Times New Roman"/>
          <w:color w:val="FF0000"/>
          <w:spacing w:val="9"/>
          <w:sz w:val="24"/>
        </w:rPr>
        <w:t xml:space="preserve"> </w:t>
      </w:r>
      <w:r>
        <w:rPr>
          <w:rFonts w:ascii="Times New Roman" w:hAnsi="Times New Roman" w:eastAsia="Times New Roman" w:cs="Times New Roman"/>
          <w:color w:val="FF0000"/>
          <w:spacing w:val="-1"/>
          <w:sz w:val="24"/>
        </w:rPr>
        <w:t>absorption</w:t>
      </w:r>
      <w:r>
        <w:rPr>
          <w:rFonts w:ascii="Times New Roman" w:hAnsi="Times New Roman" w:eastAsia="Times New Roman" w:cs="Times New Roman"/>
          <w:color w:val="FF0000"/>
          <w:spacing w:val="11"/>
          <w:w w:val="101"/>
          <w:sz w:val="24"/>
        </w:rPr>
        <w:t xml:space="preserve"> </w:t>
      </w:r>
      <w:r>
        <w:rPr>
          <w:rFonts w:ascii="Times New Roman" w:hAnsi="Times New Roman" w:eastAsia="Times New Roman" w:cs="Times New Roman"/>
          <w:color w:val="FF0000"/>
          <w:spacing w:val="-1"/>
          <w:sz w:val="24"/>
        </w:rPr>
        <w:t>spectra</w:t>
      </w:r>
      <w:r>
        <w:rPr>
          <w:rFonts w:ascii="Times New Roman" w:hAnsi="Times New Roman" w:eastAsia="Times New Roman" w:cs="Times New Roman"/>
          <w:color w:val="FF0000"/>
          <w:spacing w:val="8"/>
          <w:sz w:val="24"/>
        </w:rPr>
        <w:t xml:space="preserve"> </w:t>
      </w:r>
      <w:r>
        <w:rPr>
          <w:rFonts w:ascii="Times New Roman" w:hAnsi="Times New Roman" w:eastAsia="Times New Roman" w:cs="Times New Roman"/>
          <w:color w:val="FF0000"/>
          <w:spacing w:val="-1"/>
          <w:sz w:val="24"/>
        </w:rPr>
        <w:t>of</w:t>
      </w:r>
      <w:r>
        <w:rPr>
          <w:rFonts w:hint="eastAsia" w:ascii="Times New Roman" w:hAnsi="Times New Roman" w:eastAsia="宋体" w:cs="Times New Roman"/>
          <w:color w:val="FF0000"/>
          <w:spacing w:val="-1"/>
          <w:sz w:val="24"/>
          <w:lang w:val="en-US" w:eastAsia="zh-CN"/>
        </w:rPr>
        <w:t xml:space="preserve"> DOX, Fe</w:t>
      </w:r>
      <w:r>
        <w:rPr>
          <w:rFonts w:hint="eastAsia" w:ascii="Times New Roman" w:hAnsi="Times New Roman" w:eastAsia="宋体" w:cs="Times New Roman"/>
          <w:color w:val="FF0000"/>
          <w:spacing w:val="-1"/>
          <w:sz w:val="24"/>
          <w:vertAlign w:val="baseline"/>
          <w:lang w:val="en-US" w:eastAsia="zh-CN"/>
        </w:rPr>
        <w:t>Cl</w:t>
      </w:r>
      <w:r>
        <w:rPr>
          <w:rFonts w:hint="eastAsia" w:ascii="Times New Roman" w:hAnsi="Times New Roman" w:eastAsia="宋体" w:cs="Times New Roman"/>
          <w:color w:val="FF0000"/>
          <w:spacing w:val="-1"/>
          <w:sz w:val="24"/>
          <w:vertAlign w:val="subscript"/>
          <w:lang w:val="en-US" w:eastAsia="zh-CN"/>
        </w:rPr>
        <w:t>2</w:t>
      </w:r>
      <w:r>
        <w:rPr>
          <w:rFonts w:hint="eastAsia" w:ascii="Times New Roman" w:hAnsi="Times New Roman" w:eastAsia="宋体" w:cs="Times New Roman"/>
          <w:color w:val="FF0000"/>
          <w:spacing w:val="-1"/>
          <w:sz w:val="24"/>
          <w:lang w:val="en-US" w:eastAsia="zh-CN"/>
        </w:rPr>
        <w:t>, DOX-Fe</w:t>
      </w:r>
      <w:r>
        <w:rPr>
          <w:rFonts w:hint="eastAsia" w:ascii="Times New Roman" w:hAnsi="Times New Roman" w:eastAsia="宋体" w:cs="Times New Roman"/>
          <w:color w:val="FF0000"/>
          <w:spacing w:val="-1"/>
          <w:sz w:val="24"/>
          <w:vertAlign w:val="superscript"/>
          <w:lang w:val="en-US" w:eastAsia="zh-CN"/>
        </w:rPr>
        <w:t>2+</w:t>
      </w:r>
      <w:r>
        <w:rPr>
          <w:rFonts w:hint="eastAsia" w:ascii="Times New Roman" w:hAnsi="Times New Roman" w:eastAsia="宋体" w:cs="Times New Roman"/>
          <w:color w:val="FF0000"/>
          <w:spacing w:val="-1"/>
          <w:sz w:val="24"/>
          <w:lang w:val="en-US" w:eastAsia="zh-CN"/>
        </w:rPr>
        <w:t xml:space="preserve">. (B) </w:t>
      </w:r>
      <w:r>
        <w:rPr>
          <w:rFonts w:ascii="Times New Roman" w:hAnsi="Times New Roman" w:eastAsia="Times New Roman" w:cs="Times New Roman"/>
          <w:color w:val="FF0000"/>
          <w:spacing w:val="9"/>
          <w:sz w:val="24"/>
        </w:rPr>
        <w:t xml:space="preserve">XPS </w:t>
      </w:r>
      <w:r>
        <w:rPr>
          <w:rFonts w:hint="eastAsia" w:ascii="Times New Roman" w:hAnsi="Times New Roman" w:eastAsia="Times New Roman" w:cs="Times New Roman"/>
          <w:color w:val="FF0000"/>
          <w:spacing w:val="9"/>
          <w:sz w:val="24"/>
          <w:lang w:val="en-US" w:eastAsia="zh-CN"/>
        </w:rPr>
        <w:t xml:space="preserve">full survey </w:t>
      </w:r>
      <w:r>
        <w:rPr>
          <w:rFonts w:ascii="Times New Roman" w:hAnsi="Times New Roman" w:eastAsia="Times New Roman" w:cs="Times New Roman"/>
          <w:color w:val="FF0000"/>
          <w:spacing w:val="9"/>
          <w:sz w:val="24"/>
        </w:rPr>
        <w:t xml:space="preserve">spectra </w:t>
      </w:r>
      <w:r>
        <w:rPr>
          <w:rFonts w:hint="eastAsia" w:ascii="Times New Roman" w:hAnsi="Times New Roman" w:eastAsia="Times New Roman" w:cs="Times New Roman"/>
          <w:color w:val="FF0000"/>
          <w:spacing w:val="9"/>
          <w:sz w:val="24"/>
          <w:lang w:val="en-US" w:eastAsia="zh-CN"/>
        </w:rPr>
        <w:t>of DOX, FeCl</w:t>
      </w:r>
      <w:r>
        <w:rPr>
          <w:rFonts w:hint="eastAsia" w:ascii="Times New Roman" w:hAnsi="Times New Roman" w:eastAsia="Times New Roman" w:cs="Times New Roman"/>
          <w:color w:val="FF0000"/>
          <w:spacing w:val="9"/>
          <w:sz w:val="24"/>
          <w:vertAlign w:val="subscript"/>
          <w:lang w:val="en-US" w:eastAsia="zh-CN"/>
        </w:rPr>
        <w:t>2</w:t>
      </w:r>
      <w:r>
        <w:rPr>
          <w:rFonts w:hint="eastAsia" w:ascii="Times New Roman" w:hAnsi="Times New Roman" w:eastAsia="Times New Roman" w:cs="Times New Roman"/>
          <w:color w:val="FF0000"/>
          <w:spacing w:val="9"/>
          <w:sz w:val="24"/>
          <w:lang w:val="en-US" w:eastAsia="zh-CN"/>
        </w:rPr>
        <w:t>, DOX-Fe</w:t>
      </w:r>
      <w:r>
        <w:rPr>
          <w:rFonts w:hint="eastAsia" w:ascii="Times New Roman" w:hAnsi="Times New Roman" w:eastAsia="Times New Roman" w:cs="Times New Roman"/>
          <w:color w:val="FF0000"/>
          <w:spacing w:val="9"/>
          <w:sz w:val="24"/>
          <w:vertAlign w:val="superscript"/>
          <w:lang w:val="en-US" w:eastAsia="zh-CN"/>
        </w:rPr>
        <w:t>2+</w:t>
      </w:r>
      <w:r>
        <w:rPr>
          <w:rFonts w:hint="eastAsia" w:ascii="Times New Roman" w:hAnsi="Times New Roman" w:eastAsia="Times New Roman" w:cs="Times New Roman"/>
          <w:color w:val="FF0000"/>
          <w:spacing w:val="9"/>
          <w:sz w:val="24"/>
          <w:lang w:val="en-US" w:eastAsia="zh-CN"/>
        </w:rPr>
        <w:t xml:space="preserve">. (C) </w:t>
      </w:r>
      <w:r>
        <w:rPr>
          <w:rFonts w:hint="eastAsia" w:ascii="Times New Roman" w:hAnsi="Times New Roman" w:eastAsia="宋体" w:cs="Times New Roman"/>
          <w:color w:val="FF0000"/>
          <w:spacing w:val="-1"/>
          <w:sz w:val="24"/>
          <w:lang w:val="en-US" w:eastAsia="zh-CN"/>
        </w:rPr>
        <w:t xml:space="preserve"> </w:t>
      </w:r>
      <w:r>
        <w:rPr>
          <w:rFonts w:ascii="Times New Roman" w:hAnsi="Times New Roman" w:eastAsia="Times New Roman" w:cs="Times New Roman"/>
          <w:color w:val="FF0000"/>
          <w:spacing w:val="9"/>
          <w:sz w:val="24"/>
        </w:rPr>
        <w:t>XPS</w:t>
      </w:r>
      <w:r>
        <w:rPr>
          <w:rFonts w:hint="eastAsia" w:ascii="Times New Roman" w:hAnsi="Times New Roman" w:eastAsia="宋体" w:cs="Times New Roman"/>
          <w:color w:val="FF0000"/>
          <w:spacing w:val="9"/>
          <w:sz w:val="24"/>
          <w:lang w:val="en-US" w:eastAsia="zh-CN"/>
        </w:rPr>
        <w:t xml:space="preserve"> </w:t>
      </w:r>
      <w:r>
        <w:rPr>
          <w:rFonts w:hint="eastAsia" w:ascii="Times New Roman" w:hAnsi="Times New Roman" w:eastAsia="Times New Roman" w:cs="Times New Roman"/>
          <w:color w:val="FF0000"/>
          <w:spacing w:val="-1"/>
          <w:sz w:val="24"/>
          <w:lang w:val="en-US" w:eastAsia="zh-CN"/>
        </w:rPr>
        <w:t>h</w:t>
      </w:r>
      <w:r>
        <w:rPr>
          <w:rFonts w:hint="default" w:ascii="Times New Roman" w:hAnsi="Times New Roman" w:eastAsia="Times New Roman" w:cs="Times New Roman"/>
          <w:color w:val="FF0000"/>
          <w:spacing w:val="-1"/>
          <w:sz w:val="24"/>
        </w:rPr>
        <w:t>igh-resolution spectra</w:t>
      </w:r>
      <w:r>
        <w:rPr>
          <w:rFonts w:hint="eastAsia" w:ascii="Times New Roman" w:hAnsi="Times New Roman" w:eastAsia="Times New Roman" w:cs="Times New Roman"/>
          <w:color w:val="FF0000"/>
          <w:spacing w:val="-1"/>
          <w:sz w:val="24"/>
          <w:lang w:val="en-US" w:eastAsia="zh-CN"/>
        </w:rPr>
        <w:t xml:space="preserve"> </w:t>
      </w:r>
      <w:r>
        <w:rPr>
          <w:rFonts w:hint="eastAsia" w:ascii="Times New Roman" w:hAnsi="Times New Roman" w:eastAsia="Times New Roman" w:cs="Times New Roman"/>
          <w:color w:val="FF0000"/>
          <w:spacing w:val="9"/>
          <w:sz w:val="24"/>
          <w:lang w:val="en-US" w:eastAsia="zh-CN"/>
        </w:rPr>
        <w:t>of DOX, FeCl</w:t>
      </w:r>
      <w:r>
        <w:rPr>
          <w:rFonts w:hint="eastAsia" w:ascii="Times New Roman" w:hAnsi="Times New Roman" w:eastAsia="Times New Roman" w:cs="Times New Roman"/>
          <w:color w:val="FF0000"/>
          <w:spacing w:val="9"/>
          <w:sz w:val="24"/>
          <w:vertAlign w:val="subscript"/>
          <w:lang w:val="en-US" w:eastAsia="zh-CN"/>
        </w:rPr>
        <w:t>2</w:t>
      </w:r>
      <w:r>
        <w:rPr>
          <w:rFonts w:hint="eastAsia" w:ascii="Times New Roman" w:hAnsi="Times New Roman" w:eastAsia="Times New Roman" w:cs="Times New Roman"/>
          <w:color w:val="FF0000"/>
          <w:spacing w:val="9"/>
          <w:sz w:val="24"/>
          <w:lang w:val="en-US" w:eastAsia="zh-CN"/>
        </w:rPr>
        <w:t>, DOX-Fe</w:t>
      </w:r>
      <w:r>
        <w:rPr>
          <w:rFonts w:hint="eastAsia" w:ascii="Times New Roman" w:hAnsi="Times New Roman" w:eastAsia="Times New Roman" w:cs="Times New Roman"/>
          <w:color w:val="FF0000"/>
          <w:spacing w:val="9"/>
          <w:sz w:val="24"/>
          <w:vertAlign w:val="superscript"/>
          <w:lang w:val="en-US" w:eastAsia="zh-CN"/>
        </w:rPr>
        <w:t>2+</w:t>
      </w:r>
      <w:r>
        <w:rPr>
          <w:rFonts w:hint="eastAsia" w:ascii="Times New Roman" w:hAnsi="Times New Roman" w:eastAsia="Times New Roman" w:cs="Times New Roman"/>
          <w:color w:val="FF0000"/>
          <w:spacing w:val="9"/>
          <w:sz w:val="24"/>
          <w:lang w:val="en-US" w:eastAsia="zh-CN"/>
        </w:rPr>
        <w:t>.</w:t>
      </w:r>
    </w:p>
    <w:p w14:paraId="7D665F21">
      <w:pPr>
        <w:spacing w:line="480" w:lineRule="auto"/>
        <w:rPr>
          <w:rFonts w:hint="eastAsia" w:ascii="Times New Roman" w:hAnsi="Times New Roman" w:cs="Times New Roman" w:eastAsiaTheme="minorEastAsia"/>
          <w:iCs/>
          <w:sz w:val="24"/>
          <w:lang w:eastAsia="zh-CN"/>
        </w:rPr>
      </w:pPr>
      <w:r>
        <w:rPr>
          <w:rFonts w:hint="eastAsia" w:ascii="Times New Roman" w:hAnsi="Times New Roman" w:cs="Times New Roman" w:eastAsiaTheme="minorEastAsia"/>
          <w:iCs/>
          <w:sz w:val="24"/>
          <w:lang w:eastAsia="zh-CN"/>
        </w:rPr>
        <w:drawing>
          <wp:inline distT="0" distB="0" distL="114300" distR="114300">
            <wp:extent cx="5267960" cy="1583055"/>
            <wp:effectExtent l="0" t="0" r="2540" b="444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67960" cy="1583055"/>
                    </a:xfrm>
                    <a:prstGeom prst="rect">
                      <a:avLst/>
                    </a:prstGeom>
                  </pic:spPr>
                </pic:pic>
              </a:graphicData>
            </a:graphic>
          </wp:inline>
        </w:drawing>
      </w:r>
    </w:p>
    <w:p w14:paraId="77551D53">
      <w:pPr>
        <w:keepNext w:val="0"/>
        <w:keepLines w:val="0"/>
        <w:pageBreakBefore w:val="0"/>
        <w:kinsoku/>
        <w:wordWrap/>
        <w:overflowPunct/>
        <w:topLinePunct w:val="0"/>
        <w:autoSpaceDE/>
        <w:autoSpaceDN/>
        <w:bidi w:val="0"/>
        <w:snapToGrid w:val="0"/>
        <w:spacing w:line="480" w:lineRule="auto"/>
        <w:jc w:val="left"/>
        <w:textAlignment w:val="auto"/>
        <w:rPr>
          <w:rFonts w:hint="eastAsia" w:ascii="Times New Roman" w:hAnsi="Times New Roman" w:eastAsia="宋体" w:cs="Times New Roman"/>
          <w:b w:val="0"/>
          <w:bCs w:val="0"/>
          <w:color w:val="FF0000"/>
          <w:spacing w:val="-1"/>
          <w:sz w:val="24"/>
          <w:lang w:val="en-US" w:eastAsia="zh-CN"/>
        </w:rPr>
      </w:pPr>
      <w:r>
        <w:rPr>
          <w:rFonts w:ascii="Times New Roman" w:hAnsi="Times New Roman" w:eastAsia="Times New Roman" w:cs="Times New Roman"/>
          <w:b/>
          <w:bCs/>
          <w:color w:val="FF0000"/>
          <w:spacing w:val="-1"/>
          <w:sz w:val="24"/>
        </w:rPr>
        <w:t>Fi</w:t>
      </w:r>
      <w:r>
        <w:rPr>
          <w:rFonts w:hint="eastAsia" w:ascii="Times New Roman" w:hAnsi="Times New Roman" w:cs="Times New Roman"/>
          <w:b/>
          <w:bCs/>
          <w:color w:val="FF0000"/>
          <w:spacing w:val="-1"/>
          <w:sz w:val="24"/>
        </w:rPr>
        <w:t>g</w:t>
      </w:r>
      <w:r>
        <w:rPr>
          <w:rFonts w:hint="eastAsia" w:ascii="Times New Roman" w:hAnsi="Times New Roman" w:cs="Times New Roman"/>
          <w:b/>
          <w:bCs/>
          <w:color w:val="FF0000"/>
          <w:spacing w:val="-1"/>
          <w:sz w:val="24"/>
          <w:lang w:val="en-US" w:eastAsia="zh-CN"/>
        </w:rPr>
        <w:t>ure</w:t>
      </w:r>
      <w:r>
        <w:rPr>
          <w:rFonts w:hint="eastAsia" w:ascii="Times New Roman" w:hAnsi="Times New Roman" w:cs="Times New Roman"/>
          <w:color w:val="FF0000"/>
          <w:spacing w:val="14"/>
          <w:sz w:val="24"/>
        </w:rPr>
        <w:t xml:space="preserve"> </w:t>
      </w:r>
      <w:r>
        <w:rPr>
          <w:rFonts w:ascii="Times New Roman" w:hAnsi="Times New Roman" w:eastAsia="Times New Roman" w:cs="Times New Roman"/>
          <w:b/>
          <w:bCs/>
          <w:color w:val="FF0000"/>
          <w:spacing w:val="-1"/>
          <w:sz w:val="24"/>
        </w:rPr>
        <w:t>S</w:t>
      </w:r>
      <w:r>
        <w:rPr>
          <w:rFonts w:hint="eastAsia" w:ascii="Times New Roman" w:hAnsi="Times New Roman" w:eastAsia="宋体" w:cs="Times New Roman"/>
          <w:b/>
          <w:bCs/>
          <w:color w:val="FF0000"/>
          <w:spacing w:val="-1"/>
          <w:sz w:val="24"/>
          <w:lang w:val="en-US" w:eastAsia="zh-CN"/>
        </w:rPr>
        <w:t>4</w:t>
      </w:r>
      <w:r>
        <w:rPr>
          <w:rFonts w:ascii="Times New Roman" w:hAnsi="Times New Roman" w:eastAsia="Times New Roman" w:cs="Times New Roman"/>
          <w:b/>
          <w:bCs/>
          <w:color w:val="FF0000"/>
          <w:spacing w:val="-1"/>
          <w:sz w:val="24"/>
        </w:rPr>
        <w:t>.</w:t>
      </w:r>
      <w:r>
        <w:rPr>
          <w:rFonts w:hint="eastAsia" w:ascii="Times New Roman" w:hAnsi="Times New Roman" w:eastAsia="宋体" w:cs="Times New Roman"/>
          <w:b/>
          <w:bCs/>
          <w:color w:val="FF0000"/>
          <w:spacing w:val="-1"/>
          <w:sz w:val="24"/>
          <w:lang w:val="en-US" w:eastAsia="zh-CN"/>
        </w:rPr>
        <w:t xml:space="preserve"> Characterization of SP94-PEG.</w:t>
      </w:r>
      <w:r>
        <w:rPr>
          <w:rFonts w:hint="eastAsia" w:ascii="Times New Roman" w:hAnsi="Times New Roman" w:eastAsia="宋体" w:cs="Times New Roman"/>
          <w:b w:val="0"/>
          <w:bCs w:val="0"/>
          <w:color w:val="FF0000"/>
          <w:spacing w:val="-1"/>
          <w:sz w:val="24"/>
          <w:lang w:val="en-US" w:eastAsia="zh-CN"/>
        </w:rPr>
        <w:t xml:space="preserve"> (A) DSL measurements of SP94 and SP94-PEG. (B) UV-Vis absorption spectra of SP94 and SP94-PEG.</w:t>
      </w:r>
    </w:p>
    <w:p w14:paraId="088F6230">
      <w:pPr>
        <w:keepNext w:val="0"/>
        <w:keepLines w:val="0"/>
        <w:pageBreakBefore w:val="0"/>
        <w:kinsoku/>
        <w:wordWrap/>
        <w:overflowPunct/>
        <w:topLinePunct w:val="0"/>
        <w:autoSpaceDE/>
        <w:autoSpaceDN/>
        <w:bidi w:val="0"/>
        <w:snapToGrid w:val="0"/>
        <w:spacing w:line="480" w:lineRule="auto"/>
        <w:jc w:val="left"/>
        <w:textAlignment w:val="auto"/>
        <w:rPr>
          <w:rFonts w:hint="eastAsia" w:ascii="Times New Roman" w:hAnsi="Times New Roman" w:eastAsia="宋体" w:cs="Times New Roman"/>
          <w:b w:val="0"/>
          <w:bCs w:val="0"/>
          <w:color w:val="FF0000"/>
          <w:spacing w:val="-1"/>
          <w:sz w:val="24"/>
          <w:lang w:val="en-US" w:eastAsia="zh-CN"/>
        </w:rPr>
      </w:pPr>
      <w:r>
        <w:rPr>
          <w:rFonts w:hint="eastAsia" w:ascii="Times New Roman" w:hAnsi="Times New Roman" w:eastAsia="宋体" w:cs="Times New Roman"/>
          <w:b/>
          <w:bCs/>
          <w:color w:val="FF0000"/>
          <w:spacing w:val="-1"/>
          <w:sz w:val="24"/>
          <w:lang w:val="en-US" w:eastAsia="zh-CN"/>
        </w:rPr>
        <w:t>Table S1.</w:t>
      </w:r>
      <w:r>
        <w:rPr>
          <w:rFonts w:hint="eastAsia" w:ascii="Times New Roman" w:hAnsi="Times New Roman" w:eastAsia="宋体" w:cs="Times New Roman"/>
          <w:b w:val="0"/>
          <w:bCs w:val="0"/>
          <w:color w:val="FF0000"/>
          <w:spacing w:val="-1"/>
          <w:sz w:val="24"/>
          <w:lang w:val="en-US" w:eastAsia="zh-CN"/>
        </w:rPr>
        <w:t xml:space="preserve"> DLS and zeta potential </w:t>
      </w:r>
      <w:bookmarkStart w:id="42" w:name="OLE_LINK28"/>
      <w:r>
        <w:rPr>
          <w:rFonts w:hint="eastAsia" w:ascii="Times New Roman" w:hAnsi="Times New Roman" w:eastAsia="宋体" w:cs="Times New Roman"/>
          <w:b w:val="0"/>
          <w:bCs w:val="0"/>
          <w:color w:val="FF0000"/>
          <w:spacing w:val="-1"/>
          <w:sz w:val="24"/>
          <w:lang w:val="en-US" w:eastAsia="zh-CN"/>
        </w:rPr>
        <w:t>measurements</w:t>
      </w:r>
      <w:bookmarkEnd w:id="42"/>
      <w:r>
        <w:rPr>
          <w:rFonts w:hint="eastAsia" w:ascii="Times New Roman" w:hAnsi="Times New Roman" w:eastAsia="宋体" w:cs="Times New Roman"/>
          <w:b w:val="0"/>
          <w:bCs w:val="0"/>
          <w:color w:val="FF0000"/>
          <w:spacing w:val="-1"/>
          <w:sz w:val="24"/>
          <w:lang w:val="en-US" w:eastAsia="zh-CN"/>
        </w:rPr>
        <w:t xml:space="preserve"> of GDY, GDYO, GDYO@SP94, GDYO@SP94/DOX-Fe</w:t>
      </w:r>
      <w:r>
        <w:rPr>
          <w:rFonts w:hint="eastAsia" w:ascii="Times New Roman" w:hAnsi="Times New Roman" w:eastAsia="宋体" w:cs="Times New Roman"/>
          <w:b w:val="0"/>
          <w:bCs w:val="0"/>
          <w:color w:val="FF0000"/>
          <w:spacing w:val="-1"/>
          <w:sz w:val="24"/>
          <w:vertAlign w:val="superscript"/>
          <w:lang w:val="en-US" w:eastAsia="zh-CN"/>
        </w:rPr>
        <w:t>2+</w:t>
      </w:r>
      <w:r>
        <w:rPr>
          <w:rFonts w:hint="eastAsia" w:ascii="Times New Roman" w:hAnsi="Times New Roman" w:eastAsia="宋体" w:cs="Times New Roman"/>
          <w:b w:val="0"/>
          <w:bCs w:val="0"/>
          <w:color w:val="FF0000"/>
          <w:spacing w:val="-1"/>
          <w:sz w:val="24"/>
          <w:lang w:val="en-US" w:eastAsia="zh-CN"/>
        </w:rPr>
        <w:t xml:space="preserve">/sorafenib and MNMG at different days. </w:t>
      </w:r>
      <w:bookmarkStart w:id="43" w:name="OLE_LINK29"/>
      <w:r>
        <w:rPr>
          <w:rFonts w:hint="eastAsia" w:ascii="Times New Roman" w:hAnsi="Times New Roman" w:eastAsia="宋体" w:cs="Times New Roman"/>
          <w:b w:val="0"/>
          <w:bCs w:val="0"/>
          <w:color w:val="FF0000"/>
          <w:spacing w:val="-1"/>
          <w:sz w:val="24"/>
          <w:lang w:val="en-US" w:eastAsia="zh-CN"/>
        </w:rPr>
        <w:t xml:space="preserve">Data are expressed as a mean </w:t>
      </w:r>
      <w:r>
        <w:rPr>
          <w:rFonts w:hint="default" w:ascii="Times New Roman" w:hAnsi="Times New Roman" w:eastAsia="宋体" w:cs="Times New Roman"/>
          <w:b w:val="0"/>
          <w:bCs w:val="0"/>
          <w:color w:val="FF0000"/>
          <w:spacing w:val="-1"/>
          <w:sz w:val="24"/>
          <w:lang w:val="en-US" w:eastAsia="zh-CN"/>
        </w:rPr>
        <w:t>±</w:t>
      </w:r>
      <w:r>
        <w:rPr>
          <w:rFonts w:hint="eastAsia" w:ascii="Times New Roman" w:hAnsi="Times New Roman" w:eastAsia="宋体" w:cs="Times New Roman"/>
          <w:b w:val="0"/>
          <w:bCs w:val="0"/>
          <w:color w:val="FF0000"/>
          <w:spacing w:val="-1"/>
          <w:sz w:val="24"/>
          <w:lang w:val="en-US" w:eastAsia="zh-CN"/>
        </w:rPr>
        <w:t xml:space="preserve"> standard error.</w:t>
      </w:r>
    </w:p>
    <w:bookmarkEnd w:id="43"/>
    <w:tbl>
      <w:tblPr>
        <w:tblStyle w:val="1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920"/>
        <w:gridCol w:w="1486"/>
        <w:gridCol w:w="1570"/>
        <w:gridCol w:w="1520"/>
        <w:gridCol w:w="2071"/>
        <w:gridCol w:w="1451"/>
      </w:tblGrid>
      <w:tr w14:paraId="0EBC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46" w:type="dxa"/>
            <w:gridSpan w:val="2"/>
            <w:tcBorders>
              <w:top w:val="single" w:color="auto" w:sz="8" w:space="0"/>
              <w:left w:val="nil"/>
              <w:bottom w:val="single" w:color="auto" w:sz="8" w:space="0"/>
              <w:right w:val="nil"/>
              <w:tl2br w:val="nil"/>
            </w:tcBorders>
            <w:shd w:val="clear" w:color="auto" w:fill="FFFFFF"/>
            <w:vAlign w:val="center"/>
          </w:tcPr>
          <w:p w14:paraId="5F5838C1">
            <w:pPr>
              <w:jc w:val="center"/>
              <w:rPr>
                <w:rFonts w:hint="default" w:ascii="Times New Roman" w:hAnsi="Times New Roman" w:cs="Times New Roman"/>
                <w:b w:val="0"/>
                <w:color w:val="000000"/>
                <w:vertAlign w:val="baseline"/>
              </w:rPr>
            </w:pPr>
            <w:r>
              <w:rPr>
                <w:rFonts w:hint="default" w:ascii="Times New Roman" w:hAnsi="Times New Roman" w:cs="Times New Roman" w:eastAsiaTheme="minorEastAsia"/>
                <w:b w:val="0"/>
                <w:color w:val="000000"/>
                <w:vertAlign w:val="baseline"/>
                <w:lang w:val="en-US" w:eastAsia="zh-CN"/>
              </w:rPr>
              <w:t>Nano</w:t>
            </w:r>
            <w:r>
              <w:rPr>
                <w:rFonts w:hint="default" w:ascii="Times New Roman" w:hAnsi="Times New Roman" w:cs="Times New Roman"/>
                <w:b w:val="0"/>
                <w:color w:val="000000"/>
                <w:vertAlign w:val="baseline"/>
                <w:lang w:val="en-US" w:eastAsia="zh-CN"/>
              </w:rPr>
              <w:t>-</w:t>
            </w:r>
            <w:r>
              <w:rPr>
                <w:rFonts w:hint="default" w:ascii="Times New Roman" w:hAnsi="Times New Roman" w:cs="Times New Roman" w:eastAsiaTheme="minorEastAsia"/>
                <w:b w:val="0"/>
                <w:color w:val="000000"/>
                <w:vertAlign w:val="baseline"/>
                <w:lang w:val="en-US" w:eastAsia="zh-CN"/>
              </w:rPr>
              <w:t>complex</w:t>
            </w:r>
          </w:p>
        </w:tc>
        <w:tc>
          <w:tcPr>
            <w:tcW w:w="1486" w:type="dxa"/>
            <w:tcBorders>
              <w:top w:val="single" w:color="auto" w:sz="8" w:space="0"/>
              <w:left w:val="nil"/>
              <w:bottom w:val="single" w:color="auto" w:sz="8" w:space="0"/>
              <w:right w:val="nil"/>
            </w:tcBorders>
            <w:shd w:val="clear" w:color="auto" w:fill="FFFFFF"/>
            <w:vAlign w:val="center"/>
          </w:tcPr>
          <w:p w14:paraId="5D945998">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GDY</w:t>
            </w:r>
          </w:p>
        </w:tc>
        <w:tc>
          <w:tcPr>
            <w:tcW w:w="1570" w:type="dxa"/>
            <w:tcBorders>
              <w:top w:val="single" w:color="auto" w:sz="8" w:space="0"/>
              <w:left w:val="nil"/>
              <w:bottom w:val="single" w:color="auto" w:sz="8" w:space="0"/>
              <w:right w:val="nil"/>
            </w:tcBorders>
            <w:shd w:val="clear" w:color="auto" w:fill="FFFFFF"/>
            <w:vAlign w:val="center"/>
          </w:tcPr>
          <w:p w14:paraId="3188D00F">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GDYO</w:t>
            </w:r>
          </w:p>
        </w:tc>
        <w:tc>
          <w:tcPr>
            <w:tcW w:w="1520" w:type="dxa"/>
            <w:tcBorders>
              <w:top w:val="single" w:color="auto" w:sz="8" w:space="0"/>
              <w:left w:val="nil"/>
              <w:bottom w:val="single" w:color="auto" w:sz="8" w:space="0"/>
              <w:right w:val="nil"/>
            </w:tcBorders>
            <w:shd w:val="clear" w:color="auto" w:fill="FFFFFF"/>
            <w:vAlign w:val="center"/>
          </w:tcPr>
          <w:p w14:paraId="6DB7DD28">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GDYO@SP94</w:t>
            </w:r>
          </w:p>
        </w:tc>
        <w:tc>
          <w:tcPr>
            <w:tcW w:w="2071" w:type="dxa"/>
            <w:tcBorders>
              <w:top w:val="single" w:color="auto" w:sz="8" w:space="0"/>
              <w:left w:val="nil"/>
              <w:bottom w:val="single" w:color="auto" w:sz="8" w:space="0"/>
              <w:right w:val="nil"/>
            </w:tcBorders>
            <w:shd w:val="clear" w:color="auto" w:fill="FFFFFF"/>
            <w:vAlign w:val="center"/>
          </w:tcPr>
          <w:p w14:paraId="4F6EBA12">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rPr>
              <w:t>GDYO@SP94/DOX-Fe</w:t>
            </w:r>
            <w:r>
              <w:rPr>
                <w:rFonts w:hint="default" w:ascii="Times New Roman" w:hAnsi="Times New Roman" w:cs="Times New Roman"/>
                <w:b w:val="0"/>
                <w:color w:val="000000"/>
                <w:vertAlign w:val="superscript"/>
                <w:lang w:val="en-US" w:eastAsia="zh-CN"/>
              </w:rPr>
              <w:t>2+</w:t>
            </w:r>
            <w:r>
              <w:rPr>
                <w:rFonts w:hint="default" w:ascii="Times New Roman" w:hAnsi="Times New Roman" w:cs="Times New Roman"/>
                <w:b w:val="0"/>
                <w:color w:val="000000"/>
                <w:vertAlign w:val="baseline"/>
              </w:rPr>
              <w:t>/sorafenib</w:t>
            </w:r>
          </w:p>
        </w:tc>
        <w:tc>
          <w:tcPr>
            <w:tcW w:w="1451" w:type="dxa"/>
            <w:tcBorders>
              <w:top w:val="single" w:color="auto" w:sz="8" w:space="0"/>
              <w:left w:val="nil"/>
              <w:bottom w:val="single" w:color="auto" w:sz="8" w:space="0"/>
              <w:right w:val="nil"/>
            </w:tcBorders>
            <w:shd w:val="clear" w:color="auto" w:fill="FFFFFF"/>
            <w:vAlign w:val="center"/>
          </w:tcPr>
          <w:p w14:paraId="61EA0660">
            <w:pPr>
              <w:jc w:val="center"/>
              <w:rPr>
                <w:rFonts w:hint="default" w:ascii="Times New Roman" w:hAnsi="Times New Roman" w:cs="Times New Roman" w:eastAsiaTheme="minorEastAsia"/>
                <w:b w:val="0"/>
                <w:color w:val="000000"/>
                <w:vertAlign w:val="baseline"/>
                <w:lang w:val="en-US" w:eastAsia="zh-CN"/>
              </w:rPr>
            </w:pPr>
            <w:r>
              <w:rPr>
                <w:rFonts w:hint="default" w:ascii="Times New Roman" w:hAnsi="Times New Roman" w:cs="Times New Roman"/>
                <w:b w:val="0"/>
                <w:color w:val="000000"/>
                <w:vertAlign w:val="baseline"/>
                <w:lang w:val="en-US" w:eastAsia="zh-CN"/>
              </w:rPr>
              <w:t>MNMG</w:t>
            </w:r>
          </w:p>
        </w:tc>
      </w:tr>
      <w:tr w14:paraId="6389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restart"/>
            <w:tcBorders>
              <w:top w:val="single" w:color="auto" w:sz="8" w:space="0"/>
              <w:left w:val="nil"/>
              <w:bottom w:val="nil"/>
              <w:right w:val="nil"/>
            </w:tcBorders>
            <w:shd w:val="clear" w:color="auto" w:fill="FFFFFF"/>
            <w:vAlign w:val="center"/>
          </w:tcPr>
          <w:p w14:paraId="1550304C">
            <w:pPr>
              <w:jc w:val="center"/>
              <w:rPr>
                <w:rFonts w:hint="default" w:ascii="Times New Roman" w:hAnsi="Times New Roman" w:cs="Times New Roman" w:eastAsiaTheme="minorEastAsia"/>
                <w:b w:val="0"/>
                <w:color w:val="000000"/>
                <w:vertAlign w:val="baseline"/>
                <w:lang w:val="en-US" w:eastAsia="zh-CN"/>
              </w:rPr>
            </w:pPr>
            <w:r>
              <w:rPr>
                <w:rFonts w:hint="default" w:ascii="Times New Roman" w:hAnsi="Times New Roman" w:cs="Times New Roman"/>
                <w:b w:val="0"/>
                <w:color w:val="000000"/>
                <w:vertAlign w:val="baseline"/>
                <w:lang w:val="en-US" w:eastAsia="zh-CN"/>
              </w:rPr>
              <w:t>Day1</w:t>
            </w:r>
          </w:p>
        </w:tc>
        <w:tc>
          <w:tcPr>
            <w:tcW w:w="920" w:type="dxa"/>
            <w:tcBorders>
              <w:top w:val="single" w:color="auto" w:sz="8" w:space="0"/>
              <w:left w:val="nil"/>
              <w:bottom w:val="nil"/>
              <w:right w:val="nil"/>
            </w:tcBorders>
            <w:shd w:val="clear" w:color="auto" w:fill="FFFFFF"/>
            <w:vAlign w:val="center"/>
          </w:tcPr>
          <w:p w14:paraId="0BE470DF">
            <w:pPr>
              <w:jc w:val="center"/>
              <w:rPr>
                <w:rFonts w:hint="default" w:ascii="Times New Roman" w:hAnsi="Times New Roman" w:cs="Times New Roman" w:eastAsiaTheme="minorEastAsia"/>
                <w:b w:val="0"/>
                <w:color w:val="000000"/>
                <w:vertAlign w:val="baseline"/>
                <w:lang w:val="en-US" w:eastAsia="zh-CN"/>
              </w:rPr>
            </w:pPr>
            <w:r>
              <w:rPr>
                <w:rFonts w:hint="default" w:ascii="Times New Roman" w:hAnsi="Times New Roman" w:cs="Times New Roman"/>
                <w:b w:val="0"/>
                <w:color w:val="000000"/>
                <w:vertAlign w:val="baseline"/>
                <w:lang w:val="en-US" w:eastAsia="zh-CN"/>
              </w:rPr>
              <w:t>DLS, nm</w:t>
            </w:r>
          </w:p>
        </w:tc>
        <w:tc>
          <w:tcPr>
            <w:tcW w:w="1486" w:type="dxa"/>
            <w:tcBorders>
              <w:top w:val="single" w:color="auto" w:sz="8" w:space="0"/>
              <w:left w:val="nil"/>
              <w:bottom w:val="nil"/>
              <w:right w:val="nil"/>
            </w:tcBorders>
            <w:shd w:val="clear" w:color="auto" w:fill="FFFFFF"/>
            <w:vAlign w:val="center"/>
          </w:tcPr>
          <w:p w14:paraId="0E3F8CCF">
            <w:pPr>
              <w:jc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114.05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1.45</w:t>
            </w:r>
          </w:p>
        </w:tc>
        <w:tc>
          <w:tcPr>
            <w:tcW w:w="1570" w:type="dxa"/>
            <w:tcBorders>
              <w:top w:val="single" w:color="auto" w:sz="8" w:space="0"/>
              <w:left w:val="nil"/>
              <w:bottom w:val="nil"/>
              <w:right w:val="nil"/>
            </w:tcBorders>
            <w:shd w:val="clear" w:color="auto" w:fill="FFFFFF"/>
            <w:vAlign w:val="center"/>
          </w:tcPr>
          <w:p w14:paraId="3BAD7550">
            <w:pPr>
              <w:jc w:val="center"/>
              <w:rPr>
                <w:rFonts w:hint="default" w:ascii="Times New Roman" w:hAnsi="Times New Roman" w:eastAsia="宋体" w:cs="Times New Roman"/>
                <w:b w:val="0"/>
                <w:i w:val="0"/>
                <w:iCs w:val="0"/>
                <w:color w:val="000000"/>
                <w:kern w:val="0"/>
                <w:sz w:val="22"/>
                <w:szCs w:val="22"/>
                <w:u w:val="none"/>
                <w:lang w:val="en-US" w:eastAsia="zh-CN" w:bidi="ar"/>
              </w:rPr>
            </w:pPr>
            <w:r>
              <w:rPr>
                <w:rFonts w:hint="default" w:ascii="Times New Roman" w:hAnsi="Times New Roman" w:eastAsia="宋体" w:cs="Times New Roman"/>
                <w:b w:val="0"/>
                <w:i w:val="0"/>
                <w:iCs w:val="0"/>
                <w:color w:val="000000"/>
                <w:kern w:val="0"/>
                <w:sz w:val="22"/>
                <w:szCs w:val="22"/>
                <w:u w:val="none"/>
                <w:lang w:val="en-US" w:eastAsia="zh-CN" w:bidi="ar"/>
              </w:rPr>
              <w:t>259.70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1.80</w:t>
            </w:r>
          </w:p>
        </w:tc>
        <w:tc>
          <w:tcPr>
            <w:tcW w:w="1520" w:type="dxa"/>
            <w:tcBorders>
              <w:top w:val="single" w:color="auto" w:sz="8" w:space="0"/>
              <w:left w:val="nil"/>
              <w:bottom w:val="nil"/>
              <w:right w:val="nil"/>
            </w:tcBorders>
            <w:shd w:val="clear" w:color="auto" w:fill="FFFFFF"/>
            <w:vAlign w:val="center"/>
          </w:tcPr>
          <w:p w14:paraId="52F9C3DB">
            <w:pPr>
              <w:jc w:val="center"/>
              <w:rPr>
                <w:rFonts w:hint="default" w:ascii="Times New Roman" w:hAnsi="Times New Roman" w:cs="Times New Roman"/>
                <w:b w:val="0"/>
                <w:color w:val="000000"/>
                <w:vertAlign w:val="baseline"/>
              </w:rPr>
            </w:pPr>
            <w:r>
              <w:rPr>
                <w:rFonts w:hint="default" w:ascii="Times New Roman" w:hAnsi="Times New Roman" w:eastAsia="宋体" w:cs="Times New Roman"/>
                <w:b w:val="0"/>
                <w:i w:val="0"/>
                <w:iCs w:val="0"/>
                <w:color w:val="000000"/>
                <w:kern w:val="0"/>
                <w:sz w:val="22"/>
                <w:szCs w:val="22"/>
                <w:u w:val="none"/>
                <w:lang w:val="en-US" w:eastAsia="zh-CN" w:bidi="ar"/>
              </w:rPr>
              <w:t>355.95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0.75</w:t>
            </w:r>
          </w:p>
        </w:tc>
        <w:tc>
          <w:tcPr>
            <w:tcW w:w="2071" w:type="dxa"/>
            <w:tcBorders>
              <w:top w:val="single" w:color="auto" w:sz="8" w:space="0"/>
              <w:left w:val="nil"/>
              <w:bottom w:val="nil"/>
              <w:right w:val="nil"/>
            </w:tcBorders>
            <w:shd w:val="clear" w:color="auto" w:fill="FFFFFF"/>
            <w:vAlign w:val="center"/>
          </w:tcPr>
          <w:p w14:paraId="0DBDCABB">
            <w:pPr>
              <w:jc w:val="center"/>
              <w:rPr>
                <w:rFonts w:hint="default" w:ascii="Times New Roman" w:hAnsi="Times New Roman" w:cs="Times New Roman"/>
                <w:b w:val="0"/>
                <w:color w:val="000000"/>
                <w:vertAlign w:val="baseline"/>
              </w:rPr>
            </w:pPr>
            <w:r>
              <w:rPr>
                <w:rFonts w:hint="default" w:ascii="Times New Roman" w:hAnsi="Times New Roman" w:eastAsia="宋体" w:cs="Times New Roman"/>
                <w:b w:val="0"/>
                <w:i w:val="0"/>
                <w:iCs w:val="0"/>
                <w:color w:val="000000"/>
                <w:kern w:val="0"/>
                <w:sz w:val="22"/>
                <w:szCs w:val="22"/>
                <w:u w:val="none"/>
                <w:lang w:val="en-US" w:eastAsia="zh-CN" w:bidi="ar"/>
              </w:rPr>
              <w:t>568.55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1.55</w:t>
            </w:r>
          </w:p>
        </w:tc>
        <w:tc>
          <w:tcPr>
            <w:tcW w:w="1451" w:type="dxa"/>
            <w:tcBorders>
              <w:top w:val="single" w:color="auto" w:sz="8" w:space="0"/>
              <w:left w:val="nil"/>
              <w:bottom w:val="nil"/>
              <w:right w:val="nil"/>
            </w:tcBorders>
            <w:shd w:val="clear" w:color="auto" w:fill="FFFFFF"/>
            <w:vAlign w:val="center"/>
          </w:tcPr>
          <w:p w14:paraId="4F5A9715">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603.10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3.40</w:t>
            </w:r>
          </w:p>
        </w:tc>
      </w:tr>
      <w:tr w14:paraId="154F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continue"/>
            <w:tcBorders>
              <w:top w:val="nil"/>
              <w:left w:val="nil"/>
              <w:bottom w:val="nil"/>
              <w:right w:val="nil"/>
            </w:tcBorders>
            <w:shd w:val="clear" w:color="auto" w:fill="FFFFFF"/>
            <w:vAlign w:val="center"/>
          </w:tcPr>
          <w:p w14:paraId="6EBAD652">
            <w:pPr>
              <w:jc w:val="center"/>
              <w:rPr>
                <w:rFonts w:hint="default" w:ascii="Times New Roman" w:hAnsi="Times New Roman" w:cs="Times New Roman"/>
                <w:b w:val="0"/>
                <w:color w:val="000000"/>
                <w:vertAlign w:val="baseline"/>
              </w:rPr>
            </w:pPr>
          </w:p>
        </w:tc>
        <w:tc>
          <w:tcPr>
            <w:tcW w:w="920" w:type="dxa"/>
            <w:tcBorders>
              <w:top w:val="nil"/>
              <w:left w:val="nil"/>
              <w:bottom w:val="nil"/>
              <w:right w:val="nil"/>
            </w:tcBorders>
            <w:shd w:val="clear" w:color="auto" w:fill="FFFFFF"/>
            <w:vAlign w:val="center"/>
          </w:tcPr>
          <w:p w14:paraId="681EEE0C">
            <w:pPr>
              <w:jc w:val="center"/>
              <w:rPr>
                <w:rFonts w:hint="default" w:ascii="Times New Roman" w:hAnsi="Times New Roman" w:cs="Times New Roman"/>
                <w:b w:val="0"/>
                <w:color w:val="000000"/>
                <w:vertAlign w:val="baseline"/>
              </w:rPr>
            </w:pPr>
            <w:r>
              <w:rPr>
                <w:rFonts w:hint="default" w:ascii="Times New Roman" w:hAnsi="Times New Roman" w:eastAsia="宋体" w:cs="Times New Roman"/>
                <w:b w:val="0"/>
                <w:i w:val="0"/>
                <w:iCs w:val="0"/>
                <w:caps w:val="0"/>
                <w:color w:val="000000"/>
                <w:spacing w:val="0"/>
                <w:sz w:val="20"/>
                <w:szCs w:val="20"/>
                <w:shd w:val="clear" w:fill="FFFFFF"/>
              </w:rPr>
              <w:t>ζ</w:t>
            </w:r>
            <w:r>
              <w:rPr>
                <w:rFonts w:hint="default" w:ascii="Times New Roman" w:hAnsi="Times New Roman" w:eastAsia="宋体" w:cs="Times New Roman"/>
                <w:b w:val="0"/>
                <w:i w:val="0"/>
                <w:iCs w:val="0"/>
                <w:caps w:val="0"/>
                <w:color w:val="000000"/>
                <w:spacing w:val="0"/>
                <w:sz w:val="20"/>
                <w:szCs w:val="20"/>
                <w:shd w:val="clear" w:fill="FFFFFF"/>
                <w:lang w:val="en-US" w:eastAsia="zh-CN"/>
              </w:rPr>
              <w:t xml:space="preserve">, </w:t>
            </w:r>
            <w:r>
              <w:rPr>
                <w:rFonts w:hint="default" w:ascii="Times New Roman" w:hAnsi="Times New Roman" w:cs="Times New Roman"/>
                <w:b w:val="0"/>
                <w:color w:val="000000"/>
                <w:vertAlign w:val="baseline"/>
                <w:lang w:val="en-US" w:eastAsia="zh-CN"/>
              </w:rPr>
              <w:t>mV</w:t>
            </w:r>
          </w:p>
        </w:tc>
        <w:tc>
          <w:tcPr>
            <w:tcW w:w="1486" w:type="dxa"/>
            <w:tcBorders>
              <w:top w:val="nil"/>
              <w:left w:val="nil"/>
              <w:bottom w:val="nil"/>
              <w:right w:val="nil"/>
            </w:tcBorders>
            <w:shd w:val="clear" w:color="auto" w:fill="FFFFFF"/>
            <w:vAlign w:val="center"/>
          </w:tcPr>
          <w:p w14:paraId="2B9163A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2"/>
                <w:sz w:val="22"/>
                <w:szCs w:val="22"/>
                <w:u w:val="none"/>
                <w:lang w:val="en-US" w:eastAsia="zh-CN" w:bidi="ar-SA"/>
              </w:rPr>
              <w:t>-2.16</w:t>
            </w:r>
            <w:r>
              <w:rPr>
                <w:rFonts w:hint="eastAsia" w:ascii="Times New Roman" w:hAnsi="Times New Roman" w:eastAsia="宋体" w:cs="Times New Roman"/>
                <w:b w:val="0"/>
                <w:i w:val="0"/>
                <w:iCs w:val="0"/>
                <w:color w:val="000000"/>
                <w:kern w:val="2"/>
                <w:sz w:val="22"/>
                <w:szCs w:val="22"/>
                <w:u w:val="none"/>
                <w:lang w:val="en-US" w:eastAsia="zh-CN" w:bidi="ar-SA"/>
              </w:rPr>
              <w:t xml:space="preserve"> </w:t>
            </w:r>
            <w:r>
              <w:rPr>
                <w:rFonts w:hint="default" w:ascii="Times New Roman" w:hAnsi="Times New Roman" w:eastAsia="宋体" w:cs="Times New Roman"/>
                <w:b w:val="0"/>
                <w:i w:val="0"/>
                <w:iCs w:val="0"/>
                <w:color w:val="000000"/>
                <w:kern w:val="2"/>
                <w:sz w:val="22"/>
                <w:szCs w:val="22"/>
                <w:u w:val="none"/>
                <w:lang w:val="en-US" w:eastAsia="zh-CN" w:bidi="ar-SA"/>
              </w:rPr>
              <w:t>±</w:t>
            </w:r>
            <w:r>
              <w:rPr>
                <w:rFonts w:hint="eastAsia" w:ascii="Times New Roman" w:hAnsi="Times New Roman" w:eastAsia="宋体" w:cs="Times New Roman"/>
                <w:b w:val="0"/>
                <w:i w:val="0"/>
                <w:iCs w:val="0"/>
                <w:color w:val="000000"/>
                <w:kern w:val="2"/>
                <w:sz w:val="22"/>
                <w:szCs w:val="22"/>
                <w:u w:val="none"/>
                <w:lang w:val="en-US" w:eastAsia="zh-CN" w:bidi="ar-SA"/>
              </w:rPr>
              <w:t xml:space="preserve"> </w:t>
            </w:r>
            <w:r>
              <w:rPr>
                <w:rFonts w:hint="default" w:ascii="Times New Roman" w:hAnsi="Times New Roman" w:eastAsia="宋体" w:cs="Times New Roman"/>
                <w:b w:val="0"/>
                <w:i w:val="0"/>
                <w:iCs w:val="0"/>
                <w:color w:val="000000"/>
                <w:kern w:val="2"/>
                <w:sz w:val="22"/>
                <w:szCs w:val="22"/>
                <w:u w:val="none"/>
                <w:lang w:val="en-US" w:eastAsia="zh-CN" w:bidi="ar-SA"/>
              </w:rPr>
              <w:t>0.37</w:t>
            </w:r>
          </w:p>
        </w:tc>
        <w:tc>
          <w:tcPr>
            <w:tcW w:w="1570" w:type="dxa"/>
            <w:tcBorders>
              <w:top w:val="nil"/>
              <w:left w:val="nil"/>
              <w:bottom w:val="nil"/>
              <w:right w:val="nil"/>
            </w:tcBorders>
            <w:shd w:val="clear" w:color="auto" w:fill="FFFFFF"/>
            <w:vAlign w:val="center"/>
          </w:tcPr>
          <w:p w14:paraId="26D544E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-17.25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0.55</w:t>
            </w:r>
          </w:p>
        </w:tc>
        <w:tc>
          <w:tcPr>
            <w:tcW w:w="1520" w:type="dxa"/>
            <w:tcBorders>
              <w:top w:val="nil"/>
              <w:left w:val="nil"/>
              <w:bottom w:val="nil"/>
              <w:right w:val="nil"/>
            </w:tcBorders>
            <w:shd w:val="clear" w:color="auto" w:fill="FFFFFF"/>
            <w:vAlign w:val="center"/>
          </w:tcPr>
          <w:p w14:paraId="383D8A29">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-15.80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0.30</w:t>
            </w:r>
          </w:p>
        </w:tc>
        <w:tc>
          <w:tcPr>
            <w:tcW w:w="2071" w:type="dxa"/>
            <w:tcBorders>
              <w:top w:val="nil"/>
              <w:left w:val="nil"/>
              <w:bottom w:val="nil"/>
              <w:right w:val="nil"/>
            </w:tcBorders>
            <w:shd w:val="clear" w:color="auto" w:fill="FFFFFF"/>
            <w:vAlign w:val="center"/>
          </w:tcPr>
          <w:p w14:paraId="75E81FC5">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-14.95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0.25</w:t>
            </w:r>
          </w:p>
        </w:tc>
        <w:tc>
          <w:tcPr>
            <w:tcW w:w="1451" w:type="dxa"/>
            <w:tcBorders>
              <w:top w:val="nil"/>
              <w:left w:val="nil"/>
              <w:bottom w:val="nil"/>
              <w:right w:val="nil"/>
            </w:tcBorders>
            <w:shd w:val="clear" w:color="auto" w:fill="FFFFFF"/>
            <w:vAlign w:val="center"/>
          </w:tcPr>
          <w:p w14:paraId="74F4DF58">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-15.15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0.25</w:t>
            </w:r>
          </w:p>
        </w:tc>
      </w:tr>
      <w:tr w14:paraId="238C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restart"/>
            <w:tcBorders>
              <w:top w:val="nil"/>
              <w:left w:val="nil"/>
              <w:bottom w:val="nil"/>
              <w:right w:val="nil"/>
            </w:tcBorders>
            <w:shd w:val="clear" w:color="auto" w:fill="FFFFFF"/>
            <w:vAlign w:val="center"/>
          </w:tcPr>
          <w:p w14:paraId="4099F6D1">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Day2</w:t>
            </w:r>
          </w:p>
        </w:tc>
        <w:tc>
          <w:tcPr>
            <w:tcW w:w="920" w:type="dxa"/>
            <w:tcBorders>
              <w:top w:val="nil"/>
              <w:left w:val="nil"/>
              <w:bottom w:val="nil"/>
              <w:right w:val="nil"/>
            </w:tcBorders>
            <w:shd w:val="clear" w:color="auto" w:fill="FFFFFF"/>
            <w:vAlign w:val="center"/>
          </w:tcPr>
          <w:p w14:paraId="31F60A97">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cs="Times New Roman"/>
                <w:b w:val="0"/>
                <w:color w:val="000000"/>
                <w:vertAlign w:val="baseline"/>
                <w:lang w:val="en-US" w:eastAsia="zh-CN"/>
              </w:rPr>
              <w:t>DLS, nm</w:t>
            </w:r>
          </w:p>
        </w:tc>
        <w:tc>
          <w:tcPr>
            <w:tcW w:w="1486" w:type="dxa"/>
            <w:tcBorders>
              <w:top w:val="nil"/>
              <w:left w:val="nil"/>
              <w:bottom w:val="nil"/>
              <w:right w:val="nil"/>
            </w:tcBorders>
            <w:shd w:val="clear" w:color="auto" w:fill="FFFFFF"/>
            <w:vAlign w:val="center"/>
          </w:tcPr>
          <w:p w14:paraId="714B9FA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121.20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0.30</w:t>
            </w:r>
          </w:p>
        </w:tc>
        <w:tc>
          <w:tcPr>
            <w:tcW w:w="1570" w:type="dxa"/>
            <w:tcBorders>
              <w:top w:val="nil"/>
              <w:left w:val="nil"/>
              <w:bottom w:val="nil"/>
              <w:right w:val="nil"/>
            </w:tcBorders>
            <w:shd w:val="clear" w:color="auto" w:fill="FFFFFF"/>
            <w:vAlign w:val="center"/>
          </w:tcPr>
          <w:p w14:paraId="32C550C9">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300.70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1.20</w:t>
            </w:r>
          </w:p>
        </w:tc>
        <w:tc>
          <w:tcPr>
            <w:tcW w:w="1520" w:type="dxa"/>
            <w:tcBorders>
              <w:top w:val="nil"/>
              <w:left w:val="nil"/>
              <w:bottom w:val="nil"/>
              <w:right w:val="nil"/>
            </w:tcBorders>
            <w:shd w:val="clear" w:color="auto" w:fill="FFFFFF"/>
            <w:vAlign w:val="center"/>
          </w:tcPr>
          <w:p w14:paraId="748ADB64">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373.50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1.05</w:t>
            </w:r>
          </w:p>
        </w:tc>
        <w:tc>
          <w:tcPr>
            <w:tcW w:w="2071" w:type="dxa"/>
            <w:tcBorders>
              <w:top w:val="nil"/>
              <w:left w:val="nil"/>
              <w:bottom w:val="nil"/>
              <w:right w:val="nil"/>
            </w:tcBorders>
            <w:shd w:val="clear" w:color="auto" w:fill="FFFFFF"/>
            <w:vAlign w:val="center"/>
          </w:tcPr>
          <w:p w14:paraId="0A428A78">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589.85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3.55</w:t>
            </w:r>
          </w:p>
        </w:tc>
        <w:tc>
          <w:tcPr>
            <w:tcW w:w="1451" w:type="dxa"/>
            <w:tcBorders>
              <w:top w:val="nil"/>
              <w:left w:val="nil"/>
              <w:bottom w:val="nil"/>
              <w:right w:val="nil"/>
            </w:tcBorders>
            <w:shd w:val="clear" w:color="auto" w:fill="FFFFFF"/>
            <w:vAlign w:val="center"/>
          </w:tcPr>
          <w:p w14:paraId="6E0EFB07">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603.75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0.45</w:t>
            </w:r>
          </w:p>
        </w:tc>
      </w:tr>
      <w:tr w14:paraId="6448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continue"/>
            <w:tcBorders>
              <w:top w:val="nil"/>
              <w:left w:val="nil"/>
              <w:bottom w:val="nil"/>
              <w:right w:val="nil"/>
            </w:tcBorders>
            <w:shd w:val="clear" w:color="auto" w:fill="FFFFFF"/>
            <w:vAlign w:val="center"/>
          </w:tcPr>
          <w:p w14:paraId="2600D0EC">
            <w:pPr>
              <w:jc w:val="center"/>
              <w:rPr>
                <w:rFonts w:hint="default" w:ascii="Times New Roman" w:hAnsi="Times New Roman" w:cs="Times New Roman"/>
                <w:b w:val="0"/>
                <w:color w:val="000000"/>
                <w:vertAlign w:val="baseline"/>
              </w:rPr>
            </w:pPr>
          </w:p>
        </w:tc>
        <w:tc>
          <w:tcPr>
            <w:tcW w:w="920" w:type="dxa"/>
            <w:tcBorders>
              <w:top w:val="nil"/>
              <w:left w:val="nil"/>
              <w:bottom w:val="nil"/>
              <w:right w:val="nil"/>
            </w:tcBorders>
            <w:shd w:val="clear" w:color="auto" w:fill="FFFFFF"/>
            <w:vAlign w:val="center"/>
          </w:tcPr>
          <w:p w14:paraId="5C801835">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aps w:val="0"/>
                <w:color w:val="000000"/>
                <w:spacing w:val="0"/>
                <w:sz w:val="20"/>
                <w:szCs w:val="20"/>
                <w:shd w:val="clear" w:fill="FFFFFF"/>
              </w:rPr>
              <w:t>ζ</w:t>
            </w:r>
            <w:r>
              <w:rPr>
                <w:rFonts w:hint="default" w:ascii="Times New Roman" w:hAnsi="Times New Roman" w:eastAsia="宋体" w:cs="Times New Roman"/>
                <w:b w:val="0"/>
                <w:i w:val="0"/>
                <w:iCs w:val="0"/>
                <w:caps w:val="0"/>
                <w:color w:val="000000"/>
                <w:spacing w:val="0"/>
                <w:sz w:val="20"/>
                <w:szCs w:val="20"/>
                <w:shd w:val="clear" w:fill="FFFFFF"/>
                <w:lang w:val="en-US" w:eastAsia="zh-CN"/>
              </w:rPr>
              <w:t xml:space="preserve">, </w:t>
            </w:r>
            <w:r>
              <w:rPr>
                <w:rFonts w:hint="default" w:ascii="Times New Roman" w:hAnsi="Times New Roman" w:cs="Times New Roman"/>
                <w:b w:val="0"/>
                <w:color w:val="000000"/>
                <w:vertAlign w:val="baseline"/>
                <w:lang w:val="en-US" w:eastAsia="zh-CN"/>
              </w:rPr>
              <w:t>mV</w:t>
            </w:r>
          </w:p>
        </w:tc>
        <w:tc>
          <w:tcPr>
            <w:tcW w:w="1486" w:type="dxa"/>
            <w:tcBorders>
              <w:top w:val="nil"/>
              <w:left w:val="nil"/>
              <w:bottom w:val="nil"/>
              <w:right w:val="nil"/>
            </w:tcBorders>
            <w:shd w:val="clear" w:color="auto" w:fill="FFFFFF"/>
            <w:vAlign w:val="center"/>
          </w:tcPr>
          <w:p w14:paraId="139681B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-2.02</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0.23</w:t>
            </w:r>
          </w:p>
        </w:tc>
        <w:tc>
          <w:tcPr>
            <w:tcW w:w="1570" w:type="dxa"/>
            <w:tcBorders>
              <w:top w:val="nil"/>
              <w:left w:val="nil"/>
              <w:bottom w:val="nil"/>
              <w:right w:val="nil"/>
            </w:tcBorders>
            <w:shd w:val="clear" w:color="auto" w:fill="FFFFFF"/>
            <w:vAlign w:val="center"/>
          </w:tcPr>
          <w:p w14:paraId="732BA867">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-14.05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0.25</w:t>
            </w:r>
          </w:p>
        </w:tc>
        <w:tc>
          <w:tcPr>
            <w:tcW w:w="1520" w:type="dxa"/>
            <w:tcBorders>
              <w:top w:val="nil"/>
              <w:left w:val="nil"/>
              <w:bottom w:val="nil"/>
              <w:right w:val="nil"/>
            </w:tcBorders>
            <w:shd w:val="clear" w:color="auto" w:fill="FFFFFF"/>
            <w:vAlign w:val="center"/>
          </w:tcPr>
          <w:p w14:paraId="7F9088D3">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-14.95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0.25</w:t>
            </w:r>
          </w:p>
        </w:tc>
        <w:tc>
          <w:tcPr>
            <w:tcW w:w="2071" w:type="dxa"/>
            <w:tcBorders>
              <w:top w:val="nil"/>
              <w:left w:val="nil"/>
              <w:bottom w:val="nil"/>
              <w:right w:val="nil"/>
            </w:tcBorders>
            <w:shd w:val="clear" w:color="auto" w:fill="FFFFFF"/>
            <w:vAlign w:val="center"/>
          </w:tcPr>
          <w:p w14:paraId="7A3D4DFD">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-10.95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0.15</w:t>
            </w:r>
          </w:p>
        </w:tc>
        <w:tc>
          <w:tcPr>
            <w:tcW w:w="1451" w:type="dxa"/>
            <w:tcBorders>
              <w:top w:val="nil"/>
              <w:left w:val="nil"/>
              <w:bottom w:val="nil"/>
              <w:right w:val="nil"/>
            </w:tcBorders>
            <w:shd w:val="clear" w:color="auto" w:fill="FFFFFF"/>
            <w:vAlign w:val="center"/>
          </w:tcPr>
          <w:p w14:paraId="64C85435">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-12.15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0.55</w:t>
            </w:r>
          </w:p>
        </w:tc>
      </w:tr>
      <w:tr w14:paraId="6C48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restart"/>
            <w:tcBorders>
              <w:top w:val="nil"/>
              <w:left w:val="nil"/>
              <w:bottom w:val="nil"/>
              <w:right w:val="nil"/>
            </w:tcBorders>
            <w:shd w:val="clear" w:color="auto" w:fill="FFFFFF"/>
            <w:vAlign w:val="center"/>
          </w:tcPr>
          <w:p w14:paraId="412CE209">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Day3</w:t>
            </w:r>
          </w:p>
        </w:tc>
        <w:tc>
          <w:tcPr>
            <w:tcW w:w="920" w:type="dxa"/>
            <w:tcBorders>
              <w:top w:val="nil"/>
              <w:left w:val="nil"/>
              <w:bottom w:val="nil"/>
              <w:right w:val="nil"/>
            </w:tcBorders>
            <w:shd w:val="clear" w:color="auto" w:fill="FFFFFF"/>
            <w:vAlign w:val="center"/>
          </w:tcPr>
          <w:p w14:paraId="1C69C043">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cs="Times New Roman"/>
                <w:b w:val="0"/>
                <w:color w:val="000000"/>
                <w:vertAlign w:val="baseline"/>
                <w:lang w:val="en-US" w:eastAsia="zh-CN"/>
              </w:rPr>
              <w:t>DLS, nm</w:t>
            </w:r>
          </w:p>
        </w:tc>
        <w:tc>
          <w:tcPr>
            <w:tcW w:w="1486" w:type="dxa"/>
            <w:tcBorders>
              <w:top w:val="nil"/>
              <w:left w:val="nil"/>
              <w:bottom w:val="nil"/>
              <w:right w:val="nil"/>
            </w:tcBorders>
            <w:shd w:val="clear" w:color="auto" w:fill="FFFFFF"/>
            <w:vAlign w:val="center"/>
          </w:tcPr>
          <w:p w14:paraId="220651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2"/>
                <w:szCs w:val="22"/>
                <w:u w:val="no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119.45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0.45</w:t>
            </w:r>
          </w:p>
        </w:tc>
        <w:tc>
          <w:tcPr>
            <w:tcW w:w="1570" w:type="dxa"/>
            <w:tcBorders>
              <w:top w:val="nil"/>
              <w:left w:val="nil"/>
              <w:bottom w:val="nil"/>
              <w:right w:val="nil"/>
            </w:tcBorders>
            <w:shd w:val="clear" w:color="auto" w:fill="FFFFFF"/>
            <w:vAlign w:val="center"/>
          </w:tcPr>
          <w:p w14:paraId="1EEDD114">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262.90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1.60</w:t>
            </w:r>
          </w:p>
        </w:tc>
        <w:tc>
          <w:tcPr>
            <w:tcW w:w="1520" w:type="dxa"/>
            <w:tcBorders>
              <w:top w:val="nil"/>
              <w:left w:val="nil"/>
              <w:bottom w:val="nil"/>
              <w:right w:val="nil"/>
            </w:tcBorders>
            <w:shd w:val="clear" w:color="auto" w:fill="FFFFFF"/>
            <w:vAlign w:val="center"/>
          </w:tcPr>
          <w:p w14:paraId="12BC9539">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374.80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3.00</w:t>
            </w:r>
          </w:p>
        </w:tc>
        <w:tc>
          <w:tcPr>
            <w:tcW w:w="2071" w:type="dxa"/>
            <w:tcBorders>
              <w:top w:val="nil"/>
              <w:left w:val="nil"/>
              <w:bottom w:val="nil"/>
              <w:right w:val="nil"/>
            </w:tcBorders>
            <w:shd w:val="clear" w:color="auto" w:fill="FFFFFF"/>
            <w:vAlign w:val="center"/>
          </w:tcPr>
          <w:p w14:paraId="459E11C3">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580.20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3.80</w:t>
            </w:r>
          </w:p>
        </w:tc>
        <w:tc>
          <w:tcPr>
            <w:tcW w:w="1451" w:type="dxa"/>
            <w:tcBorders>
              <w:top w:val="nil"/>
              <w:left w:val="nil"/>
              <w:bottom w:val="nil"/>
              <w:right w:val="nil"/>
            </w:tcBorders>
            <w:shd w:val="clear" w:color="auto" w:fill="FFFFFF"/>
            <w:vAlign w:val="center"/>
          </w:tcPr>
          <w:p w14:paraId="0DDE7903">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598.35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5.35</w:t>
            </w:r>
          </w:p>
        </w:tc>
      </w:tr>
      <w:tr w14:paraId="4012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continue"/>
            <w:tcBorders>
              <w:top w:val="nil"/>
              <w:left w:val="nil"/>
              <w:bottom w:val="nil"/>
              <w:right w:val="nil"/>
            </w:tcBorders>
            <w:shd w:val="clear" w:color="auto" w:fill="FFFFFF"/>
            <w:vAlign w:val="center"/>
          </w:tcPr>
          <w:p w14:paraId="35BD7FBE">
            <w:pPr>
              <w:jc w:val="center"/>
              <w:rPr>
                <w:rFonts w:hint="default" w:ascii="Times New Roman" w:hAnsi="Times New Roman" w:cs="Times New Roman"/>
                <w:b w:val="0"/>
                <w:color w:val="000000"/>
                <w:vertAlign w:val="baseline"/>
              </w:rPr>
            </w:pPr>
          </w:p>
        </w:tc>
        <w:tc>
          <w:tcPr>
            <w:tcW w:w="920" w:type="dxa"/>
            <w:tcBorders>
              <w:top w:val="nil"/>
              <w:left w:val="nil"/>
              <w:bottom w:val="nil"/>
              <w:right w:val="nil"/>
            </w:tcBorders>
            <w:shd w:val="clear" w:color="auto" w:fill="FFFFFF"/>
            <w:vAlign w:val="center"/>
          </w:tcPr>
          <w:p w14:paraId="447C83A4">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aps w:val="0"/>
                <w:color w:val="000000"/>
                <w:spacing w:val="0"/>
                <w:sz w:val="20"/>
                <w:szCs w:val="20"/>
                <w:shd w:val="clear" w:fill="FFFFFF"/>
              </w:rPr>
              <w:t>ζ</w:t>
            </w:r>
            <w:r>
              <w:rPr>
                <w:rFonts w:hint="default" w:ascii="Times New Roman" w:hAnsi="Times New Roman" w:eastAsia="宋体" w:cs="Times New Roman"/>
                <w:b w:val="0"/>
                <w:i w:val="0"/>
                <w:iCs w:val="0"/>
                <w:caps w:val="0"/>
                <w:color w:val="000000"/>
                <w:spacing w:val="0"/>
                <w:sz w:val="20"/>
                <w:szCs w:val="20"/>
                <w:shd w:val="clear" w:fill="FFFFFF"/>
                <w:lang w:val="en-US" w:eastAsia="zh-CN"/>
              </w:rPr>
              <w:t xml:space="preserve">, </w:t>
            </w:r>
            <w:r>
              <w:rPr>
                <w:rFonts w:hint="default" w:ascii="Times New Roman" w:hAnsi="Times New Roman" w:cs="Times New Roman"/>
                <w:b w:val="0"/>
                <w:color w:val="000000"/>
                <w:vertAlign w:val="baseline"/>
                <w:lang w:val="en-US" w:eastAsia="zh-CN"/>
              </w:rPr>
              <w:t>mV</w:t>
            </w:r>
          </w:p>
        </w:tc>
        <w:tc>
          <w:tcPr>
            <w:tcW w:w="1486" w:type="dxa"/>
            <w:tcBorders>
              <w:top w:val="nil"/>
              <w:left w:val="nil"/>
              <w:bottom w:val="nil"/>
              <w:right w:val="nil"/>
            </w:tcBorders>
            <w:shd w:val="clear" w:color="auto" w:fill="FFFFFF"/>
            <w:vAlign w:val="center"/>
          </w:tcPr>
          <w:p w14:paraId="1372A183">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-3.07</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0.23</w:t>
            </w:r>
          </w:p>
        </w:tc>
        <w:tc>
          <w:tcPr>
            <w:tcW w:w="1570" w:type="dxa"/>
            <w:tcBorders>
              <w:top w:val="nil"/>
              <w:left w:val="nil"/>
              <w:bottom w:val="nil"/>
              <w:right w:val="nil"/>
            </w:tcBorders>
            <w:shd w:val="clear" w:color="auto" w:fill="FFFFFF"/>
            <w:vAlign w:val="center"/>
          </w:tcPr>
          <w:p w14:paraId="38604F30">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-13.70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0.50</w:t>
            </w:r>
          </w:p>
        </w:tc>
        <w:tc>
          <w:tcPr>
            <w:tcW w:w="1520" w:type="dxa"/>
            <w:tcBorders>
              <w:top w:val="nil"/>
              <w:left w:val="nil"/>
              <w:bottom w:val="nil"/>
              <w:right w:val="nil"/>
            </w:tcBorders>
            <w:shd w:val="clear" w:color="auto" w:fill="FFFFFF"/>
            <w:vAlign w:val="center"/>
          </w:tcPr>
          <w:p w14:paraId="3997EBC2">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-11.40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0.10</w:t>
            </w:r>
          </w:p>
        </w:tc>
        <w:tc>
          <w:tcPr>
            <w:tcW w:w="2071" w:type="dxa"/>
            <w:tcBorders>
              <w:top w:val="nil"/>
              <w:left w:val="nil"/>
              <w:bottom w:val="nil"/>
              <w:right w:val="nil"/>
            </w:tcBorders>
            <w:shd w:val="clear" w:color="auto" w:fill="FFFFFF"/>
            <w:vAlign w:val="center"/>
          </w:tcPr>
          <w:p w14:paraId="76B257FD">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-7.97</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0.35</w:t>
            </w:r>
          </w:p>
        </w:tc>
        <w:tc>
          <w:tcPr>
            <w:tcW w:w="1451" w:type="dxa"/>
            <w:tcBorders>
              <w:top w:val="nil"/>
              <w:left w:val="nil"/>
              <w:bottom w:val="nil"/>
              <w:right w:val="nil"/>
            </w:tcBorders>
            <w:shd w:val="clear" w:color="auto" w:fill="FFFFFF"/>
            <w:vAlign w:val="center"/>
          </w:tcPr>
          <w:p w14:paraId="28C88763">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-8.65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0.01</w:t>
            </w:r>
          </w:p>
        </w:tc>
      </w:tr>
      <w:tr w14:paraId="3657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restart"/>
            <w:tcBorders>
              <w:top w:val="nil"/>
              <w:left w:val="nil"/>
              <w:bottom w:val="nil"/>
              <w:right w:val="nil"/>
            </w:tcBorders>
            <w:shd w:val="clear" w:color="auto" w:fill="FFFFFF"/>
            <w:vAlign w:val="center"/>
          </w:tcPr>
          <w:p w14:paraId="6C230836">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Day4</w:t>
            </w:r>
          </w:p>
        </w:tc>
        <w:tc>
          <w:tcPr>
            <w:tcW w:w="920" w:type="dxa"/>
            <w:tcBorders>
              <w:top w:val="nil"/>
              <w:left w:val="nil"/>
              <w:bottom w:val="nil"/>
              <w:right w:val="nil"/>
            </w:tcBorders>
            <w:shd w:val="clear" w:color="auto" w:fill="FFFFFF"/>
            <w:vAlign w:val="center"/>
          </w:tcPr>
          <w:p w14:paraId="5117DE2F">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cs="Times New Roman"/>
                <w:b w:val="0"/>
                <w:color w:val="000000"/>
                <w:vertAlign w:val="baseline"/>
                <w:lang w:val="en-US" w:eastAsia="zh-CN"/>
              </w:rPr>
              <w:t>DLS, nm</w:t>
            </w:r>
          </w:p>
        </w:tc>
        <w:tc>
          <w:tcPr>
            <w:tcW w:w="1486" w:type="dxa"/>
            <w:tcBorders>
              <w:top w:val="nil"/>
              <w:left w:val="nil"/>
              <w:bottom w:val="nil"/>
              <w:right w:val="nil"/>
            </w:tcBorders>
            <w:shd w:val="clear" w:color="auto" w:fill="FFFFFF"/>
            <w:vAlign w:val="center"/>
          </w:tcPr>
          <w:p w14:paraId="60665EC1">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120.00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0.30</w:t>
            </w:r>
          </w:p>
        </w:tc>
        <w:tc>
          <w:tcPr>
            <w:tcW w:w="1570" w:type="dxa"/>
            <w:tcBorders>
              <w:top w:val="nil"/>
              <w:left w:val="nil"/>
              <w:bottom w:val="nil"/>
              <w:right w:val="nil"/>
            </w:tcBorders>
            <w:shd w:val="clear" w:color="auto" w:fill="FFFFFF"/>
            <w:vAlign w:val="center"/>
          </w:tcPr>
          <w:p w14:paraId="6CDCD05C">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265.30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2.20</w:t>
            </w:r>
          </w:p>
        </w:tc>
        <w:tc>
          <w:tcPr>
            <w:tcW w:w="1520" w:type="dxa"/>
            <w:tcBorders>
              <w:top w:val="nil"/>
              <w:left w:val="nil"/>
              <w:bottom w:val="nil"/>
              <w:right w:val="nil"/>
            </w:tcBorders>
            <w:shd w:val="clear" w:color="auto" w:fill="FFFFFF"/>
            <w:vAlign w:val="center"/>
          </w:tcPr>
          <w:p w14:paraId="6AD29AFC">
            <w:pPr>
              <w:jc w:val="center"/>
              <w:rPr>
                <w:rFonts w:hint="default" w:ascii="Times New Roman" w:hAnsi="Times New Roman" w:cs="Times New Roman"/>
                <w:b w:val="0"/>
                <w:color w:val="000000"/>
                <w:vertAlign w:val="baseline"/>
              </w:rPr>
            </w:pPr>
            <w:r>
              <w:rPr>
                <w:rFonts w:hint="default" w:ascii="Times New Roman" w:hAnsi="Times New Roman" w:eastAsia="宋体" w:cs="Times New Roman"/>
                <w:b w:val="0"/>
                <w:i w:val="0"/>
                <w:iCs w:val="0"/>
                <w:color w:val="000000"/>
                <w:kern w:val="0"/>
                <w:sz w:val="22"/>
                <w:szCs w:val="22"/>
                <w:u w:val="none"/>
                <w:lang w:val="en-US" w:eastAsia="zh-CN" w:bidi="ar"/>
              </w:rPr>
              <w:t>375.60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0.30</w:t>
            </w:r>
          </w:p>
        </w:tc>
        <w:tc>
          <w:tcPr>
            <w:tcW w:w="2071" w:type="dxa"/>
            <w:tcBorders>
              <w:top w:val="nil"/>
              <w:left w:val="nil"/>
              <w:bottom w:val="nil"/>
              <w:right w:val="nil"/>
            </w:tcBorders>
            <w:shd w:val="clear" w:color="auto" w:fill="FFFFFF"/>
            <w:vAlign w:val="center"/>
          </w:tcPr>
          <w:p w14:paraId="3B615F4B">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637.40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6.40</w:t>
            </w:r>
          </w:p>
        </w:tc>
        <w:tc>
          <w:tcPr>
            <w:tcW w:w="1451" w:type="dxa"/>
            <w:tcBorders>
              <w:top w:val="nil"/>
              <w:left w:val="nil"/>
              <w:bottom w:val="nil"/>
              <w:right w:val="nil"/>
            </w:tcBorders>
            <w:shd w:val="clear" w:color="auto" w:fill="FFFFFF"/>
            <w:vAlign w:val="center"/>
          </w:tcPr>
          <w:p w14:paraId="4B434140">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646.00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1.10</w:t>
            </w:r>
          </w:p>
        </w:tc>
      </w:tr>
      <w:tr w14:paraId="7CB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continue"/>
            <w:tcBorders>
              <w:top w:val="nil"/>
              <w:left w:val="nil"/>
              <w:bottom w:val="nil"/>
              <w:right w:val="nil"/>
            </w:tcBorders>
            <w:shd w:val="clear" w:color="auto" w:fill="FFFFFF"/>
            <w:vAlign w:val="center"/>
          </w:tcPr>
          <w:p w14:paraId="2ADBF82F">
            <w:pPr>
              <w:jc w:val="center"/>
              <w:rPr>
                <w:rFonts w:hint="default" w:ascii="Times New Roman" w:hAnsi="Times New Roman" w:cs="Times New Roman"/>
                <w:b w:val="0"/>
                <w:color w:val="000000"/>
                <w:vertAlign w:val="baseline"/>
              </w:rPr>
            </w:pPr>
          </w:p>
        </w:tc>
        <w:tc>
          <w:tcPr>
            <w:tcW w:w="920" w:type="dxa"/>
            <w:tcBorders>
              <w:top w:val="nil"/>
              <w:left w:val="nil"/>
              <w:bottom w:val="nil"/>
              <w:right w:val="nil"/>
            </w:tcBorders>
            <w:shd w:val="clear" w:color="auto" w:fill="FFFFFF"/>
            <w:vAlign w:val="center"/>
          </w:tcPr>
          <w:p w14:paraId="027347ED">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aps w:val="0"/>
                <w:color w:val="000000"/>
                <w:spacing w:val="0"/>
                <w:sz w:val="20"/>
                <w:szCs w:val="20"/>
                <w:shd w:val="clear" w:fill="FFFFFF"/>
              </w:rPr>
              <w:t>ζ</w:t>
            </w:r>
            <w:r>
              <w:rPr>
                <w:rFonts w:hint="default" w:ascii="Times New Roman" w:hAnsi="Times New Roman" w:eastAsia="宋体" w:cs="Times New Roman"/>
                <w:b w:val="0"/>
                <w:i w:val="0"/>
                <w:iCs w:val="0"/>
                <w:caps w:val="0"/>
                <w:color w:val="000000"/>
                <w:spacing w:val="0"/>
                <w:sz w:val="20"/>
                <w:szCs w:val="20"/>
                <w:shd w:val="clear" w:fill="FFFFFF"/>
                <w:lang w:val="en-US" w:eastAsia="zh-CN"/>
              </w:rPr>
              <w:t xml:space="preserve">, </w:t>
            </w:r>
            <w:r>
              <w:rPr>
                <w:rFonts w:hint="default" w:ascii="Times New Roman" w:hAnsi="Times New Roman" w:cs="Times New Roman"/>
                <w:b w:val="0"/>
                <w:color w:val="000000"/>
                <w:vertAlign w:val="baseline"/>
                <w:lang w:val="en-US" w:eastAsia="zh-CN"/>
              </w:rPr>
              <w:t>mV</w:t>
            </w:r>
          </w:p>
        </w:tc>
        <w:tc>
          <w:tcPr>
            <w:tcW w:w="1486" w:type="dxa"/>
            <w:tcBorders>
              <w:top w:val="nil"/>
              <w:left w:val="nil"/>
              <w:bottom w:val="nil"/>
              <w:right w:val="nil"/>
            </w:tcBorders>
            <w:shd w:val="clear" w:color="auto" w:fill="FFFFFF"/>
            <w:vAlign w:val="center"/>
          </w:tcPr>
          <w:p w14:paraId="34947C3D">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-1.83</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0.34</w:t>
            </w:r>
          </w:p>
        </w:tc>
        <w:tc>
          <w:tcPr>
            <w:tcW w:w="1570" w:type="dxa"/>
            <w:tcBorders>
              <w:top w:val="nil"/>
              <w:left w:val="nil"/>
              <w:bottom w:val="nil"/>
              <w:right w:val="nil"/>
            </w:tcBorders>
            <w:shd w:val="clear" w:color="auto" w:fill="FFFFFF"/>
            <w:vAlign w:val="center"/>
          </w:tcPr>
          <w:p w14:paraId="3971EE19">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-13.65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0.45</w:t>
            </w:r>
          </w:p>
        </w:tc>
        <w:tc>
          <w:tcPr>
            <w:tcW w:w="1520" w:type="dxa"/>
            <w:tcBorders>
              <w:top w:val="nil"/>
              <w:left w:val="nil"/>
              <w:bottom w:val="nil"/>
              <w:right w:val="nil"/>
            </w:tcBorders>
            <w:shd w:val="clear" w:color="auto" w:fill="FFFFFF"/>
            <w:vAlign w:val="center"/>
          </w:tcPr>
          <w:p w14:paraId="29E10DE2">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-11.50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0.20</w:t>
            </w:r>
          </w:p>
        </w:tc>
        <w:tc>
          <w:tcPr>
            <w:tcW w:w="2071" w:type="dxa"/>
            <w:tcBorders>
              <w:top w:val="nil"/>
              <w:left w:val="nil"/>
              <w:bottom w:val="nil"/>
              <w:right w:val="nil"/>
            </w:tcBorders>
            <w:shd w:val="clear" w:color="auto" w:fill="FFFFFF"/>
            <w:vAlign w:val="center"/>
          </w:tcPr>
          <w:p w14:paraId="5C048330">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-7.73</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0.04</w:t>
            </w:r>
          </w:p>
        </w:tc>
        <w:tc>
          <w:tcPr>
            <w:tcW w:w="1451" w:type="dxa"/>
            <w:tcBorders>
              <w:top w:val="nil"/>
              <w:left w:val="nil"/>
              <w:bottom w:val="nil"/>
              <w:right w:val="nil"/>
            </w:tcBorders>
            <w:shd w:val="clear" w:color="auto" w:fill="FFFFFF"/>
            <w:vAlign w:val="center"/>
          </w:tcPr>
          <w:p w14:paraId="30F363B0">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-6.61</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0.06</w:t>
            </w:r>
          </w:p>
        </w:tc>
      </w:tr>
      <w:tr w14:paraId="67AD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restart"/>
            <w:tcBorders>
              <w:top w:val="nil"/>
              <w:left w:val="nil"/>
              <w:bottom w:val="single" w:color="auto" w:sz="8" w:space="0"/>
              <w:right w:val="nil"/>
            </w:tcBorders>
            <w:shd w:val="clear" w:color="auto" w:fill="FFFFFF"/>
            <w:vAlign w:val="center"/>
          </w:tcPr>
          <w:p w14:paraId="4810FC08">
            <w:pPr>
              <w:jc w:val="center"/>
              <w:rPr>
                <w:rFonts w:hint="default" w:ascii="Times New Roman" w:hAnsi="Times New Roman" w:cs="Times New Roman"/>
                <w:b w:val="0"/>
                <w:color w:val="000000"/>
                <w:vertAlign w:val="baseline"/>
              </w:rPr>
            </w:pPr>
            <w:r>
              <w:rPr>
                <w:rFonts w:hint="default" w:ascii="Times New Roman" w:hAnsi="Times New Roman" w:cs="Times New Roman"/>
                <w:b w:val="0"/>
                <w:color w:val="000000"/>
                <w:vertAlign w:val="baseline"/>
                <w:lang w:val="en-US" w:eastAsia="zh-CN"/>
              </w:rPr>
              <w:t>Day5</w:t>
            </w:r>
          </w:p>
        </w:tc>
        <w:tc>
          <w:tcPr>
            <w:tcW w:w="920" w:type="dxa"/>
            <w:tcBorders>
              <w:top w:val="nil"/>
              <w:left w:val="nil"/>
              <w:bottom w:val="nil"/>
              <w:right w:val="nil"/>
            </w:tcBorders>
            <w:shd w:val="clear" w:color="auto" w:fill="FFFFFF"/>
            <w:vAlign w:val="center"/>
          </w:tcPr>
          <w:p w14:paraId="00A61FC5">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cs="Times New Roman"/>
                <w:b w:val="0"/>
                <w:color w:val="000000"/>
                <w:vertAlign w:val="baseline"/>
                <w:lang w:val="en-US" w:eastAsia="zh-CN"/>
              </w:rPr>
              <w:t>DLS, nm</w:t>
            </w:r>
          </w:p>
        </w:tc>
        <w:tc>
          <w:tcPr>
            <w:tcW w:w="1486" w:type="dxa"/>
            <w:tcBorders>
              <w:top w:val="nil"/>
              <w:left w:val="nil"/>
              <w:bottom w:val="nil"/>
              <w:right w:val="nil"/>
            </w:tcBorders>
            <w:shd w:val="clear" w:color="auto" w:fill="FFFFFF"/>
            <w:vAlign w:val="center"/>
          </w:tcPr>
          <w:p w14:paraId="44249EE1">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167.40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0.50</w:t>
            </w:r>
          </w:p>
        </w:tc>
        <w:tc>
          <w:tcPr>
            <w:tcW w:w="1570" w:type="dxa"/>
            <w:tcBorders>
              <w:top w:val="nil"/>
              <w:left w:val="nil"/>
              <w:bottom w:val="nil"/>
              <w:right w:val="nil"/>
            </w:tcBorders>
            <w:shd w:val="clear" w:color="auto" w:fill="FFFFFF"/>
            <w:vAlign w:val="center"/>
          </w:tcPr>
          <w:p w14:paraId="5EAB2C11">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260.70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0.40</w:t>
            </w:r>
          </w:p>
        </w:tc>
        <w:tc>
          <w:tcPr>
            <w:tcW w:w="1520" w:type="dxa"/>
            <w:tcBorders>
              <w:top w:val="nil"/>
              <w:left w:val="nil"/>
              <w:bottom w:val="nil"/>
              <w:right w:val="nil"/>
            </w:tcBorders>
            <w:shd w:val="clear" w:color="auto" w:fill="FFFFFF"/>
            <w:vAlign w:val="center"/>
          </w:tcPr>
          <w:p w14:paraId="3FB982B0">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419.65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2.55</w:t>
            </w:r>
          </w:p>
        </w:tc>
        <w:tc>
          <w:tcPr>
            <w:tcW w:w="2071" w:type="dxa"/>
            <w:tcBorders>
              <w:top w:val="nil"/>
              <w:left w:val="nil"/>
              <w:bottom w:val="nil"/>
              <w:right w:val="nil"/>
            </w:tcBorders>
            <w:shd w:val="clear" w:color="auto" w:fill="FFFFFF"/>
            <w:vAlign w:val="center"/>
          </w:tcPr>
          <w:p w14:paraId="5310592D">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768.15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0.95</w:t>
            </w:r>
          </w:p>
        </w:tc>
        <w:tc>
          <w:tcPr>
            <w:tcW w:w="1451" w:type="dxa"/>
            <w:tcBorders>
              <w:top w:val="nil"/>
              <w:left w:val="nil"/>
              <w:bottom w:val="nil"/>
              <w:right w:val="nil"/>
            </w:tcBorders>
            <w:shd w:val="clear" w:color="auto" w:fill="FFFFFF"/>
            <w:vAlign w:val="center"/>
          </w:tcPr>
          <w:p w14:paraId="393C9C0E">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770.20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0.50</w:t>
            </w:r>
          </w:p>
        </w:tc>
      </w:tr>
      <w:tr w14:paraId="3982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6" w:type="dxa"/>
            <w:vMerge w:val="continue"/>
            <w:tcBorders>
              <w:top w:val="single" w:color="auto" w:sz="8" w:space="0"/>
              <w:left w:val="nil"/>
              <w:bottom w:val="single" w:color="auto" w:sz="8" w:space="0"/>
              <w:right w:val="nil"/>
            </w:tcBorders>
            <w:shd w:val="clear" w:color="auto" w:fill="FFFFFF"/>
            <w:vAlign w:val="center"/>
          </w:tcPr>
          <w:p w14:paraId="0F06D0D4">
            <w:pPr>
              <w:jc w:val="center"/>
              <w:rPr>
                <w:rFonts w:hint="default" w:ascii="Times New Roman" w:hAnsi="Times New Roman" w:cs="Times New Roman"/>
                <w:b w:val="0"/>
                <w:color w:val="000000"/>
                <w:vertAlign w:val="baseline"/>
              </w:rPr>
            </w:pPr>
          </w:p>
        </w:tc>
        <w:tc>
          <w:tcPr>
            <w:tcW w:w="920" w:type="dxa"/>
            <w:tcBorders>
              <w:top w:val="nil"/>
              <w:left w:val="nil"/>
              <w:bottom w:val="single" w:color="auto" w:sz="8" w:space="0"/>
              <w:right w:val="nil"/>
            </w:tcBorders>
            <w:shd w:val="clear" w:color="auto" w:fill="FFFFFF"/>
            <w:vAlign w:val="center"/>
          </w:tcPr>
          <w:p w14:paraId="62B46A53">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aps w:val="0"/>
                <w:color w:val="000000"/>
                <w:spacing w:val="0"/>
                <w:sz w:val="20"/>
                <w:szCs w:val="20"/>
                <w:shd w:val="clear" w:fill="FFFFFF"/>
              </w:rPr>
              <w:t>ζ</w:t>
            </w:r>
            <w:r>
              <w:rPr>
                <w:rFonts w:hint="default" w:ascii="Times New Roman" w:hAnsi="Times New Roman" w:eastAsia="宋体" w:cs="Times New Roman"/>
                <w:b w:val="0"/>
                <w:i w:val="0"/>
                <w:iCs w:val="0"/>
                <w:caps w:val="0"/>
                <w:color w:val="000000"/>
                <w:spacing w:val="0"/>
                <w:sz w:val="20"/>
                <w:szCs w:val="20"/>
                <w:shd w:val="clear" w:fill="FFFFFF"/>
                <w:lang w:val="en-US" w:eastAsia="zh-CN"/>
              </w:rPr>
              <w:t xml:space="preserve">, </w:t>
            </w:r>
            <w:r>
              <w:rPr>
                <w:rFonts w:hint="default" w:ascii="Times New Roman" w:hAnsi="Times New Roman" w:cs="Times New Roman"/>
                <w:b w:val="0"/>
                <w:color w:val="000000"/>
                <w:vertAlign w:val="baseline"/>
                <w:lang w:val="en-US" w:eastAsia="zh-CN"/>
              </w:rPr>
              <w:t>mV</w:t>
            </w:r>
          </w:p>
        </w:tc>
        <w:tc>
          <w:tcPr>
            <w:tcW w:w="1486" w:type="dxa"/>
            <w:tcBorders>
              <w:top w:val="nil"/>
              <w:left w:val="nil"/>
              <w:bottom w:val="single" w:color="auto" w:sz="8" w:space="0"/>
              <w:right w:val="nil"/>
            </w:tcBorders>
            <w:shd w:val="clear" w:color="auto" w:fill="FFFFFF"/>
            <w:vAlign w:val="center"/>
          </w:tcPr>
          <w:p w14:paraId="1059D93E">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-2.69</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0.07</w:t>
            </w:r>
          </w:p>
        </w:tc>
        <w:tc>
          <w:tcPr>
            <w:tcW w:w="1570" w:type="dxa"/>
            <w:tcBorders>
              <w:top w:val="nil"/>
              <w:left w:val="nil"/>
              <w:bottom w:val="single" w:color="auto" w:sz="8" w:space="0"/>
              <w:right w:val="nil"/>
            </w:tcBorders>
            <w:shd w:val="clear" w:color="auto" w:fill="FFFFFF"/>
            <w:vAlign w:val="center"/>
          </w:tcPr>
          <w:p w14:paraId="7BEFD7A1">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-11.10</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0.40</w:t>
            </w:r>
          </w:p>
        </w:tc>
        <w:tc>
          <w:tcPr>
            <w:tcW w:w="1520" w:type="dxa"/>
            <w:tcBorders>
              <w:top w:val="nil"/>
              <w:left w:val="nil"/>
              <w:bottom w:val="single" w:color="auto" w:sz="8" w:space="0"/>
              <w:right w:val="nil"/>
            </w:tcBorders>
            <w:shd w:val="clear" w:color="auto" w:fill="FFFFFF"/>
            <w:vAlign w:val="center"/>
          </w:tcPr>
          <w:p w14:paraId="10AB2ED4">
            <w:pPr>
              <w:jc w:val="center"/>
              <w:rPr>
                <w:rFonts w:hint="default" w:ascii="Times New Roman" w:hAnsi="Times New Roman" w:cs="Times New Roman"/>
                <w:b w:val="0"/>
                <w:color w:val="000000"/>
                <w:vertAlign w:val="baseline"/>
                <w:lang w:val="en-US"/>
              </w:rPr>
            </w:pPr>
            <w:r>
              <w:rPr>
                <w:rFonts w:hint="default" w:ascii="Times New Roman" w:hAnsi="Times New Roman" w:eastAsia="宋体" w:cs="Times New Roman"/>
                <w:b w:val="0"/>
                <w:i w:val="0"/>
                <w:iCs w:val="0"/>
                <w:color w:val="000000"/>
                <w:kern w:val="0"/>
                <w:sz w:val="22"/>
                <w:szCs w:val="22"/>
                <w:u w:val="none"/>
                <w:lang w:val="en-US" w:eastAsia="zh-CN" w:bidi="ar"/>
              </w:rPr>
              <w:t>-7.05</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0.63</w:t>
            </w:r>
          </w:p>
        </w:tc>
        <w:tc>
          <w:tcPr>
            <w:tcW w:w="2071" w:type="dxa"/>
            <w:tcBorders>
              <w:top w:val="nil"/>
              <w:left w:val="nil"/>
              <w:bottom w:val="single" w:color="auto" w:sz="8" w:space="0"/>
              <w:right w:val="nil"/>
            </w:tcBorders>
            <w:shd w:val="clear" w:color="auto" w:fill="FFFFFF"/>
            <w:vAlign w:val="center"/>
          </w:tcPr>
          <w:p w14:paraId="35AAABDE">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-5.54</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0.25</w:t>
            </w:r>
          </w:p>
        </w:tc>
        <w:tc>
          <w:tcPr>
            <w:tcW w:w="1451" w:type="dxa"/>
            <w:tcBorders>
              <w:top w:val="nil"/>
              <w:left w:val="nil"/>
              <w:bottom w:val="single" w:color="auto" w:sz="8" w:space="0"/>
              <w:right w:val="nil"/>
            </w:tcBorders>
            <w:shd w:val="clear" w:color="auto" w:fill="FFFFFF"/>
            <w:vAlign w:val="center"/>
          </w:tcPr>
          <w:p w14:paraId="0E6EC2A5">
            <w:pPr>
              <w:jc w:val="center"/>
              <w:rPr>
                <w:rFonts w:hint="default" w:ascii="Times New Roman" w:hAnsi="Times New Roman" w:cs="Times New Roman" w:eastAsiaTheme="minorEastAsia"/>
                <w:b w:val="0"/>
                <w:color w:val="000000"/>
                <w:kern w:val="2"/>
                <w:sz w:val="21"/>
                <w:szCs w:val="24"/>
                <w:vertAlign w:val="baseline"/>
                <w:lang w:val="en-US" w:eastAsia="zh-CN" w:bidi="ar-SA"/>
              </w:rPr>
            </w:pPr>
            <w:r>
              <w:rPr>
                <w:rFonts w:hint="default" w:ascii="Times New Roman" w:hAnsi="Times New Roman" w:eastAsia="宋体" w:cs="Times New Roman"/>
                <w:b w:val="0"/>
                <w:i w:val="0"/>
                <w:iCs w:val="0"/>
                <w:color w:val="000000"/>
                <w:kern w:val="0"/>
                <w:sz w:val="22"/>
                <w:szCs w:val="22"/>
                <w:u w:val="none"/>
                <w:lang w:val="en-US" w:eastAsia="zh-CN" w:bidi="ar"/>
              </w:rPr>
              <w:t>-3.96</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w:t>
            </w:r>
            <w:r>
              <w:rPr>
                <w:rFonts w:hint="eastAsia" w:ascii="Times New Roman" w:hAnsi="Times New Roman" w:eastAsia="宋体" w:cs="Times New Roman"/>
                <w:b w:val="0"/>
                <w:i w:val="0"/>
                <w:iCs w:val="0"/>
                <w:color w:val="000000"/>
                <w:kern w:val="0"/>
                <w:sz w:val="22"/>
                <w:szCs w:val="22"/>
                <w:u w:val="none"/>
                <w:lang w:val="en-US" w:eastAsia="zh-CN" w:bidi="ar"/>
              </w:rPr>
              <w:t xml:space="preserve"> </w:t>
            </w:r>
            <w:r>
              <w:rPr>
                <w:rFonts w:hint="default" w:ascii="Times New Roman" w:hAnsi="Times New Roman" w:eastAsia="宋体" w:cs="Times New Roman"/>
                <w:b w:val="0"/>
                <w:i w:val="0"/>
                <w:iCs w:val="0"/>
                <w:color w:val="000000"/>
                <w:kern w:val="0"/>
                <w:sz w:val="22"/>
                <w:szCs w:val="22"/>
                <w:u w:val="none"/>
                <w:lang w:val="en-US" w:eastAsia="zh-CN" w:bidi="ar"/>
              </w:rPr>
              <w:t>0.07</w:t>
            </w:r>
          </w:p>
        </w:tc>
      </w:tr>
    </w:tbl>
    <w:p w14:paraId="003BBEA4">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cs="Times New Roman"/>
          <w:iCs/>
          <w:color w:val="FF0000"/>
          <w:sz w:val="24"/>
        </w:rPr>
      </w:pPr>
      <w:r>
        <w:rPr>
          <w:rFonts w:hint="eastAsia" w:ascii="Times New Roman" w:hAnsi="Times New Roman" w:cs="Times New Roman"/>
          <w:iCs/>
          <w:color w:val="FF0000"/>
          <w:sz w:val="24"/>
        </w:rPr>
        <w:t>DSL: hyd</w:t>
      </w:r>
      <w:bookmarkStart w:id="95" w:name="_GoBack"/>
      <w:bookmarkEnd w:id="95"/>
      <w:r>
        <w:rPr>
          <w:rFonts w:hint="eastAsia" w:ascii="Times New Roman" w:hAnsi="Times New Roman" w:cs="Times New Roman"/>
          <w:iCs/>
          <w:color w:val="FF0000"/>
          <w:sz w:val="24"/>
        </w:rPr>
        <w:t>rodynamic particle size (nm); ζ: zeta potential (mV).</w:t>
      </w:r>
    </w:p>
    <w:p w14:paraId="2CF5552A">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cs="Times New Roman"/>
          <w:iCs/>
          <w:sz w:val="24"/>
        </w:rPr>
      </w:pPr>
    </w:p>
    <w:p w14:paraId="7A5D0741">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bookmarkStart w:id="44" w:name="OLE_LINK30"/>
      <w:r>
        <w:rPr>
          <w:rFonts w:ascii="Times New Roman" w:hAnsi="Times New Roman" w:cs="Times New Roman"/>
          <w:b/>
          <w:bCs/>
          <w:iCs/>
          <w:sz w:val="24"/>
        </w:rPr>
        <w:t>Experimental Section</w:t>
      </w:r>
      <w:bookmarkEnd w:id="44"/>
    </w:p>
    <w:p w14:paraId="2B0166C6">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Characterization analysis:</w:t>
      </w:r>
    </w:p>
    <w:p w14:paraId="0F49BF7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The morpholog</w:t>
      </w:r>
      <w:r>
        <w:rPr>
          <w:rFonts w:hint="eastAsia" w:ascii="Times New Roman" w:hAnsi="Times New Roman" w:cs="Times New Roman"/>
          <w:iCs/>
          <w:sz w:val="24"/>
          <w:lang w:val="en-US" w:eastAsia="zh-CN"/>
        </w:rPr>
        <w:t>ies</w:t>
      </w:r>
      <w:r>
        <w:rPr>
          <w:rFonts w:ascii="Times New Roman" w:hAnsi="Times New Roman" w:cs="Times New Roman"/>
          <w:iCs/>
          <w:sz w:val="24"/>
        </w:rPr>
        <w:t xml:space="preserve"> of GDY</w:t>
      </w:r>
      <w:r>
        <w:rPr>
          <w:rFonts w:hint="eastAsia" w:ascii="Times New Roman" w:hAnsi="Times New Roman" w:cs="Times New Roman"/>
          <w:iCs/>
          <w:sz w:val="24"/>
          <w:lang w:val="en-US" w:eastAsia="zh-CN"/>
        </w:rPr>
        <w:t>,</w:t>
      </w:r>
      <w:r>
        <w:rPr>
          <w:rFonts w:ascii="Times New Roman" w:hAnsi="Times New Roman" w:cs="Times New Roman"/>
          <w:iCs/>
          <w:sz w:val="24"/>
        </w:rPr>
        <w:t xml:space="preserve"> </w:t>
      </w:r>
      <w:r>
        <w:rPr>
          <w:rFonts w:ascii="Times New Roman" w:hAnsi="Times New Roman" w:cs="Times New Roman"/>
          <w:iCs/>
          <w:color w:val="FF0000"/>
          <w:sz w:val="24"/>
        </w:rPr>
        <w:t>GDYO</w:t>
      </w:r>
      <w:r>
        <w:rPr>
          <w:rFonts w:hint="eastAsia" w:ascii="Times New Roman" w:hAnsi="Times New Roman" w:cs="Times New Roman"/>
          <w:iCs/>
          <w:color w:val="FF0000"/>
          <w:sz w:val="24"/>
          <w:lang w:val="en-US" w:eastAsia="zh-CN"/>
        </w:rPr>
        <w:t xml:space="preserve">, </w:t>
      </w:r>
      <w:bookmarkStart w:id="45" w:name="OLE_LINK9"/>
      <w:r>
        <w:rPr>
          <w:rFonts w:hint="eastAsia" w:ascii="Times New Roman" w:hAnsi="Times New Roman" w:cs="Times New Roman"/>
          <w:iCs/>
          <w:color w:val="FF0000"/>
          <w:sz w:val="24"/>
          <w:lang w:val="en-US" w:eastAsia="zh-CN"/>
        </w:rPr>
        <w:t>GDYO@SP94, GDYO@SP94/DOX-Fe</w:t>
      </w:r>
      <w:r>
        <w:rPr>
          <w:rFonts w:hint="eastAsia" w:ascii="Times New Roman" w:hAnsi="Times New Roman" w:cs="Times New Roman"/>
          <w:iCs/>
          <w:color w:val="FF0000"/>
          <w:sz w:val="24"/>
          <w:vertAlign w:val="superscript"/>
          <w:lang w:val="en-US" w:eastAsia="zh-CN"/>
        </w:rPr>
        <w:t>2+</w:t>
      </w:r>
      <w:r>
        <w:rPr>
          <w:rFonts w:hint="eastAsia" w:ascii="Times New Roman" w:hAnsi="Times New Roman" w:cs="Times New Roman"/>
          <w:iCs/>
          <w:color w:val="FF0000"/>
          <w:sz w:val="24"/>
          <w:lang w:val="en-US" w:eastAsia="zh-CN"/>
        </w:rPr>
        <w:t xml:space="preserve">/sorafenib, </w:t>
      </w:r>
      <w:bookmarkEnd w:id="45"/>
      <w:r>
        <w:rPr>
          <w:rFonts w:hint="eastAsia" w:ascii="Times New Roman" w:hAnsi="Times New Roman" w:cs="Times New Roman"/>
          <w:iCs/>
          <w:color w:val="FF0000"/>
          <w:sz w:val="24"/>
          <w:lang w:val="en-US" w:eastAsia="zh-CN"/>
        </w:rPr>
        <w:t>and MNMG</w:t>
      </w:r>
      <w:r>
        <w:rPr>
          <w:rFonts w:ascii="Times New Roman" w:hAnsi="Times New Roman" w:cs="Times New Roman"/>
          <w:iCs/>
          <w:sz w:val="24"/>
        </w:rPr>
        <w:t xml:space="preserve"> </w:t>
      </w:r>
      <w:r>
        <w:rPr>
          <w:rFonts w:ascii="Times New Roman" w:hAnsi="Times New Roman" w:cs="Times New Roman"/>
          <w:iCs/>
          <w:color w:val="FF0000"/>
          <w:sz w:val="24"/>
        </w:rPr>
        <w:t>w</w:t>
      </w:r>
      <w:r>
        <w:rPr>
          <w:rFonts w:hint="eastAsia" w:ascii="Times New Roman" w:hAnsi="Times New Roman" w:cs="Times New Roman"/>
          <w:iCs/>
          <w:color w:val="FF0000"/>
          <w:sz w:val="24"/>
          <w:lang w:val="en-US" w:eastAsia="zh-CN"/>
        </w:rPr>
        <w:t>ere</w:t>
      </w:r>
      <w:r>
        <w:rPr>
          <w:rFonts w:ascii="Times New Roman" w:hAnsi="Times New Roman" w:cs="Times New Roman"/>
          <w:iCs/>
          <w:sz w:val="24"/>
        </w:rPr>
        <w:t xml:space="preserve"> analyzed by </w:t>
      </w:r>
      <w:r>
        <w:rPr>
          <w:rFonts w:hint="eastAsia" w:ascii="Times New Roman" w:hAnsi="Times New Roman" w:cs="Times New Roman"/>
          <w:iCs/>
          <w:sz w:val="24"/>
          <w:lang w:val="en-US" w:eastAsia="zh-CN"/>
        </w:rPr>
        <w:t>FE</w:t>
      </w:r>
      <w:r>
        <w:rPr>
          <w:rFonts w:ascii="Times New Roman" w:hAnsi="Times New Roman" w:cs="Times New Roman"/>
          <w:iCs/>
          <w:sz w:val="24"/>
        </w:rPr>
        <w:t>SEM</w:t>
      </w:r>
      <w:bookmarkStart w:id="46" w:name="OLE_LINK15"/>
      <w:r>
        <w:rPr>
          <w:rFonts w:hint="eastAsia" w:ascii="Times New Roman" w:hAnsi="Times New Roman" w:cs="Times New Roman"/>
          <w:iCs/>
          <w:sz w:val="24"/>
          <w:lang w:val="en-US" w:eastAsia="zh-CN"/>
        </w:rPr>
        <w:t xml:space="preserve">, </w:t>
      </w:r>
      <w:r>
        <w:rPr>
          <w:rFonts w:hint="eastAsia" w:ascii="Times New Roman" w:hAnsi="Times New Roman" w:cs="Times New Roman"/>
          <w:iCs/>
          <w:color w:val="FF0000"/>
          <w:sz w:val="24"/>
          <w:lang w:val="en-US" w:eastAsia="zh-CN"/>
        </w:rPr>
        <w:t xml:space="preserve">which were monitored in 1 mL of sample solution with a concentration of 1 mg/mL under 200 nA I Probe and 5 kV Extra High Tension (EHT). </w:t>
      </w:r>
      <w:r>
        <w:rPr>
          <w:rFonts w:ascii="Times New Roman" w:hAnsi="Times New Roman" w:cs="Times New Roman"/>
          <w:iCs/>
          <w:sz w:val="24"/>
        </w:rPr>
        <w:t xml:space="preserve">The </w:t>
      </w:r>
      <w:bookmarkStart w:id="47" w:name="_Hlk125033060"/>
      <w:bookmarkStart w:id="48" w:name="OLE_LINK6"/>
      <w:r>
        <w:rPr>
          <w:rFonts w:ascii="Times New Roman" w:hAnsi="Times New Roman" w:cs="Times New Roman"/>
          <w:iCs/>
          <w:sz w:val="24"/>
        </w:rPr>
        <w:t xml:space="preserve">TEM </w:t>
      </w:r>
      <w:bookmarkEnd w:id="47"/>
      <w:bookmarkEnd w:id="48"/>
      <w:r>
        <w:rPr>
          <w:rFonts w:ascii="Times New Roman" w:hAnsi="Times New Roman" w:cs="Times New Roman"/>
          <w:iCs/>
          <w:sz w:val="24"/>
        </w:rPr>
        <w:t xml:space="preserve">images of GDY, GDYO, </w:t>
      </w:r>
      <w:r>
        <w:rPr>
          <w:rFonts w:hint="eastAsia" w:ascii="Times New Roman" w:hAnsi="Times New Roman" w:cs="Times New Roman"/>
          <w:iCs/>
          <w:color w:val="FF0000"/>
          <w:sz w:val="24"/>
          <w:lang w:val="en-US" w:eastAsia="zh-CN"/>
        </w:rPr>
        <w:t>GDYO@SP94, GDYO@SP94/DOX-Fe</w:t>
      </w:r>
      <w:r>
        <w:rPr>
          <w:rFonts w:hint="eastAsia" w:ascii="Times New Roman" w:hAnsi="Times New Roman" w:cs="Times New Roman"/>
          <w:iCs/>
          <w:color w:val="FF0000"/>
          <w:sz w:val="24"/>
          <w:vertAlign w:val="superscript"/>
          <w:lang w:val="en-US" w:eastAsia="zh-CN"/>
        </w:rPr>
        <w:t>2+</w:t>
      </w:r>
      <w:r>
        <w:rPr>
          <w:rFonts w:hint="eastAsia" w:ascii="Times New Roman" w:hAnsi="Times New Roman" w:cs="Times New Roman"/>
          <w:iCs/>
          <w:color w:val="FF0000"/>
          <w:sz w:val="24"/>
          <w:lang w:val="en-US" w:eastAsia="zh-CN"/>
        </w:rPr>
        <w:t xml:space="preserve">/sorafenib </w:t>
      </w:r>
      <w:r>
        <w:rPr>
          <w:rFonts w:ascii="Times New Roman" w:hAnsi="Times New Roman" w:cs="Times New Roman"/>
          <w:iCs/>
          <w:sz w:val="24"/>
        </w:rPr>
        <w:t xml:space="preserve">and MNMG were collected by field transmission electron microscopy for morphology and structure analysis, and the element distribution of MNMG was detected for energy spectrum analysis. </w:t>
      </w:r>
      <w:bookmarkEnd w:id="46"/>
      <w:bookmarkStart w:id="49" w:name="_Hlk125033332"/>
      <w:r>
        <w:rPr>
          <w:rFonts w:ascii="Times New Roman" w:hAnsi="Times New Roman" w:cs="Times New Roman"/>
          <w:iCs/>
          <w:sz w:val="24"/>
        </w:rPr>
        <w:t>AFM</w:t>
      </w:r>
      <w:bookmarkEnd w:id="49"/>
      <w:r>
        <w:rPr>
          <w:rFonts w:ascii="Times New Roman" w:hAnsi="Times New Roman" w:cs="Times New Roman"/>
          <w:iCs/>
          <w:sz w:val="24"/>
        </w:rPr>
        <w:t xml:space="preserve"> images of GDYO deposited on silicon wafers were collected in tap mode for thickness and roughness analysis. </w:t>
      </w:r>
      <w:r>
        <w:rPr>
          <w:rFonts w:hint="default" w:ascii="Times New Roman" w:hAnsi="Times New Roman" w:cs="Times New Roman"/>
          <w:iCs/>
          <w:color w:val="FF0000"/>
          <w:sz w:val="24"/>
          <w:lang w:val="en-US" w:eastAsia="zh-CN"/>
        </w:rPr>
        <w:t xml:space="preserve">The hydrodynamic particle size of the </w:t>
      </w:r>
      <w:r>
        <w:rPr>
          <w:rFonts w:hint="eastAsia" w:ascii="Times New Roman" w:hAnsi="Times New Roman" w:cs="Times New Roman"/>
          <w:iCs/>
          <w:color w:val="FF0000"/>
          <w:sz w:val="24"/>
          <w:lang w:val="en-US" w:eastAsia="zh-CN"/>
        </w:rPr>
        <w:t>p</w:t>
      </w:r>
      <w:r>
        <w:rPr>
          <w:rFonts w:hint="default" w:ascii="Times New Roman" w:hAnsi="Times New Roman" w:cs="Times New Roman"/>
          <w:iCs/>
          <w:color w:val="FF0000"/>
          <w:sz w:val="24"/>
          <w:lang w:val="en-US" w:eastAsia="zh-CN"/>
        </w:rPr>
        <w:t>article</w:t>
      </w:r>
      <w:r>
        <w:rPr>
          <w:rFonts w:hint="eastAsia" w:ascii="Times New Roman" w:hAnsi="Times New Roman" w:cs="Times New Roman"/>
          <w:iCs/>
          <w:color w:val="FF0000"/>
          <w:sz w:val="24"/>
          <w:lang w:val="en-US" w:eastAsia="zh-CN"/>
        </w:rPr>
        <w:t>s</w:t>
      </w:r>
      <w:r>
        <w:rPr>
          <w:rFonts w:hint="default" w:ascii="Times New Roman" w:hAnsi="Times New Roman" w:cs="Times New Roman"/>
          <w:iCs/>
          <w:color w:val="FF0000"/>
          <w:sz w:val="24"/>
          <w:lang w:val="en-US" w:eastAsia="zh-CN"/>
        </w:rPr>
        <w:t xml:space="preserve"> were obtained by zeta potential experiment.</w:t>
      </w:r>
      <w:r>
        <w:rPr>
          <w:rFonts w:hint="eastAsia" w:ascii="Times New Roman" w:hAnsi="Times New Roman" w:cs="Times New Roman"/>
          <w:iCs/>
          <w:color w:val="FF0000"/>
          <w:sz w:val="24"/>
          <w:lang w:val="en-US" w:eastAsia="zh-CN"/>
        </w:rPr>
        <w:t xml:space="preserve"> </w:t>
      </w:r>
      <w:r>
        <w:rPr>
          <w:rFonts w:ascii="Times New Roman" w:hAnsi="Times New Roman" w:cs="Times New Roman"/>
          <w:iCs/>
          <w:sz w:val="24"/>
        </w:rPr>
        <w:t xml:space="preserve">The </w:t>
      </w:r>
      <w:bookmarkStart w:id="50" w:name="_Hlk125033625"/>
      <w:r>
        <w:rPr>
          <w:rFonts w:ascii="Times New Roman" w:hAnsi="Times New Roman" w:cs="Times New Roman"/>
          <w:iCs/>
          <w:sz w:val="24"/>
        </w:rPr>
        <w:t>UV-</w:t>
      </w:r>
      <w:bookmarkEnd w:id="50"/>
      <w:r>
        <w:rPr>
          <w:rFonts w:hint="eastAsia" w:ascii="Times New Roman" w:hAnsi="Times New Roman" w:cs="Times New Roman"/>
          <w:iCs/>
          <w:sz w:val="24"/>
          <w:lang w:val="en-US" w:eastAsia="zh-CN"/>
        </w:rPr>
        <w:t>vis</w:t>
      </w:r>
      <w:r>
        <w:rPr>
          <w:rFonts w:ascii="Times New Roman" w:hAnsi="Times New Roman" w:cs="Times New Roman"/>
          <w:iCs/>
          <w:sz w:val="24"/>
        </w:rPr>
        <w:t xml:space="preserve"> absorption spectra of </w:t>
      </w:r>
      <w:r>
        <w:rPr>
          <w:rFonts w:hint="eastAsia" w:ascii="Times New Roman" w:hAnsi="Times New Roman" w:cs="Times New Roman"/>
          <w:iCs/>
          <w:color w:val="FF0000"/>
          <w:sz w:val="24"/>
        </w:rPr>
        <w:t>G</w:t>
      </w:r>
      <w:bookmarkStart w:id="51" w:name="OLE_LINK17"/>
      <w:r>
        <w:rPr>
          <w:rFonts w:hint="eastAsia" w:ascii="Times New Roman" w:hAnsi="Times New Roman" w:cs="Times New Roman"/>
          <w:iCs/>
          <w:color w:val="FF0000"/>
          <w:sz w:val="24"/>
        </w:rPr>
        <w:t>DY, GDYO, GDYO@SP94, GDYO@SP94/DOX-Fe</w:t>
      </w:r>
      <w:r>
        <w:rPr>
          <w:rFonts w:hint="eastAsia" w:ascii="Times New Roman" w:hAnsi="Times New Roman" w:cs="Times New Roman"/>
          <w:iCs/>
          <w:color w:val="FF0000"/>
          <w:sz w:val="24"/>
          <w:vertAlign w:val="superscript"/>
        </w:rPr>
        <w:t>2+</w:t>
      </w:r>
      <w:r>
        <w:rPr>
          <w:rFonts w:hint="eastAsia" w:ascii="Times New Roman" w:hAnsi="Times New Roman" w:cs="Times New Roman"/>
          <w:iCs/>
          <w:color w:val="FF0000"/>
          <w:sz w:val="24"/>
        </w:rPr>
        <w:t>/</w:t>
      </w:r>
      <w:bookmarkStart w:id="52" w:name="OLE_LINK26"/>
      <w:r>
        <w:rPr>
          <w:rFonts w:hint="eastAsia" w:ascii="Times New Roman" w:hAnsi="Times New Roman" w:cs="Times New Roman"/>
          <w:iCs/>
          <w:color w:val="FF0000"/>
          <w:sz w:val="24"/>
        </w:rPr>
        <w:t>sorafenib</w:t>
      </w:r>
      <w:bookmarkEnd w:id="52"/>
      <w:r>
        <w:rPr>
          <w:rFonts w:hint="eastAsia" w:ascii="Times New Roman" w:hAnsi="Times New Roman" w:cs="Times New Roman"/>
          <w:iCs/>
          <w:color w:val="FF0000"/>
          <w:sz w:val="24"/>
          <w:lang w:val="en-US" w:eastAsia="zh-CN"/>
        </w:rPr>
        <w:t>,</w:t>
      </w:r>
      <w:r>
        <w:rPr>
          <w:rFonts w:hint="eastAsia" w:ascii="Times New Roman" w:hAnsi="Times New Roman" w:cs="Times New Roman"/>
          <w:iCs/>
          <w:color w:val="FF0000"/>
          <w:sz w:val="24"/>
        </w:rPr>
        <w:t xml:space="preserve"> MNMG</w:t>
      </w:r>
      <w:bookmarkEnd w:id="51"/>
      <w:r>
        <w:rPr>
          <w:rFonts w:hint="eastAsia" w:ascii="Times New Roman" w:hAnsi="Times New Roman" w:cs="Times New Roman"/>
          <w:iCs/>
          <w:color w:val="FF0000"/>
          <w:sz w:val="24"/>
          <w:lang w:val="en-US" w:eastAsia="zh-CN"/>
        </w:rPr>
        <w:t xml:space="preserve">, SP94, SP94-PEG, siRNA, </w:t>
      </w:r>
      <w:r>
        <w:rPr>
          <w:rFonts w:hint="eastAsia" w:ascii="Times New Roman" w:hAnsi="Times New Roman" w:cs="Times New Roman"/>
          <w:iCs/>
          <w:color w:val="FF0000"/>
          <w:sz w:val="24"/>
        </w:rPr>
        <w:t>sorafenib</w:t>
      </w:r>
      <w:r>
        <w:rPr>
          <w:rFonts w:hint="eastAsia" w:ascii="Times New Roman" w:hAnsi="Times New Roman" w:cs="Times New Roman"/>
          <w:iCs/>
          <w:color w:val="FF0000"/>
          <w:sz w:val="24"/>
          <w:lang w:val="en-US" w:eastAsia="zh-CN"/>
        </w:rPr>
        <w:t>, DOX, FeCl</w:t>
      </w:r>
      <w:r>
        <w:rPr>
          <w:rFonts w:hint="eastAsia" w:ascii="Times New Roman" w:hAnsi="Times New Roman" w:cs="Times New Roman"/>
          <w:iCs/>
          <w:color w:val="FF0000"/>
          <w:sz w:val="24"/>
          <w:vertAlign w:val="subscript"/>
          <w:lang w:val="en-US" w:eastAsia="zh-CN"/>
        </w:rPr>
        <w:t>2</w:t>
      </w:r>
      <w:r>
        <w:rPr>
          <w:rFonts w:hint="eastAsia" w:ascii="Times New Roman" w:hAnsi="Times New Roman" w:cs="Times New Roman"/>
          <w:iCs/>
          <w:color w:val="FF0000"/>
          <w:sz w:val="24"/>
          <w:lang w:val="en-US" w:eastAsia="zh-CN"/>
        </w:rPr>
        <w:t xml:space="preserve"> and DOX-Fe</w:t>
      </w:r>
      <w:r>
        <w:rPr>
          <w:rFonts w:hint="eastAsia" w:ascii="Times New Roman" w:hAnsi="Times New Roman" w:cs="Times New Roman"/>
          <w:iCs/>
          <w:color w:val="FF0000"/>
          <w:sz w:val="24"/>
          <w:vertAlign w:val="superscript"/>
          <w:lang w:val="en-US" w:eastAsia="zh-CN"/>
        </w:rPr>
        <w:t>2+</w:t>
      </w:r>
      <w:r>
        <w:rPr>
          <w:rFonts w:ascii="Times New Roman" w:hAnsi="Times New Roman" w:cs="Times New Roman"/>
          <w:iCs/>
          <w:sz w:val="24"/>
        </w:rPr>
        <w:t xml:space="preserve"> were recorded in the range of 200-800 nm. </w:t>
      </w:r>
      <w:r>
        <w:rPr>
          <w:rFonts w:ascii="Times New Roman" w:hAnsi="Times New Roman" w:cs="Times New Roman"/>
          <w:iCs/>
          <w:color w:val="FF0000"/>
          <w:sz w:val="24"/>
        </w:rPr>
        <w:t>The</w:t>
      </w:r>
      <w:r>
        <w:rPr>
          <w:rFonts w:hint="eastAsia" w:ascii="Times New Roman" w:hAnsi="Times New Roman" w:cs="Times New Roman"/>
          <w:iCs/>
          <w:color w:val="FF0000"/>
          <w:sz w:val="24"/>
          <w:lang w:val="en-US" w:eastAsia="zh-CN"/>
        </w:rPr>
        <w:t xml:space="preserve"> </w:t>
      </w:r>
      <w:r>
        <w:rPr>
          <w:rFonts w:hint="eastAsia" w:ascii="Times New Roman" w:hAnsi="Times New Roman" w:cs="Times New Roman"/>
          <w:iCs/>
          <w:color w:val="FF0000"/>
          <w:sz w:val="24"/>
        </w:rPr>
        <w:t>chemical bindings, electronic state and elementary composition</w:t>
      </w:r>
      <w:r>
        <w:rPr>
          <w:rFonts w:ascii="Times New Roman" w:hAnsi="Times New Roman" w:cs="Times New Roman"/>
          <w:iCs/>
          <w:color w:val="FF0000"/>
          <w:sz w:val="24"/>
        </w:rPr>
        <w:t xml:space="preserve"> contained in </w:t>
      </w:r>
      <w:r>
        <w:rPr>
          <w:rFonts w:hint="eastAsia" w:ascii="Times New Roman" w:hAnsi="Times New Roman" w:cs="Times New Roman"/>
          <w:iCs/>
          <w:color w:val="FF0000"/>
          <w:sz w:val="24"/>
        </w:rPr>
        <w:t>the prepared</w:t>
      </w:r>
      <w:r>
        <w:rPr>
          <w:rFonts w:ascii="Times New Roman" w:hAnsi="Times New Roman" w:cs="Times New Roman"/>
          <w:iCs/>
          <w:color w:val="FF0000"/>
          <w:sz w:val="24"/>
        </w:rPr>
        <w:t xml:space="preserve"> samples were analyzed by XPS. </w:t>
      </w:r>
    </w:p>
    <w:p w14:paraId="5D5EE149">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cs="Times New Roman" w:eastAsiaTheme="minorEastAsia"/>
          <w:b/>
          <w:bCs/>
          <w:iCs/>
          <w:sz w:val="24"/>
          <w:lang w:eastAsia="zh-CN"/>
        </w:rPr>
      </w:pPr>
      <w:r>
        <w:rPr>
          <w:rFonts w:hint="eastAsia" w:ascii="Times New Roman" w:hAnsi="Times New Roman" w:cs="Times New Roman"/>
          <w:b/>
          <w:bCs/>
          <w:iCs/>
          <w:sz w:val="24"/>
        </w:rPr>
        <w:t>Stability of dispersion study</w:t>
      </w:r>
      <w:r>
        <w:rPr>
          <w:rFonts w:hint="eastAsia" w:ascii="Times New Roman" w:hAnsi="Times New Roman" w:cs="Times New Roman"/>
          <w:b/>
          <w:bCs/>
          <w:iCs/>
          <w:sz w:val="24"/>
          <w:lang w:eastAsia="zh-CN"/>
        </w:rPr>
        <w:t>：</w:t>
      </w:r>
    </w:p>
    <w:p w14:paraId="51E9C313">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cs="Times New Roman"/>
          <w:iCs/>
          <w:color w:val="FF0000"/>
          <w:sz w:val="24"/>
        </w:rPr>
      </w:pPr>
      <w:r>
        <w:rPr>
          <w:rFonts w:hint="eastAsia" w:ascii="Times New Roman" w:hAnsi="Times New Roman" w:cs="Times New Roman"/>
          <w:iCs/>
          <w:color w:val="FF0000"/>
          <w:sz w:val="24"/>
          <w:lang w:val="en-US" w:eastAsia="zh-CN"/>
        </w:rPr>
        <w:t>Five samples of 1ml</w:t>
      </w:r>
      <w:r>
        <w:rPr>
          <w:rFonts w:hint="default" w:ascii="Times New Roman" w:hAnsi="Times New Roman" w:cs="Times New Roman"/>
          <w:iCs/>
          <w:color w:val="FF0000"/>
          <w:sz w:val="24"/>
          <w:lang w:val="en-US" w:eastAsia="zh-CN"/>
        </w:rPr>
        <w:t xml:space="preserve"> each of</w:t>
      </w:r>
      <w:r>
        <w:rPr>
          <w:rFonts w:hint="eastAsia" w:ascii="Times New Roman" w:hAnsi="Times New Roman" w:cs="Times New Roman"/>
          <w:iCs/>
          <w:color w:val="FF0000"/>
          <w:sz w:val="24"/>
          <w:lang w:val="en-US" w:eastAsia="zh-CN"/>
        </w:rPr>
        <w:t xml:space="preserve"> </w:t>
      </w:r>
      <w:r>
        <w:rPr>
          <w:rFonts w:ascii="Times New Roman" w:hAnsi="Times New Roman" w:cs="Times New Roman"/>
          <w:iCs/>
          <w:color w:val="FF0000"/>
          <w:sz w:val="24"/>
        </w:rPr>
        <w:t xml:space="preserve">GDY, GDYO, </w:t>
      </w:r>
      <w:r>
        <w:rPr>
          <w:rFonts w:hint="eastAsia" w:ascii="Times New Roman" w:hAnsi="Times New Roman" w:cs="Times New Roman"/>
          <w:iCs/>
          <w:color w:val="FF0000"/>
          <w:sz w:val="24"/>
          <w:lang w:val="en-US" w:eastAsia="zh-CN"/>
        </w:rPr>
        <w:t>GDYO@SP94, GDYO@SP94/DOX-Fe</w:t>
      </w:r>
      <w:r>
        <w:rPr>
          <w:rFonts w:hint="eastAsia" w:ascii="Times New Roman" w:hAnsi="Times New Roman" w:cs="Times New Roman"/>
          <w:iCs/>
          <w:color w:val="FF0000"/>
          <w:sz w:val="24"/>
          <w:vertAlign w:val="superscript"/>
          <w:lang w:val="en-US" w:eastAsia="zh-CN"/>
        </w:rPr>
        <w:t>2+</w:t>
      </w:r>
      <w:r>
        <w:rPr>
          <w:rFonts w:hint="eastAsia" w:ascii="Times New Roman" w:hAnsi="Times New Roman" w:cs="Times New Roman"/>
          <w:iCs/>
          <w:color w:val="FF0000"/>
          <w:sz w:val="24"/>
          <w:lang w:val="en-US" w:eastAsia="zh-CN"/>
        </w:rPr>
        <w:t xml:space="preserve">/sorafenib </w:t>
      </w:r>
      <w:r>
        <w:rPr>
          <w:rFonts w:ascii="Times New Roman" w:hAnsi="Times New Roman" w:cs="Times New Roman"/>
          <w:iCs/>
          <w:color w:val="FF0000"/>
          <w:sz w:val="24"/>
        </w:rPr>
        <w:t>and MNMG</w:t>
      </w:r>
      <w:r>
        <w:rPr>
          <w:rFonts w:hint="eastAsia" w:ascii="Times New Roman" w:hAnsi="Times New Roman" w:cs="Times New Roman"/>
          <w:iCs/>
          <w:color w:val="FF0000"/>
          <w:sz w:val="24"/>
          <w:lang w:val="en-US" w:eastAsia="zh-CN"/>
        </w:rPr>
        <w:t xml:space="preserve"> were taken and placed at 4 </w:t>
      </w:r>
      <w:r>
        <w:rPr>
          <w:rFonts w:hint="default" w:ascii="Times New Roman" w:hAnsi="Times New Roman" w:cs="Times New Roman"/>
          <w:iCs/>
          <w:color w:val="FF0000"/>
          <w:sz w:val="24"/>
          <w:lang w:val="en-US" w:eastAsia="zh-CN"/>
        </w:rPr>
        <w:t xml:space="preserve">℃ </w:t>
      </w:r>
      <w:r>
        <w:rPr>
          <w:rFonts w:hint="eastAsia" w:ascii="Times New Roman" w:hAnsi="Times New Roman" w:cs="Times New Roman"/>
          <w:iCs/>
          <w:color w:val="FF0000"/>
          <w:sz w:val="24"/>
          <w:lang w:val="en-US" w:eastAsia="zh-CN"/>
        </w:rPr>
        <w:t>for 5 days to detect the dispersion stability by zeta potential experiment. Dynamic light scattering (DSL)</w:t>
      </w:r>
      <w:r>
        <w:rPr>
          <w:rFonts w:hint="eastAsia" w:ascii="Times New Roman" w:hAnsi="Times New Roman" w:cs="Times New Roman"/>
          <w:iCs/>
          <w:color w:val="FF0000"/>
          <w:sz w:val="24"/>
        </w:rPr>
        <w:t xml:space="preserve"> and zeta potentials were monitored under the detection temperature of 25</w:t>
      </w:r>
      <w:r>
        <w:rPr>
          <w:rFonts w:hint="eastAsia" w:ascii="Times New Roman" w:hAnsi="Times New Roman" w:cs="Times New Roman"/>
          <w:iCs/>
          <w:color w:val="FF0000"/>
          <w:sz w:val="24"/>
          <w:lang w:val="en-US" w:eastAsia="zh-CN"/>
        </w:rPr>
        <w:t xml:space="preserve"> </w:t>
      </w:r>
      <w:r>
        <w:rPr>
          <w:rFonts w:hint="default" w:ascii="Times New Roman" w:hAnsi="Times New Roman" w:cs="Times New Roman"/>
          <w:iCs/>
          <w:color w:val="FF0000"/>
          <w:sz w:val="24"/>
        </w:rPr>
        <w:t>℃</w:t>
      </w:r>
      <w:r>
        <w:rPr>
          <w:rFonts w:hint="eastAsia" w:ascii="Times New Roman" w:hAnsi="Times New Roman" w:cs="Times New Roman"/>
          <w:iCs/>
          <w:color w:val="FF0000"/>
          <w:sz w:val="24"/>
        </w:rPr>
        <w:t xml:space="preserve">, the </w:t>
      </w:r>
      <w:r>
        <w:rPr>
          <w:rFonts w:hint="eastAsia" w:ascii="Times New Roman" w:hAnsi="Times New Roman" w:cs="Times New Roman"/>
          <w:iCs/>
          <w:color w:val="FF0000"/>
          <w:sz w:val="24"/>
          <w:lang w:val="en-US" w:eastAsia="zh-CN"/>
        </w:rPr>
        <w:t>d</w:t>
      </w:r>
      <w:r>
        <w:rPr>
          <w:rFonts w:hint="eastAsia" w:ascii="Times New Roman" w:hAnsi="Times New Roman" w:cs="Times New Roman"/>
          <w:iCs/>
          <w:color w:val="FF0000"/>
          <w:sz w:val="24"/>
        </w:rPr>
        <w:t xml:space="preserve">ispersant was anhydrous ethanol, the </w:t>
      </w:r>
      <w:r>
        <w:rPr>
          <w:rFonts w:hint="eastAsia" w:ascii="Times New Roman" w:hAnsi="Times New Roman" w:cs="Times New Roman"/>
          <w:iCs/>
          <w:color w:val="FF0000"/>
          <w:sz w:val="24"/>
          <w:lang w:val="en-US" w:eastAsia="zh-CN"/>
        </w:rPr>
        <w:t>d</w:t>
      </w:r>
      <w:r>
        <w:rPr>
          <w:rFonts w:hint="eastAsia" w:ascii="Times New Roman" w:hAnsi="Times New Roman" w:cs="Times New Roman"/>
          <w:iCs/>
          <w:color w:val="FF0000"/>
          <w:sz w:val="24"/>
        </w:rPr>
        <w:t>ispersant RI value was 1.326, and the viscosity (cP) was 0.5476.</w:t>
      </w:r>
    </w:p>
    <w:p w14:paraId="0E00A66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Cell culture and transfection:</w:t>
      </w:r>
    </w:p>
    <w:p w14:paraId="2D349F88">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 xml:space="preserve">Human hepatoma cell lines (Huh7, SMMC-7721) were passaged and preserved in our laboratory. The above cells were cultured in </w:t>
      </w:r>
      <w:bookmarkStart w:id="53" w:name="_Hlk125034519"/>
      <w:r>
        <w:rPr>
          <w:rFonts w:ascii="Times New Roman" w:hAnsi="Times New Roman" w:cs="Times New Roman"/>
          <w:iCs/>
          <w:sz w:val="24"/>
        </w:rPr>
        <w:t xml:space="preserve">DMEM </w:t>
      </w:r>
      <w:bookmarkEnd w:id="53"/>
      <w:r>
        <w:rPr>
          <w:rFonts w:ascii="Times New Roman" w:hAnsi="Times New Roman" w:cs="Times New Roman"/>
          <w:iCs/>
          <w:sz w:val="24"/>
        </w:rPr>
        <w:t xml:space="preserve">with 10 % </w:t>
      </w:r>
      <w:bookmarkStart w:id="54" w:name="_Hlk125034642"/>
      <w:r>
        <w:rPr>
          <w:rFonts w:ascii="Times New Roman" w:hAnsi="Times New Roman" w:cs="Times New Roman"/>
          <w:iCs/>
          <w:sz w:val="24"/>
        </w:rPr>
        <w:t xml:space="preserve">FBS </w:t>
      </w:r>
      <w:bookmarkEnd w:id="54"/>
      <w:r>
        <w:rPr>
          <w:rFonts w:ascii="Times New Roman" w:hAnsi="Times New Roman" w:cs="Times New Roman"/>
          <w:iCs/>
          <w:sz w:val="24"/>
        </w:rPr>
        <w:t>at 37 ℃ and 5 % CO</w:t>
      </w:r>
      <w:r>
        <w:rPr>
          <w:rFonts w:ascii="Times New Roman" w:hAnsi="Times New Roman" w:cs="Times New Roman"/>
          <w:iCs/>
          <w:sz w:val="24"/>
          <w:vertAlign w:val="subscript"/>
        </w:rPr>
        <w:t>2</w:t>
      </w:r>
      <w:r>
        <w:rPr>
          <w:rFonts w:ascii="Times New Roman" w:hAnsi="Times New Roman" w:cs="Times New Roman"/>
          <w:iCs/>
          <w:sz w:val="24"/>
        </w:rPr>
        <w:t>.</w:t>
      </w:r>
      <w:bookmarkStart w:id="55" w:name="_Hlk104498605"/>
      <w:r>
        <w:rPr>
          <w:rFonts w:ascii="Times New Roman" w:hAnsi="Times New Roman" w:cs="Times New Roman"/>
          <w:iCs/>
          <w:sz w:val="24"/>
        </w:rPr>
        <w:t xml:space="preserve"> Two pairs of siRNAs </w:t>
      </w:r>
      <w:bookmarkStart w:id="56" w:name="_Hlk126229597"/>
      <w:r>
        <w:rPr>
          <w:rFonts w:ascii="Times New Roman" w:hAnsi="Times New Roman" w:cs="Times New Roman"/>
          <w:iCs/>
          <w:sz w:val="24"/>
        </w:rPr>
        <w:t xml:space="preserve">targeting </w:t>
      </w:r>
      <w:bookmarkEnd w:id="55"/>
      <w:r>
        <w:rPr>
          <w:rFonts w:ascii="Times New Roman" w:hAnsi="Times New Roman" w:cs="Times New Roman"/>
          <w:i/>
          <w:iCs/>
          <w:sz w:val="24"/>
        </w:rPr>
        <w:t>SLC7A11</w:t>
      </w:r>
      <w:r>
        <w:rPr>
          <w:rFonts w:ascii="Times New Roman" w:hAnsi="Times New Roman" w:cs="Times New Roman"/>
          <w:iCs/>
          <w:sz w:val="24"/>
        </w:rPr>
        <w:t xml:space="preserve"> (</w:t>
      </w:r>
      <w:r>
        <w:rPr>
          <w:rFonts w:ascii="Times New Roman" w:hAnsi="Times New Roman" w:cs="Times New Roman"/>
          <w:i/>
          <w:iCs/>
          <w:sz w:val="24"/>
        </w:rPr>
        <w:t>SLC7A11</w:t>
      </w:r>
      <w:r>
        <w:rPr>
          <w:rFonts w:ascii="Times New Roman" w:hAnsi="Times New Roman" w:cs="Times New Roman"/>
          <w:iCs/>
          <w:sz w:val="24"/>
        </w:rPr>
        <w:t>-i)</w:t>
      </w:r>
      <w:bookmarkEnd w:id="56"/>
      <w:r>
        <w:rPr>
          <w:rFonts w:ascii="Times New Roman" w:hAnsi="Times New Roman" w:cs="Times New Roman"/>
          <w:iCs/>
          <w:sz w:val="24"/>
        </w:rPr>
        <w:t xml:space="preserve">, and negative control </w:t>
      </w:r>
      <w:bookmarkStart w:id="57" w:name="_Hlk125034669"/>
      <w:r>
        <w:rPr>
          <w:rFonts w:ascii="Times New Roman" w:hAnsi="Times New Roman" w:cs="Times New Roman"/>
          <w:iCs/>
          <w:sz w:val="24"/>
        </w:rPr>
        <w:t>siRNA</w:t>
      </w:r>
      <w:bookmarkEnd w:id="57"/>
      <w:r>
        <w:rPr>
          <w:rFonts w:ascii="Times New Roman" w:hAnsi="Times New Roman" w:cs="Times New Roman"/>
          <w:iCs/>
          <w:sz w:val="24"/>
        </w:rPr>
        <w:t xml:space="preserve">-NC (NC-i) were synthesized. The sequence information of the siRNAs is indicated below: </w:t>
      </w:r>
      <w:r>
        <w:rPr>
          <w:rFonts w:ascii="Times New Roman" w:hAnsi="Times New Roman" w:cs="Times New Roman"/>
          <w:i/>
          <w:iCs/>
          <w:sz w:val="24"/>
        </w:rPr>
        <w:t>SLC7A11</w:t>
      </w:r>
      <w:r>
        <w:rPr>
          <w:rFonts w:ascii="Times New Roman" w:hAnsi="Times New Roman" w:cs="Times New Roman"/>
          <w:iCs/>
          <w:sz w:val="24"/>
        </w:rPr>
        <w:t xml:space="preserve">-i-1, sense strand, 5′- GGAAGAGAUUCAAGUAUUA, strand, 5′- CCUUCUCUAAGUUCAUAAU; </w:t>
      </w:r>
      <w:r>
        <w:rPr>
          <w:rFonts w:ascii="Times New Roman" w:hAnsi="Times New Roman" w:cs="Times New Roman"/>
          <w:i/>
          <w:iCs/>
          <w:sz w:val="24"/>
        </w:rPr>
        <w:t>SLC7A11</w:t>
      </w:r>
      <w:r>
        <w:rPr>
          <w:rFonts w:ascii="Times New Roman" w:hAnsi="Times New Roman" w:cs="Times New Roman"/>
          <w:iCs/>
          <w:sz w:val="24"/>
        </w:rPr>
        <w:t xml:space="preserve">-i-2, sense strand, 5′- CUUGCAAUAUGUAUAUCCA, the antisense strand, 5′- GAACGUUAUACAUAUAGGU. Huh7 and </w:t>
      </w:r>
      <w:bookmarkStart w:id="58" w:name="_Hlk113903611"/>
      <w:r>
        <w:rPr>
          <w:rFonts w:ascii="Times New Roman" w:hAnsi="Times New Roman" w:cs="Times New Roman"/>
          <w:iCs/>
          <w:sz w:val="24"/>
        </w:rPr>
        <w:t>SMMC-7721</w:t>
      </w:r>
      <w:bookmarkEnd w:id="58"/>
      <w:r>
        <w:rPr>
          <w:rFonts w:ascii="Times New Roman" w:hAnsi="Times New Roman" w:cs="Times New Roman"/>
          <w:iCs/>
          <w:sz w:val="24"/>
        </w:rPr>
        <w:t xml:space="preserve"> cells were plated with appropriate cell density, and further transfection was mediated by </w:t>
      </w:r>
      <w:bookmarkStart w:id="59" w:name="_Hlk125034758"/>
      <w:r>
        <w:rPr>
          <w:rFonts w:ascii="Times New Roman" w:hAnsi="Times New Roman" w:cs="Times New Roman"/>
          <w:iCs/>
          <w:sz w:val="24"/>
        </w:rPr>
        <w:t>Lipofectamine</w:t>
      </w:r>
      <w:r>
        <w:rPr>
          <w:rFonts w:ascii="Times New Roman" w:hAnsi="Times New Roman" w:cs="Times New Roman"/>
          <w:iCs/>
          <w:sz w:val="24"/>
          <w:vertAlign w:val="superscript"/>
        </w:rPr>
        <w:t>TM</w:t>
      </w:r>
      <w:r>
        <w:rPr>
          <w:rFonts w:ascii="Times New Roman" w:hAnsi="Times New Roman" w:cs="Times New Roman"/>
          <w:iCs/>
          <w:sz w:val="24"/>
        </w:rPr>
        <w:t xml:space="preserve"> 3000. </w:t>
      </w:r>
      <w:bookmarkEnd w:id="59"/>
    </w:p>
    <w:p w14:paraId="3A5819DE">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Cell proliferation detection and viability assay:</w:t>
      </w:r>
    </w:p>
    <w:p w14:paraId="3BD7AF2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Cell proliferation and viability were detected by</w:t>
      </w:r>
      <w:bookmarkStart w:id="60" w:name="_Hlk125034781"/>
      <w:r>
        <w:rPr>
          <w:rFonts w:ascii="Times New Roman" w:hAnsi="Times New Roman" w:cs="Times New Roman"/>
          <w:iCs/>
          <w:sz w:val="24"/>
        </w:rPr>
        <w:t xml:space="preserve"> CCK-8.</w:t>
      </w:r>
      <w:bookmarkEnd w:id="60"/>
      <w:r>
        <w:rPr>
          <w:rFonts w:ascii="Times New Roman" w:hAnsi="Times New Roman" w:cs="Times New Roman"/>
          <w:iCs/>
          <w:sz w:val="24"/>
        </w:rPr>
        <w:t xml:space="preserve"> Huh7 and SMMC-7721 cells were seeded in </w:t>
      </w:r>
      <w:bookmarkStart w:id="61" w:name="_Hlk125034806"/>
      <w:r>
        <w:rPr>
          <w:rFonts w:ascii="Times New Roman" w:hAnsi="Times New Roman" w:cs="Times New Roman"/>
          <w:iCs/>
          <w:sz w:val="24"/>
        </w:rPr>
        <w:t xml:space="preserve">96-well plates </w:t>
      </w:r>
      <w:bookmarkEnd w:id="61"/>
      <w:r>
        <w:rPr>
          <w:rFonts w:ascii="Times New Roman" w:hAnsi="Times New Roman" w:cs="Times New Roman"/>
          <w:iCs/>
          <w:sz w:val="24"/>
        </w:rPr>
        <w:t>at a density of 5 × 10</w:t>
      </w:r>
      <w:r>
        <w:rPr>
          <w:rFonts w:ascii="Times New Roman" w:hAnsi="Times New Roman" w:cs="Times New Roman"/>
          <w:iCs/>
          <w:sz w:val="24"/>
          <w:vertAlign w:val="superscript"/>
        </w:rPr>
        <w:t>3</w:t>
      </w:r>
      <w:r>
        <w:rPr>
          <w:rFonts w:ascii="Times New Roman" w:hAnsi="Times New Roman" w:cs="Times New Roman"/>
          <w:iCs/>
          <w:sz w:val="24"/>
        </w:rPr>
        <w:t xml:space="preserve"> cells/well and cultured in a 10 % FBS medium containing nanomaterials. After culture for 0, 24, 48, and 72 hours, 10 μL CCK-8 reagent was added to the detecting well, and the absorbance at 450 nm of each well was measured with a microplate reader. 1 × 10</w:t>
      </w:r>
      <w:r>
        <w:rPr>
          <w:rFonts w:ascii="Times New Roman" w:hAnsi="Times New Roman" w:cs="Times New Roman"/>
          <w:iCs/>
          <w:sz w:val="24"/>
          <w:vertAlign w:val="superscript"/>
        </w:rPr>
        <w:t>4</w:t>
      </w:r>
      <w:r>
        <w:rPr>
          <w:rFonts w:ascii="Times New Roman" w:hAnsi="Times New Roman" w:cs="Times New Roman"/>
          <w:iCs/>
          <w:sz w:val="24"/>
        </w:rPr>
        <w:t xml:space="preserve"> cells/well of HCC cells were seeded on 96-well plates and cultured in a serum-free medium containing the drugs to be tested for 24 hours. Finally, 10 μL of CCK-8 was added to each well and incubated for 90 minutes, and the optical density at 450 nm was measured. In experiments to restore cell viability, the MNMG was co-treated with various drug inhibitors </w:t>
      </w:r>
      <w:bookmarkStart w:id="62" w:name="_Hlk125035851"/>
      <w:r>
        <w:rPr>
          <w:rFonts w:ascii="Times New Roman" w:hAnsi="Times New Roman" w:cs="Times New Roman"/>
          <w:iCs/>
          <w:sz w:val="24"/>
        </w:rPr>
        <w:t xml:space="preserve">ferrostatin-1 (1 μM), DFO (100 μM), and GSH </w:t>
      </w:r>
      <w:bookmarkEnd w:id="62"/>
      <w:r>
        <w:rPr>
          <w:rFonts w:ascii="Times New Roman" w:hAnsi="Times New Roman" w:cs="Times New Roman"/>
          <w:iCs/>
          <w:sz w:val="24"/>
        </w:rPr>
        <w:t>(1 mM) for 24 hours. Then 10 μL of CCK-8 reagent was added to each well and incubated at 37°C for 1.5 hours. The absorbance value was detected with a microplate reader and the ratio of the cell viability in each group to the control was calculated.</w:t>
      </w:r>
    </w:p>
    <w:p w14:paraId="44294EA6">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Western blotting analysis:</w:t>
      </w:r>
    </w:p>
    <w:p w14:paraId="13B30CE7">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 xml:space="preserve">Cells were lysed with </w:t>
      </w:r>
      <w:bookmarkStart w:id="63" w:name="_Hlk125036286"/>
      <w:r>
        <w:rPr>
          <w:rFonts w:ascii="Times New Roman" w:hAnsi="Times New Roman" w:cs="Times New Roman"/>
          <w:iCs/>
          <w:sz w:val="24"/>
        </w:rPr>
        <w:t>RIPA buffer</w:t>
      </w:r>
      <w:bookmarkEnd w:id="63"/>
      <w:r>
        <w:rPr>
          <w:rFonts w:ascii="Times New Roman" w:hAnsi="Times New Roman" w:cs="Times New Roman"/>
          <w:iCs/>
          <w:sz w:val="24"/>
        </w:rPr>
        <w:t xml:space="preserve"> to extract protein solution. The protein concentration was gauged with the </w:t>
      </w:r>
      <w:bookmarkStart w:id="64" w:name="_Hlk125036302"/>
      <w:r>
        <w:rPr>
          <w:rFonts w:ascii="Times New Roman" w:hAnsi="Times New Roman" w:cs="Times New Roman"/>
          <w:iCs/>
          <w:sz w:val="24"/>
        </w:rPr>
        <w:t>BCA kit</w:t>
      </w:r>
      <w:bookmarkEnd w:id="64"/>
      <w:r>
        <w:rPr>
          <w:rFonts w:ascii="Times New Roman" w:hAnsi="Times New Roman" w:cs="Times New Roman"/>
          <w:iCs/>
          <w:sz w:val="24"/>
        </w:rPr>
        <w:t xml:space="preserve">. Then, the protein was separated by 10 % SDS-PAGE and imprinted onto PVDF membranes. The imprinted PVDF membranes were blocked in 5 % non-fat milk and incubated overnight with primary antibodies, then removed for </w:t>
      </w:r>
      <w:bookmarkStart w:id="65" w:name="_Hlk125037229"/>
      <w:r>
        <w:rPr>
          <w:rFonts w:ascii="Times New Roman" w:hAnsi="Times New Roman" w:cs="Times New Roman"/>
          <w:iCs/>
          <w:sz w:val="24"/>
        </w:rPr>
        <w:t>(HRP)-conjugated secondary antibody</w:t>
      </w:r>
      <w:bookmarkEnd w:id="65"/>
      <w:r>
        <w:rPr>
          <w:rFonts w:ascii="Times New Roman" w:hAnsi="Times New Roman" w:cs="Times New Roman"/>
          <w:iCs/>
          <w:sz w:val="24"/>
        </w:rPr>
        <w:t xml:space="preserve"> incubation. The blotting s were visualized by the </w:t>
      </w:r>
      <w:bookmarkStart w:id="66" w:name="_Hlk125037204"/>
      <w:r>
        <w:rPr>
          <w:rFonts w:ascii="Times New Roman" w:hAnsi="Times New Roman" w:cs="Times New Roman"/>
          <w:iCs/>
          <w:sz w:val="24"/>
        </w:rPr>
        <w:t>ECL-Plus kit</w:t>
      </w:r>
      <w:bookmarkEnd w:id="66"/>
      <w:r>
        <w:rPr>
          <w:rFonts w:ascii="Times New Roman" w:hAnsi="Times New Roman" w:cs="Times New Roman"/>
          <w:iCs/>
          <w:sz w:val="24"/>
        </w:rPr>
        <w:t>.</w:t>
      </w:r>
    </w:p>
    <w:p w14:paraId="3F8F064C">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Live/Dead staining assay:</w:t>
      </w:r>
    </w:p>
    <w:p w14:paraId="71DF3B73">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Huh7 cells (9 × 10</w:t>
      </w:r>
      <w:r>
        <w:rPr>
          <w:rFonts w:ascii="Times New Roman" w:hAnsi="Times New Roman" w:cs="Times New Roman"/>
          <w:iCs/>
          <w:sz w:val="24"/>
          <w:vertAlign w:val="superscript"/>
        </w:rPr>
        <w:t>5</w:t>
      </w:r>
      <w:r>
        <w:rPr>
          <w:rFonts w:ascii="Times New Roman" w:hAnsi="Times New Roman" w:cs="Times New Roman"/>
          <w:iCs/>
          <w:sz w:val="24"/>
        </w:rPr>
        <w:t xml:space="preserve"> cells/well ) were seeded in a confocal dish and cultured for 24 hours. </w:t>
      </w:r>
      <w:bookmarkStart w:id="67" w:name="_Hlk104756332"/>
      <w:r>
        <w:rPr>
          <w:rFonts w:ascii="Times New Roman" w:hAnsi="Times New Roman" w:cs="Times New Roman"/>
          <w:iCs/>
          <w:sz w:val="24"/>
        </w:rPr>
        <w:t xml:space="preserve">The MNMG </w:t>
      </w:r>
      <w:bookmarkEnd w:id="67"/>
      <w:r>
        <w:rPr>
          <w:rFonts w:ascii="Times New Roman" w:hAnsi="Times New Roman" w:cs="Times New Roman"/>
          <w:iCs/>
          <w:sz w:val="24"/>
        </w:rPr>
        <w:t>(20 μg/ml, 50 μg/ml) was added to the indicated culture plate wells for 24 hours. Then, cells were subjected to</w:t>
      </w:r>
      <w:bookmarkStart w:id="68" w:name="_Hlk125039191"/>
      <w:r>
        <w:rPr>
          <w:rFonts w:ascii="Times New Roman" w:hAnsi="Times New Roman" w:cs="Times New Roman"/>
          <w:iCs/>
          <w:sz w:val="24"/>
        </w:rPr>
        <w:t xml:space="preserve"> CalceinAM/PI staining kit</w:t>
      </w:r>
      <w:bookmarkEnd w:id="68"/>
      <w:r>
        <w:rPr>
          <w:rFonts w:ascii="Times New Roman" w:hAnsi="Times New Roman" w:cs="Times New Roman"/>
          <w:iCs/>
          <w:sz w:val="24"/>
        </w:rPr>
        <w:t xml:space="preserve"> at 37 °C for 15 minutes. </w:t>
      </w:r>
      <w:bookmarkStart w:id="69" w:name="_Hlk104756706"/>
      <w:r>
        <w:rPr>
          <w:rFonts w:ascii="Times New Roman" w:hAnsi="Times New Roman" w:cs="Times New Roman"/>
          <w:iCs/>
          <w:sz w:val="24"/>
        </w:rPr>
        <w:t>Nuclei were counterstained with Hoechst (10 μM) for 5 minutes.</w:t>
      </w:r>
      <w:bookmarkEnd w:id="69"/>
      <w:r>
        <w:rPr>
          <w:rFonts w:ascii="Times New Roman" w:hAnsi="Times New Roman" w:cs="Times New Roman"/>
          <w:iCs/>
          <w:sz w:val="24"/>
        </w:rPr>
        <w:t xml:space="preserve"> PI was stained for the dead cells, and CalceinAM was stained for the live cells. </w:t>
      </w:r>
      <w:bookmarkStart w:id="70" w:name="_Hlk104757536"/>
      <w:r>
        <w:rPr>
          <w:rFonts w:ascii="Times New Roman" w:hAnsi="Times New Roman" w:cs="Times New Roman"/>
          <w:iCs/>
          <w:sz w:val="24"/>
        </w:rPr>
        <w:t xml:space="preserve">Single-cell suspensions were subjected to </w:t>
      </w:r>
      <w:bookmarkStart w:id="71" w:name="_Hlk125041906"/>
      <w:r>
        <w:rPr>
          <w:rFonts w:ascii="Times New Roman" w:hAnsi="Times New Roman" w:cs="Times New Roman"/>
          <w:iCs/>
          <w:sz w:val="24"/>
        </w:rPr>
        <w:t xml:space="preserve">flow cytometry </w:t>
      </w:r>
      <w:bookmarkEnd w:id="71"/>
      <w:r>
        <w:rPr>
          <w:rFonts w:ascii="Times New Roman" w:hAnsi="Times New Roman" w:cs="Times New Roman"/>
          <w:iCs/>
          <w:sz w:val="24"/>
        </w:rPr>
        <w:t>and the percentage of Dead cells was quantified.</w:t>
      </w:r>
    </w:p>
    <w:bookmarkEnd w:id="70"/>
    <w:p w14:paraId="1C8B2B58">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72" w:name="_Hlk96772123"/>
      <w:r>
        <w:rPr>
          <w:rFonts w:ascii="Times New Roman" w:hAnsi="Times New Roman" w:cs="Times New Roman"/>
          <w:b/>
          <w:bCs/>
          <w:iCs/>
          <w:sz w:val="24"/>
        </w:rPr>
        <w:t>Clone formation assay:</w:t>
      </w:r>
    </w:p>
    <w:p w14:paraId="6D1E298A">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HCC cells (</w:t>
      </w:r>
      <w:bookmarkStart w:id="73" w:name="_Hlk104753584"/>
      <w:r>
        <w:rPr>
          <w:rFonts w:ascii="Times New Roman" w:hAnsi="Times New Roman" w:cs="Times New Roman"/>
          <w:iCs/>
          <w:sz w:val="24"/>
        </w:rPr>
        <w:t>500 cells/well</w:t>
      </w:r>
      <w:bookmarkEnd w:id="73"/>
      <w:r>
        <w:rPr>
          <w:rFonts w:ascii="Times New Roman" w:hAnsi="Times New Roman" w:cs="Times New Roman"/>
          <w:iCs/>
          <w:sz w:val="24"/>
        </w:rPr>
        <w:t xml:space="preserve">) were seeded into 6-well plates and cultured with various concentrations of the MNMG for 14 days. The colonies were fixed with paraformaldehyde and stained with </w:t>
      </w:r>
      <w:bookmarkStart w:id="74" w:name="_Hlk125041932"/>
      <w:r>
        <w:rPr>
          <w:rFonts w:ascii="Times New Roman" w:hAnsi="Times New Roman" w:cs="Times New Roman"/>
          <w:iCs/>
          <w:sz w:val="24"/>
        </w:rPr>
        <w:t xml:space="preserve">crystal violet </w:t>
      </w:r>
      <w:bookmarkEnd w:id="74"/>
      <w:r>
        <w:rPr>
          <w:rFonts w:ascii="Times New Roman" w:hAnsi="Times New Roman" w:cs="Times New Roman"/>
          <w:iCs/>
          <w:sz w:val="24"/>
        </w:rPr>
        <w:t xml:space="preserve">for 20 minutes. Whereafter, the field of vision was photographed </w:t>
      </w:r>
      <w:bookmarkStart w:id="75" w:name="_Hlk125041977"/>
      <w:r>
        <w:rPr>
          <w:rFonts w:ascii="Times New Roman" w:hAnsi="Times New Roman" w:cs="Times New Roman"/>
          <w:iCs/>
          <w:sz w:val="24"/>
        </w:rPr>
        <w:t>under a light microscope</w:t>
      </w:r>
      <w:bookmarkEnd w:id="75"/>
      <w:r>
        <w:rPr>
          <w:rFonts w:ascii="Times New Roman" w:hAnsi="Times New Roman" w:cs="Times New Roman"/>
          <w:iCs/>
          <w:sz w:val="24"/>
        </w:rPr>
        <w:t>.</w:t>
      </w:r>
    </w:p>
    <w:bookmarkEnd w:id="72"/>
    <w:p w14:paraId="236ECD9E">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76" w:name="_Hlk125042007"/>
      <w:r>
        <w:rPr>
          <w:rFonts w:ascii="Times New Roman" w:hAnsi="Times New Roman" w:cs="Times New Roman"/>
          <w:b/>
          <w:bCs/>
          <w:iCs/>
          <w:sz w:val="24"/>
        </w:rPr>
        <w:t>Transwell</w:t>
      </w:r>
      <w:bookmarkEnd w:id="76"/>
      <w:r>
        <w:rPr>
          <w:rFonts w:ascii="Times New Roman" w:hAnsi="Times New Roman" w:cs="Times New Roman"/>
          <w:b/>
          <w:bCs/>
          <w:iCs/>
          <w:sz w:val="24"/>
        </w:rPr>
        <w:t xml:space="preserve"> invasion and wound healing assay:</w:t>
      </w:r>
    </w:p>
    <w:p w14:paraId="4B810589">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After HCC cells were inoculated in the upper chamber, 200μL of different concentrations of MNMG were added. Another 500 μL of DMEM medium containing 10% FBS was added to the lower chamber. After 24 hours of culture, the cells were fixed with paraformaldehyde solution and stained with crystal violet for 20 minutes. Finally, the invading cells were captured by a light microscope. HCC cells were seeded into 6-well plates and grew to around 95 % cell density. The monolayer cells were then scratched with the tip of a 10 μL pipette. After adding diverse concentrations of the MNMG and culturing for 48 hours, the wound healing area was photographed with a light microscope.</w:t>
      </w:r>
    </w:p>
    <w:p w14:paraId="2382947F">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77" w:name="_Hlk104753709"/>
      <w:r>
        <w:rPr>
          <w:rFonts w:ascii="Times New Roman" w:hAnsi="Times New Roman" w:cs="Times New Roman"/>
          <w:b/>
          <w:bCs/>
          <w:iCs/>
          <w:sz w:val="24"/>
        </w:rPr>
        <w:t>Mitochondrial morphology:</w:t>
      </w:r>
    </w:p>
    <w:bookmarkEnd w:id="77"/>
    <w:p w14:paraId="40C63DC5">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HCC cells (8 × 10</w:t>
      </w:r>
      <w:r>
        <w:rPr>
          <w:rFonts w:ascii="Times New Roman" w:hAnsi="Times New Roman" w:cs="Times New Roman"/>
          <w:iCs/>
          <w:sz w:val="24"/>
          <w:vertAlign w:val="superscript"/>
        </w:rPr>
        <w:t>5</w:t>
      </w:r>
      <w:r>
        <w:rPr>
          <w:rFonts w:ascii="Times New Roman" w:hAnsi="Times New Roman" w:cs="Times New Roman"/>
          <w:iCs/>
          <w:sz w:val="24"/>
        </w:rPr>
        <w:t xml:space="preserve"> cells/well ) were seeded in the confocal dish and cultured overnight before treatment. The cells were treated with different concentrations of the MNMG for 6 hours and then incubated with </w:t>
      </w:r>
      <w:bookmarkStart w:id="78" w:name="_Hlk125042040"/>
      <w:r>
        <w:rPr>
          <w:rFonts w:ascii="Times New Roman" w:hAnsi="Times New Roman" w:cs="Times New Roman"/>
          <w:iCs/>
          <w:sz w:val="24"/>
        </w:rPr>
        <w:t>MitoTracker Red</w:t>
      </w:r>
      <w:bookmarkEnd w:id="78"/>
      <w:r>
        <w:rPr>
          <w:rFonts w:ascii="Times New Roman" w:hAnsi="Times New Roman" w:cs="Times New Roman"/>
          <w:iCs/>
          <w:sz w:val="24"/>
        </w:rPr>
        <w:t xml:space="preserve"> (100 nM) in a 37 ℃ incubator for 15 minutes. Nuclei were counterstained with </w:t>
      </w:r>
      <w:bookmarkStart w:id="79" w:name="_Hlk104756721"/>
      <w:r>
        <w:rPr>
          <w:rFonts w:ascii="Times New Roman" w:hAnsi="Times New Roman" w:cs="Times New Roman"/>
          <w:iCs/>
          <w:sz w:val="24"/>
        </w:rPr>
        <w:t>Hoechst</w:t>
      </w:r>
      <w:bookmarkEnd w:id="79"/>
      <w:r>
        <w:rPr>
          <w:rFonts w:ascii="Times New Roman" w:hAnsi="Times New Roman" w:cs="Times New Roman"/>
          <w:iCs/>
          <w:sz w:val="24"/>
        </w:rPr>
        <w:t xml:space="preserve"> (10 μM) for 10 minutes. The morphological changes of mitochondria in living cells were visualized by laser confocal microscopy.</w:t>
      </w:r>
    </w:p>
    <w:p w14:paraId="7389E90B">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bookmarkStart w:id="80" w:name="_Hlk104754445"/>
      <w:r>
        <w:rPr>
          <w:rFonts w:ascii="Times New Roman" w:hAnsi="Times New Roman" w:cs="Times New Roman"/>
          <w:b/>
          <w:bCs/>
          <w:iCs/>
          <w:sz w:val="24"/>
        </w:rPr>
        <w:t xml:space="preserve">Measurement of intracellular </w:t>
      </w:r>
      <w:bookmarkStart w:id="81" w:name="_Hlk105448159"/>
      <w:r>
        <w:rPr>
          <w:rFonts w:ascii="Times New Roman" w:hAnsi="Times New Roman" w:cs="Times New Roman"/>
          <w:b/>
          <w:bCs/>
          <w:iCs/>
          <w:sz w:val="24"/>
        </w:rPr>
        <w:t>ROS and lipid peroxide</w:t>
      </w:r>
      <w:bookmarkEnd w:id="81"/>
      <w:r>
        <w:rPr>
          <w:rFonts w:ascii="Times New Roman" w:hAnsi="Times New Roman" w:cs="Times New Roman"/>
          <w:b/>
          <w:bCs/>
          <w:iCs/>
          <w:sz w:val="24"/>
        </w:rPr>
        <w:t xml:space="preserve"> accumulation</w:t>
      </w:r>
      <w:bookmarkEnd w:id="80"/>
      <w:r>
        <w:rPr>
          <w:rFonts w:ascii="Times New Roman" w:hAnsi="Times New Roman" w:cs="Times New Roman"/>
          <w:b/>
          <w:bCs/>
          <w:iCs/>
          <w:sz w:val="24"/>
        </w:rPr>
        <w:t>:</w:t>
      </w:r>
    </w:p>
    <w:p w14:paraId="1046CAB9">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 xml:space="preserve">Intracellular superoxide accumulation was analyzed by the staining of the fluorescent dye </w:t>
      </w:r>
      <w:bookmarkStart w:id="82" w:name="_Hlk125042496"/>
      <w:r>
        <w:rPr>
          <w:rFonts w:ascii="Times New Roman" w:hAnsi="Times New Roman" w:cs="Times New Roman"/>
          <w:iCs/>
          <w:sz w:val="24"/>
        </w:rPr>
        <w:t>Mitoso</w:t>
      </w:r>
      <w:bookmarkEnd w:id="82"/>
      <w:r>
        <w:rPr>
          <w:rFonts w:ascii="Times New Roman" w:hAnsi="Times New Roman" w:cs="Times New Roman"/>
          <w:iCs/>
          <w:sz w:val="24"/>
        </w:rPr>
        <w:t xml:space="preserve">x. Different concentrations of the MNMG were used to treat huh7 cells seeded in the confocal dish, and huh7 cells were incubated with 5 μM Mitosox at 37°C in the dark for 15 minutes, and then washed with PBS. Photograph the cells under a confocal microscope. Intracellular ROS were determined by flow cytometry, and the fluorescent intensity represents the amount of cellular ROS generation. Huh7 cells were seeded in a chamber confocal dish. After MNMG treatment for 12 hours, cells were incubated with C11-Bodipy (5 μM) in the dark for 30 minutes, and nuclei were counterstained with Hoechst (10 μM). </w:t>
      </w:r>
      <w:bookmarkStart w:id="83" w:name="_Hlk105448409"/>
      <w:r>
        <w:rPr>
          <w:rFonts w:ascii="Times New Roman" w:hAnsi="Times New Roman" w:cs="Times New Roman"/>
          <w:iCs/>
          <w:sz w:val="24"/>
        </w:rPr>
        <w:t>Then cells were photographed under a confocal microscope.</w:t>
      </w:r>
      <w:bookmarkEnd w:id="83"/>
      <w:r>
        <w:rPr>
          <w:rFonts w:ascii="Times New Roman" w:hAnsi="Times New Roman" w:cs="Times New Roman"/>
          <w:iCs/>
          <w:sz w:val="24"/>
        </w:rPr>
        <w:t xml:space="preserve"> Intracellular lipid peroxide was determined by flow cytometry, and the fluorescent intensity represents the amount of cellular lipid peroxide generation.</w:t>
      </w:r>
    </w:p>
    <w:p w14:paraId="6058ADF2">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Determination of GSH production:</w:t>
      </w:r>
    </w:p>
    <w:p w14:paraId="233C3B9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 xml:space="preserve">Intracellular GSH consumption was analyzed by fluorescent probe </w:t>
      </w:r>
      <w:bookmarkStart w:id="84" w:name="_Hlk125042754"/>
      <w:r>
        <w:rPr>
          <w:rFonts w:ascii="Times New Roman" w:hAnsi="Times New Roman" w:cs="Times New Roman"/>
          <w:iCs/>
          <w:sz w:val="24"/>
        </w:rPr>
        <w:t>Monochlorobimane (mBCL)</w:t>
      </w:r>
      <w:bookmarkEnd w:id="84"/>
      <w:r>
        <w:rPr>
          <w:rFonts w:ascii="Times New Roman" w:hAnsi="Times New Roman" w:cs="Times New Roman"/>
          <w:iCs/>
          <w:sz w:val="24"/>
        </w:rPr>
        <w:t>. After drug treatments, cells were incubated with 5 μM mBCL in the dark for 90 minutes at 37 ℃. Then cells were washed three times with PBS and photographed under a confocal microscope.</w:t>
      </w:r>
    </w:p>
    <w:p w14:paraId="3B2FF1E5">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85" w:name="_Hlk127372080"/>
      <w:r>
        <w:rPr>
          <w:rFonts w:ascii="Times New Roman" w:hAnsi="Times New Roman" w:cs="Times New Roman"/>
          <w:b/>
          <w:bCs/>
          <w:iCs/>
          <w:sz w:val="24"/>
        </w:rPr>
        <w:t>OCR determination:</w:t>
      </w:r>
    </w:p>
    <w:bookmarkEnd w:id="85"/>
    <w:p w14:paraId="7E61216D">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iCs/>
          <w:sz w:val="24"/>
        </w:rPr>
        <w:t>Huh7 cells were seeded in</w:t>
      </w:r>
      <w:bookmarkStart w:id="86" w:name="_Hlk125042839"/>
      <w:r>
        <w:rPr>
          <w:rFonts w:ascii="Times New Roman" w:hAnsi="Times New Roman" w:cs="Times New Roman"/>
          <w:iCs/>
          <w:sz w:val="24"/>
        </w:rPr>
        <w:t xml:space="preserve"> XFe 24 seahorse cell culture microplate </w:t>
      </w:r>
      <w:bookmarkEnd w:id="86"/>
      <w:r>
        <w:rPr>
          <w:rFonts w:ascii="Times New Roman" w:hAnsi="Times New Roman" w:cs="Times New Roman"/>
          <w:iCs/>
          <w:sz w:val="24"/>
        </w:rPr>
        <w:t>at a density of 4 × 10</w:t>
      </w:r>
      <w:r>
        <w:rPr>
          <w:rFonts w:ascii="Times New Roman" w:hAnsi="Times New Roman" w:cs="Times New Roman"/>
          <w:iCs/>
          <w:sz w:val="24"/>
          <w:vertAlign w:val="superscript"/>
        </w:rPr>
        <w:t>5</w:t>
      </w:r>
      <w:r>
        <w:rPr>
          <w:rFonts w:ascii="Times New Roman" w:hAnsi="Times New Roman" w:cs="Times New Roman"/>
          <w:iCs/>
          <w:sz w:val="24"/>
        </w:rPr>
        <w:t xml:space="preserve"> cells/well and OCR was determined as described previously</w:t>
      </w:r>
      <w:r>
        <w:rPr>
          <w:rFonts w:ascii="Times New Roman" w:hAnsi="Times New Roman" w:cs="Times New Roman"/>
          <w:iCs/>
          <w:color w:val="FF0000"/>
          <w:sz w:val="24"/>
          <w:vertAlign w:val="superscript"/>
        </w:rPr>
        <w:fldChar w:fldCharType="begin">
          <w:fldData xml:space="preserve">PEVuZE5vdGU+PENpdGU+PEF1dGhvcj5aaG91PC9BdXRob3I+PFllYXI+MjAyMjwvWWVhcj48UmVj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</w:fldData>
        </w:fldChar>
      </w:r>
      <w:r>
        <w:rPr>
          <w:rFonts w:ascii="Times New Roman" w:hAnsi="Times New Roman" w:cs="Times New Roman"/>
          <w:iCs/>
          <w:color w:val="FF0000"/>
          <w:sz w:val="24"/>
          <w:vertAlign w:val="superscript"/>
        </w:rPr>
        <w:instrText xml:space="preserve"> ADDIN EN.CITE </w:instrText>
      </w:r>
      <w:r>
        <w:rPr>
          <w:rFonts w:ascii="Times New Roman" w:hAnsi="Times New Roman" w:cs="Times New Roman"/>
          <w:iCs/>
          <w:color w:val="FF0000"/>
          <w:sz w:val="24"/>
          <w:vertAlign w:val="superscript"/>
        </w:rPr>
        <w:fldChar w:fldCharType="begin">
          <w:fldData xml:space="preserve">PEVuZE5vdGU+PENpdGU+PEF1dGhvcj5aaG91PC9BdXRob3I+PFllYXI+MjAyMjwvWWVhcj48UmVj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</w:fldData>
        </w:fldChar>
      </w:r>
      <w:r>
        <w:rPr>
          <w:rFonts w:ascii="Times New Roman" w:hAnsi="Times New Roman" w:cs="Times New Roman"/>
          <w:iCs/>
          <w:color w:val="FF0000"/>
          <w:sz w:val="24"/>
          <w:vertAlign w:val="superscript"/>
        </w:rPr>
        <w:instrText xml:space="preserve"> ADDIN EN.CITE.DATA </w:instrText>
      </w:r>
      <w:r>
        <w:rPr>
          <w:rFonts w:ascii="Times New Roman" w:hAnsi="Times New Roman" w:cs="Times New Roman"/>
          <w:iCs/>
          <w:color w:val="FF0000"/>
          <w:sz w:val="24"/>
        </w:rPr>
        <w:fldChar w:fldCharType="end"/>
      </w:r>
      <w:r>
        <w:rPr>
          <w:rFonts w:ascii="Times New Roman" w:hAnsi="Times New Roman" w:cs="Times New Roman"/>
          <w:iCs/>
          <w:color w:val="FF0000"/>
          <w:sz w:val="24"/>
          <w:vertAlign w:val="superscript"/>
        </w:rPr>
        <w:fldChar w:fldCharType="separate"/>
      </w:r>
      <w:r>
        <w:rPr>
          <w:rFonts w:ascii="Times New Roman" w:hAnsi="Times New Roman" w:cs="Times New Roman"/>
          <w:iCs/>
          <w:color w:val="FF0000"/>
          <w:sz w:val="24"/>
          <w:vertAlign w:val="superscript"/>
        </w:rPr>
        <w:t>[</w:t>
      </w:r>
      <w:r>
        <w:rPr>
          <w:rFonts w:hint="eastAsia" w:ascii="Times New Roman" w:hAnsi="Times New Roman" w:cs="Times New Roman"/>
          <w:iCs/>
          <w:color w:val="FF0000"/>
          <w:sz w:val="24"/>
          <w:vertAlign w:val="superscript"/>
          <w:lang w:val="en-US" w:eastAsia="zh-CN"/>
        </w:rPr>
        <w:t>3</w:t>
      </w:r>
      <w:r>
        <w:rPr>
          <w:rFonts w:ascii="Times New Roman" w:hAnsi="Times New Roman" w:cs="Times New Roman"/>
          <w:iCs/>
          <w:color w:val="FF0000"/>
          <w:sz w:val="24"/>
          <w:vertAlign w:val="superscript"/>
        </w:rPr>
        <w:t>,</w:t>
      </w:r>
      <w:r>
        <w:rPr>
          <w:rFonts w:hint="eastAsia" w:ascii="Times New Roman" w:hAnsi="Times New Roman" w:cs="Times New Roman"/>
          <w:iCs/>
          <w:color w:val="FF0000"/>
          <w:sz w:val="24"/>
          <w:vertAlign w:val="superscript"/>
          <w:lang w:val="en-US" w:eastAsia="zh-CN"/>
        </w:rPr>
        <w:t>4</w:t>
      </w:r>
      <w:r>
        <w:rPr>
          <w:rFonts w:ascii="Times New Roman" w:hAnsi="Times New Roman" w:cs="Times New Roman"/>
          <w:iCs/>
          <w:color w:val="FF0000"/>
          <w:sz w:val="24"/>
          <w:vertAlign w:val="superscript"/>
        </w:rPr>
        <w:t>]</w:t>
      </w:r>
      <w:r>
        <w:rPr>
          <w:rFonts w:ascii="Times New Roman" w:hAnsi="Times New Roman" w:cs="Times New Roman"/>
          <w:iCs/>
          <w:color w:val="FF0000"/>
          <w:sz w:val="24"/>
        </w:rPr>
        <w:fldChar w:fldCharType="end"/>
      </w:r>
      <w:r>
        <w:rPr>
          <w:rFonts w:ascii="Times New Roman" w:hAnsi="Times New Roman" w:cs="Times New Roman"/>
          <w:iCs/>
          <w:sz w:val="24"/>
        </w:rPr>
        <w:t>. Briefly, the sensor cartridge was hydrated overnight at 37 ℃. The next day, cells were treated with the MNMG at concentrations of 0, 10, 20, and 30 μg/ml for 45 minutes, plates were then incubated in a CO</w:t>
      </w:r>
      <w:r>
        <w:rPr>
          <w:rFonts w:ascii="Times New Roman" w:hAnsi="Times New Roman" w:cs="Times New Roman"/>
          <w:iCs/>
          <w:sz w:val="24"/>
          <w:vertAlign w:val="subscript"/>
        </w:rPr>
        <w:t>2</w:t>
      </w:r>
      <w:r>
        <w:rPr>
          <w:rFonts w:ascii="Times New Roman" w:hAnsi="Times New Roman" w:cs="Times New Roman"/>
          <w:iCs/>
          <w:sz w:val="24"/>
        </w:rPr>
        <w:t>-free incubator at 37 ℃ for 1 hour, and OCR has measured in real-time with the sequential injection of 1.5 μM oligomycin, 1.5 μM carbonyl cyanide 4-(trifluoromethoxy) phenylhydrazone (FCCP) and 0.5 μM Antimycin A/Rotenone.</w:t>
      </w:r>
    </w:p>
    <w:p w14:paraId="598BA7F7">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87" w:name="OLE_LINK1"/>
      <w:r>
        <w:rPr>
          <w:rFonts w:ascii="Times New Roman" w:hAnsi="Times New Roman" w:cs="Times New Roman"/>
          <w:b/>
          <w:bCs/>
          <w:iCs/>
          <w:sz w:val="24"/>
        </w:rPr>
        <w:t>Animal experiments:</w:t>
      </w:r>
    </w:p>
    <w:bookmarkEnd w:id="87"/>
    <w:p w14:paraId="13247FDE">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BALB/c nude mice (aged 5 weeks) were purchased from Zhejiang Provincial Laboratory Animal Center and kept in SPF condition for one week.</w:t>
      </w:r>
      <w:r>
        <w:rPr>
          <w:rFonts w:hint="eastAsia" w:ascii="Times New Roman" w:hAnsi="Times New Roman" w:cs="Times New Roman"/>
          <w:iCs/>
          <w:sz w:val="24"/>
        </w:rPr>
        <w:t xml:space="preserve"> The</w:t>
      </w:r>
      <w:r>
        <w:rPr>
          <w:rFonts w:ascii="Times New Roman" w:hAnsi="Times New Roman" w:cs="Times New Roman"/>
          <w:iCs/>
          <w:sz w:val="24"/>
        </w:rPr>
        <w:t xml:space="preserve"> animal use protocol listed below has</w:t>
      </w:r>
      <w:r>
        <w:rPr>
          <w:rFonts w:hint="eastAsia" w:ascii="Times New Roman" w:hAnsi="Times New Roman" w:cs="Times New Roman"/>
          <w:iCs/>
          <w:sz w:val="24"/>
        </w:rPr>
        <w:t xml:space="preserve"> </w:t>
      </w:r>
      <w:r>
        <w:rPr>
          <w:rFonts w:ascii="Times New Roman" w:hAnsi="Times New Roman" w:cs="Times New Roman"/>
          <w:iCs/>
          <w:sz w:val="24"/>
        </w:rPr>
        <w:t>been reviewed and approved by the Institutional Animal Care and Use Committee (IACUC), ZJCLA. The tumor model was established by subcutaneous injection of 100 µL of serum-free DMEM containing 8×10</w:t>
      </w:r>
      <w:r>
        <w:rPr>
          <w:rFonts w:ascii="Times New Roman" w:hAnsi="Times New Roman" w:cs="Times New Roman"/>
          <w:iCs/>
          <w:sz w:val="24"/>
          <w:vertAlign w:val="superscript"/>
        </w:rPr>
        <w:t>6</w:t>
      </w:r>
      <w:r>
        <w:rPr>
          <w:rFonts w:ascii="Times New Roman" w:hAnsi="Times New Roman" w:cs="Times New Roman"/>
          <w:iCs/>
          <w:sz w:val="24"/>
        </w:rPr>
        <w:t xml:space="preserve"> Huh7 cells and ABW Matrigel in the right side of each BALB/c nude mouse. After 7 days of feeding, 10 Huh7 tumor-bearing mice were randomly divided into 2 groups of 5 mice each. All tumor-bearing nude mice were injected intraperitoneally once every two days for 28 days. One group was the control group, injected with 100 µL of normal saline each time. The other sample group was the MNMG administration group, and the injection dose of the MNMG was 100 mg kg </w:t>
      </w:r>
      <w:r>
        <w:rPr>
          <w:rFonts w:ascii="Times New Roman" w:hAnsi="Times New Roman" w:cs="Times New Roman"/>
          <w:iCs/>
          <w:sz w:val="24"/>
          <w:vertAlign w:val="superscript"/>
        </w:rPr>
        <w:t>- 1</w:t>
      </w:r>
      <w:r>
        <w:rPr>
          <w:rFonts w:ascii="Times New Roman" w:hAnsi="Times New Roman" w:cs="Times New Roman"/>
          <w:iCs/>
          <w:sz w:val="24"/>
        </w:rPr>
        <w:t xml:space="preserve"> d </w:t>
      </w:r>
      <w:r>
        <w:rPr>
          <w:rFonts w:ascii="Times New Roman" w:hAnsi="Times New Roman" w:cs="Times New Roman"/>
          <w:iCs/>
          <w:sz w:val="24"/>
          <w:vertAlign w:val="superscript"/>
        </w:rPr>
        <w:t>- 1</w:t>
      </w:r>
      <w:r>
        <w:rPr>
          <w:rFonts w:ascii="Times New Roman" w:hAnsi="Times New Roman" w:cs="Times New Roman"/>
          <w:iCs/>
          <w:sz w:val="24"/>
        </w:rPr>
        <w:t>. Body weight and tumor volume of tumor-bearing nude mice were measured at intervals during the experiments. After 28 days of administration and treatment, the above-mentioned nude mice were euthanized following the guidelines of animal ethics.</w:t>
      </w:r>
      <w:r>
        <w:rPr>
          <w:rFonts w:ascii="Times New Roman" w:hAnsi="Times New Roman" w:cs="Times New Roman"/>
          <w:b/>
          <w:bCs/>
          <w:iCs/>
          <w:sz w:val="24"/>
        </w:rPr>
        <w:t xml:space="preserve"> </w:t>
      </w:r>
      <w:r>
        <w:rPr>
          <w:rFonts w:ascii="Times New Roman" w:hAnsi="Times New Roman" w:cs="Times New Roman"/>
          <w:iCs/>
          <w:sz w:val="24"/>
        </w:rPr>
        <w:t>Finally, 200 µL of blood was collected, the blood cells were removed by centrifugation, and serum was taken to detect serum biochemical indexes.</w:t>
      </w:r>
    </w:p>
    <w:p w14:paraId="147E1586">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Fluorescence imaging for the in vivo tracking of the nano samples:</w:t>
      </w:r>
    </w:p>
    <w:p w14:paraId="26400D43">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To determine the targeted aggregation and blood circulation stability of tumor sites of the nano samples, MNMG@Cy5.5 were synthesized and injected into the tumor-bearing mice through the tail vein. The dose of the MNMG@Cy5.5 was 100 mg kg</w:t>
      </w:r>
      <w:r>
        <w:rPr>
          <w:rFonts w:ascii="Times New Roman" w:hAnsi="Times New Roman" w:cs="Times New Roman"/>
          <w:iCs/>
          <w:sz w:val="24"/>
          <w:vertAlign w:val="superscript"/>
        </w:rPr>
        <w:t>−1</w:t>
      </w:r>
      <w:r>
        <w:rPr>
          <w:rFonts w:ascii="Times New Roman" w:hAnsi="Times New Roman" w:cs="Times New Roman"/>
          <w:iCs/>
          <w:sz w:val="24"/>
        </w:rPr>
        <w:t xml:space="preserve"> d</w:t>
      </w:r>
      <w:r>
        <w:rPr>
          <w:rFonts w:ascii="Times New Roman" w:hAnsi="Times New Roman" w:cs="Times New Roman"/>
          <w:iCs/>
          <w:sz w:val="24"/>
          <w:vertAlign w:val="superscript"/>
        </w:rPr>
        <w:t>−1</w:t>
      </w:r>
      <w:r>
        <w:rPr>
          <w:rFonts w:ascii="Times New Roman" w:hAnsi="Times New Roman" w:cs="Times New Roman"/>
          <w:iCs/>
          <w:sz w:val="24"/>
        </w:rPr>
        <w:t>. The mice were imaged on a PerkinElmer in vivo imaging system (IVIS Lumina III</w:t>
      </w:r>
      <w:r>
        <w:rPr>
          <w:rFonts w:hint="eastAsia" w:ascii="Times New Roman" w:hAnsi="Times New Roman" w:cs="Times New Roman"/>
          <w:iCs/>
          <w:color w:val="auto"/>
          <w:sz w:val="24"/>
          <w:lang w:eastAsia="zh-CN"/>
        </w:rPr>
        <w:t>，</w:t>
      </w:r>
      <w:r>
        <w:rPr>
          <w:rFonts w:hint="eastAsia" w:ascii="Times New Roman" w:hAnsi="Times New Roman" w:cs="Times New Roman"/>
          <w:iCs/>
          <w:color w:val="auto"/>
          <w:sz w:val="24"/>
          <w:lang w:val="en-US" w:eastAsia="zh-CN"/>
        </w:rPr>
        <w:t>USA</w:t>
      </w:r>
      <w:r>
        <w:rPr>
          <w:rFonts w:ascii="Times New Roman" w:hAnsi="Times New Roman" w:cs="Times New Roman"/>
          <w:iCs/>
          <w:sz w:val="24"/>
        </w:rPr>
        <w:t xml:space="preserve">) at 2, 4, 8, 24, and 48 hours after injection. </w:t>
      </w:r>
      <w:bookmarkStart w:id="88" w:name="_Hlk104496824"/>
    </w:p>
    <w:p w14:paraId="35E05069">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ascii="Times New Roman" w:hAnsi="Times New Roman" w:cs="Times New Roman"/>
          <w:b/>
          <w:bCs/>
          <w:iCs/>
          <w:sz w:val="24"/>
        </w:rPr>
        <w:t>H&amp;E analysis and immunohistochemistry:</w:t>
      </w:r>
    </w:p>
    <w:bookmarkEnd w:id="88"/>
    <w:p w14:paraId="3C451FF4">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The transplanted tumor tissue and main organs of each nude mouse in the experiment were collected and fixed with 10 % formalin at 4 °C for 24 hours. Paraffin-embedded tissues were cut to a thickness of 4 μm, deparaffinized with different concentrations of ethanol, and stained with hematoxylin and eosin (H&amp;E). Sections were photographed with a light microscope for staining results. Tumor xenograft tissues were fixed with 4 % paraformaldehyde and embedded in paraffin. Then, the embedded tissues were cut into 4 μm sections and heated at 65 °C for 120 minutes, followed by de-paraffinized, hydrated, and antigen retrieval. Endogenous peroxidases were blocked with 3 % peroxide for 15 minutes, then sections were blocked in 5 % BSA for 1 h</w:t>
      </w:r>
      <w:r>
        <w:rPr>
          <w:rFonts w:hint="eastAsia" w:ascii="Times New Roman" w:hAnsi="Times New Roman" w:cs="Times New Roman"/>
          <w:iCs/>
          <w:sz w:val="24"/>
        </w:rPr>
        <w:t>our</w:t>
      </w:r>
      <w:r>
        <w:rPr>
          <w:rFonts w:ascii="Times New Roman" w:hAnsi="Times New Roman" w:cs="Times New Roman"/>
          <w:iCs/>
          <w:sz w:val="24"/>
        </w:rPr>
        <w:t xml:space="preserve"> and incubated overnight at 4 °C with primary antibodies. The primary antibodies used were </w:t>
      </w:r>
      <w:bookmarkStart w:id="89" w:name="_Hlk125043469"/>
      <w:r>
        <w:rPr>
          <w:rFonts w:ascii="Times New Roman" w:hAnsi="Times New Roman" w:cs="Times New Roman"/>
          <w:iCs/>
          <w:sz w:val="24"/>
        </w:rPr>
        <w:t>anti-</w:t>
      </w:r>
      <w:r>
        <w:rPr>
          <w:rFonts w:ascii="Times New Roman" w:hAnsi="Times New Roman" w:cs="Times New Roman"/>
          <w:i/>
          <w:iCs/>
          <w:sz w:val="24"/>
        </w:rPr>
        <w:t>Ki67</w:t>
      </w:r>
      <w:r>
        <w:rPr>
          <w:rFonts w:ascii="Times New Roman" w:hAnsi="Times New Roman" w:cs="Times New Roman"/>
          <w:iCs/>
          <w:sz w:val="24"/>
        </w:rPr>
        <w:t xml:space="preserve"> </w:t>
      </w:r>
      <w:bookmarkEnd w:id="89"/>
      <w:r>
        <w:rPr>
          <w:rFonts w:ascii="Times New Roman" w:hAnsi="Times New Roman" w:cs="Times New Roman"/>
          <w:iCs/>
          <w:sz w:val="24"/>
        </w:rPr>
        <w:t>and anti-</w:t>
      </w:r>
      <w:bookmarkStart w:id="90" w:name="_Hlk125043481"/>
      <w:r>
        <w:rPr>
          <w:rFonts w:ascii="Times New Roman" w:hAnsi="Times New Roman" w:cs="Times New Roman"/>
          <w:i/>
          <w:iCs/>
          <w:sz w:val="24"/>
        </w:rPr>
        <w:t>PCNA</w:t>
      </w:r>
      <w:bookmarkEnd w:id="90"/>
      <w:r>
        <w:rPr>
          <w:rFonts w:ascii="Times New Roman" w:hAnsi="Times New Roman" w:cs="Times New Roman"/>
          <w:iCs/>
          <w:sz w:val="24"/>
        </w:rPr>
        <w:t xml:space="preserve">. Biotinylated goat anti-rabbit IgG was used as a secondary antibody and incubated at room temperature for 30 minutes. Then horseradish peroxidase-labeled streptavidin was added to the sections for 15 minutes at room temperature. DAB substrate was used to perform the chromogenic reaction. </w:t>
      </w:r>
    </w:p>
    <w:p w14:paraId="2805F795">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bookmarkStart w:id="91" w:name="_Hlk96772148"/>
      <w:r>
        <w:rPr>
          <w:rFonts w:ascii="Times New Roman" w:hAnsi="Times New Roman" w:cs="Times New Roman"/>
          <w:b/>
          <w:bCs/>
          <w:iCs/>
          <w:sz w:val="24"/>
        </w:rPr>
        <w:t>Statistical analysis:</w:t>
      </w:r>
    </w:p>
    <w:p w14:paraId="2F9716C1">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r>
        <w:rPr>
          <w:rFonts w:ascii="Times New Roman" w:hAnsi="Times New Roman" w:cs="Times New Roman"/>
          <w:iCs/>
          <w:sz w:val="24"/>
        </w:rPr>
        <w:t>All statistical computing was performed by GraphPad Prism 5.0. Results are expressed as mean ± SD. Comparisons were made using one-way ANOVA or repeated measure design ANOVA.</w:t>
      </w:r>
      <w:r>
        <w:rPr>
          <w:rFonts w:hint="eastAsia" w:ascii="Times New Roman" w:hAnsi="Times New Roman" w:cs="Times New Roman"/>
          <w:iCs/>
          <w:sz w:val="24"/>
        </w:rPr>
        <w:t xml:space="preserve"> </w:t>
      </w:r>
      <w:r>
        <w:rPr>
          <w:rFonts w:ascii="Times New Roman" w:hAnsi="Times New Roman" w:cs="Times New Roman"/>
          <w:iCs/>
          <w:sz w:val="24"/>
        </w:rPr>
        <w:t xml:space="preserve">The discrepancies between the two groups were accomplished by the student's </w:t>
      </w:r>
      <w:r>
        <w:rPr>
          <w:rFonts w:ascii="Times New Roman" w:hAnsi="Times New Roman" w:cs="Times New Roman"/>
          <w:i/>
          <w:iCs/>
          <w:sz w:val="24"/>
        </w:rPr>
        <w:t>t</w:t>
      </w:r>
      <w:r>
        <w:rPr>
          <w:rFonts w:ascii="Times New Roman" w:hAnsi="Times New Roman" w:cs="Times New Roman"/>
          <w:iCs/>
          <w:sz w:val="24"/>
        </w:rPr>
        <w:t>-test. Statistical significance was established at *</w:t>
      </w:r>
      <w:r>
        <w:rPr>
          <w:rFonts w:ascii="Times New Roman" w:hAnsi="Times New Roman" w:cs="Times New Roman"/>
          <w:i/>
          <w:iCs/>
          <w:sz w:val="24"/>
        </w:rPr>
        <w:t>P</w:t>
      </w:r>
      <w:r>
        <w:rPr>
          <w:rFonts w:ascii="Times New Roman" w:hAnsi="Times New Roman" w:cs="Times New Roman"/>
          <w:iCs/>
          <w:sz w:val="24"/>
        </w:rPr>
        <w:t xml:space="preserve"> &lt; 0.05, **</w:t>
      </w:r>
      <w:r>
        <w:rPr>
          <w:rFonts w:ascii="Times New Roman" w:hAnsi="Times New Roman" w:cs="Times New Roman"/>
          <w:i/>
          <w:iCs/>
          <w:sz w:val="24"/>
        </w:rPr>
        <w:t>P</w:t>
      </w:r>
      <w:r>
        <w:rPr>
          <w:rFonts w:ascii="Times New Roman" w:hAnsi="Times New Roman" w:cs="Times New Roman"/>
          <w:iCs/>
          <w:sz w:val="24"/>
        </w:rPr>
        <w:t xml:space="preserve"> &lt; 0.01, compared to the corresponding control group.</w:t>
      </w:r>
      <w:bookmarkEnd w:id="91"/>
    </w:p>
    <w:p w14:paraId="2E8BE178">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iCs/>
          <w:sz w:val="24"/>
        </w:rPr>
      </w:pPr>
    </w:p>
    <w:p w14:paraId="03BBEAF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b/>
          <w:bCs/>
          <w:iCs/>
          <w:sz w:val="24"/>
        </w:rPr>
      </w:pPr>
      <w:r>
        <w:rPr>
          <w:rFonts w:hint="eastAsia" w:ascii="Times New Roman" w:hAnsi="Times New Roman" w:cs="Times New Roman"/>
          <w:b/>
          <w:bCs/>
          <w:iCs/>
          <w:sz w:val="24"/>
        </w:rPr>
        <w:t>References</w:t>
      </w:r>
    </w:p>
    <w:p w14:paraId="0BCDF528">
      <w:pPr>
        <w:pStyle w:val="20"/>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rPr>
      </w:pPr>
      <w:bookmarkStart w:id="92" w:name="OLE_LINK18"/>
      <w:r>
        <w:rPr>
          <w:rFonts w:ascii="Times New Roman" w:hAnsi="Times New Roman" w:cs="Times New Roman"/>
        </w:rPr>
        <w:t>[1]</w:t>
      </w:r>
      <w:bookmarkStart w:id="93" w:name="OLE_LINK19"/>
      <w:r>
        <w:rPr>
          <w:rFonts w:ascii="Times New Roman" w:hAnsi="Times New Roman" w:cs="Times New Roman"/>
        </w:rPr>
        <w:tab/>
      </w:r>
      <w:bookmarkEnd w:id="92"/>
      <w:bookmarkEnd w:id="93"/>
      <w:r>
        <w:rPr>
          <w:rFonts w:hint="eastAsia" w:ascii="Times New Roman" w:hAnsi="Times New Roman" w:cs="Times New Roman"/>
        </w:rPr>
        <w:t>Jiang W, Zhang Z, Wang Q, Dou J, Zhao Y, Ma Y, Liu H, Xu H, Wang Y. Tumor Reoxygenation and Blood Perfusion Enhanced Photodynamic Therapy using Ultrathin Graphdiyne Oxide Nanosheets. Nano Lett. 2019 Jun 12;19(6):4060-4067.</w:t>
      </w:r>
    </w:p>
    <w:p w14:paraId="55EC2AE9">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cs="Times New Roman" w:eastAsiaTheme="minorEastAsia"/>
          <w:color w:val="FF0000"/>
          <w:kern w:val="2"/>
          <w:sz w:val="20"/>
          <w:szCs w:val="24"/>
          <w:lang w:val="en-US" w:eastAsia="zh-CN" w:bidi="ar-SA"/>
        </w:rPr>
      </w:pPr>
      <w:r>
        <w:rPr>
          <w:rFonts w:ascii="Times New Roman" w:hAnsi="Times New Roman" w:cs="Times New Roman"/>
          <w:color w:val="FF0000"/>
        </w:rPr>
        <w:t>[</w:t>
      </w:r>
      <w:r>
        <w:rPr>
          <w:rFonts w:hint="eastAsia" w:ascii="Times New Roman" w:hAnsi="Times New Roman" w:cs="Times New Roman"/>
          <w:color w:val="FF0000"/>
          <w:lang w:val="en-US" w:eastAsia="zh-CN"/>
        </w:rPr>
        <w:t>2</w:t>
      </w:r>
      <w:r>
        <w:rPr>
          <w:rFonts w:ascii="Times New Roman" w:hAnsi="Times New Roman" w:cs="Times New Roman"/>
          <w:color w:val="FF0000"/>
        </w:rPr>
        <w:t>]</w:t>
      </w:r>
      <w:r>
        <w:rPr>
          <w:rFonts w:ascii="Times New Roman" w:hAnsi="Times New Roman" w:cs="Times New Roman"/>
          <w:color w:val="FF0000"/>
        </w:rPr>
        <w:tab/>
      </w:r>
      <w:bookmarkStart w:id="94" w:name="OLE_LINK21"/>
      <w:r>
        <w:rPr>
          <w:rFonts w:hint="eastAsia" w:ascii="Times New Roman" w:hAnsi="Times New Roman" w:cs="Times New Roman"/>
          <w:color w:val="FF0000"/>
        </w:rPr>
        <w:t>Xue CC, Li MH, Zhao Y, Zhou J, Hu Y, Cai KY, Zhao Y, Yu SH, Luo Z.</w:t>
      </w:r>
      <w:bookmarkEnd w:id="94"/>
      <w:r>
        <w:rPr>
          <w:rFonts w:hint="eastAsia" w:ascii="Times New Roman" w:hAnsi="Times New Roman" w:cs="Times New Roman"/>
          <w:color w:val="FF0000"/>
        </w:rPr>
        <w:t xml:space="preserve"> Tumor microenvironment-activatable Fe-doxorubicin preloaded amorphous CaCO</w:t>
      </w:r>
      <w:r>
        <w:rPr>
          <w:rFonts w:hint="eastAsia" w:ascii="Times New Roman" w:hAnsi="Times New Roman" w:cs="Times New Roman"/>
          <w:color w:val="FF0000"/>
          <w:vertAlign w:val="subscript"/>
        </w:rPr>
        <w:t>3</w:t>
      </w:r>
      <w:r>
        <w:rPr>
          <w:rFonts w:hint="eastAsia" w:ascii="Times New Roman" w:hAnsi="Times New Roman" w:cs="Times New Roman"/>
          <w:color w:val="FF0000"/>
        </w:rPr>
        <w:t xml:space="preserve"> nanoformulation triggers ferroptosis in target tumor cells. Sci Adv. 2020 Apr 29;6(18):eaax1346.</w:t>
      </w:r>
    </w:p>
    <w:p w14:paraId="0FBFF034">
      <w:pPr>
        <w:keepNext w:val="0"/>
        <w:keepLines w:val="0"/>
        <w:pageBreakBefore w:val="0"/>
        <w:kinsoku/>
        <w:wordWrap/>
        <w:overflowPunct/>
        <w:topLinePunct w:val="0"/>
        <w:autoSpaceDE/>
        <w:autoSpaceDN/>
        <w:bidi w:val="0"/>
        <w:snapToGrid w:val="0"/>
        <w:spacing w:line="480" w:lineRule="auto"/>
        <w:textAlignment w:val="auto"/>
        <w:rPr>
          <w:rFonts w:hint="eastAsia" w:ascii="Times New Roman" w:hAnsi="Times New Roman" w:eastAsia="宋体" w:cs="Times New Roman"/>
          <w:sz w:val="20"/>
          <w:szCs w:val="22"/>
        </w:rPr>
      </w:pPr>
      <w:r>
        <w:rPr>
          <w:rFonts w:ascii="Times New Roman" w:hAnsi="Times New Roman" w:cs="Times New Roman"/>
          <w:color w:val="FF0000"/>
        </w:rPr>
        <w:t>[</w:t>
      </w:r>
      <w:r>
        <w:rPr>
          <w:rFonts w:hint="eastAsia" w:ascii="Times New Roman" w:hAnsi="Times New Roman" w:cs="Times New Roman"/>
          <w:color w:val="FF0000"/>
          <w:lang w:val="en-US" w:eastAsia="zh-CN"/>
        </w:rPr>
        <w:t>3</w:t>
      </w:r>
      <w:r>
        <w:rPr>
          <w:rFonts w:ascii="Times New Roman" w:hAnsi="Times New Roman" w:cs="Times New Roman"/>
          <w:color w:val="FF0000"/>
        </w:rPr>
        <w:t>]</w:t>
      </w:r>
      <w:r>
        <w:rPr>
          <w:rFonts w:ascii="Times New Roman" w:hAnsi="Times New Roman" w:cs="Times New Roman"/>
        </w:rPr>
        <w:tab/>
      </w:r>
      <w:r>
        <w:rPr>
          <w:rFonts w:hint="eastAsia" w:ascii="Times New Roman" w:hAnsi="Times New Roman" w:eastAsia="宋体" w:cs="Times New Roman"/>
          <w:sz w:val="20"/>
          <w:szCs w:val="22"/>
        </w:rPr>
        <w:t>Zhou C, Wang L, Hu W, Tang L, Zhang P, Gao Y, Du J, Li Y, Wang Y. CDC25C is a prognostic biomarker and correlated with mitochondrial homeostasis in pancreatic adenocarcinoma. Bioengineered. 2022 May;13(5):13089-13107.</w:t>
      </w:r>
    </w:p>
    <w:p w14:paraId="0FA81F20">
      <w:pPr>
        <w:keepNext w:val="0"/>
        <w:keepLines w:val="0"/>
        <w:pageBreakBefore w:val="0"/>
        <w:kinsoku/>
        <w:wordWrap/>
        <w:overflowPunct/>
        <w:topLinePunct w:val="0"/>
        <w:autoSpaceDE/>
        <w:autoSpaceDN/>
        <w:bidi w:val="0"/>
        <w:snapToGrid w:val="0"/>
        <w:spacing w:line="480" w:lineRule="auto"/>
        <w:textAlignment w:val="auto"/>
        <w:rPr>
          <w:rFonts w:ascii="Times New Roman" w:hAnsi="Times New Roman" w:eastAsia="宋体" w:cs="Times New Roman"/>
          <w:sz w:val="20"/>
          <w:szCs w:val="22"/>
        </w:rPr>
      </w:pPr>
      <w:r>
        <w:rPr>
          <w:rFonts w:ascii="Times New Roman" w:hAnsi="Times New Roman" w:cs="Times New Roman"/>
          <w:color w:val="FF0000"/>
        </w:rPr>
        <w:t>[</w:t>
      </w:r>
      <w:r>
        <w:rPr>
          <w:rFonts w:hint="eastAsia" w:ascii="Times New Roman" w:hAnsi="Times New Roman" w:cs="Times New Roman"/>
          <w:color w:val="FF0000"/>
          <w:lang w:val="en-US" w:eastAsia="zh-CN"/>
        </w:rPr>
        <w:t>4</w:t>
      </w:r>
      <w:r>
        <w:rPr>
          <w:rFonts w:ascii="Times New Roman" w:hAnsi="Times New Roman" w:cs="Times New Roman"/>
          <w:color w:val="FF0000"/>
        </w:rPr>
        <w:t>]</w:t>
      </w:r>
      <w:r>
        <w:rPr>
          <w:rFonts w:ascii="Times New Roman" w:hAnsi="Times New Roman" w:cs="Times New Roman"/>
        </w:rPr>
        <w:tab/>
      </w:r>
      <w:r>
        <w:rPr>
          <w:rFonts w:hint="eastAsia" w:ascii="Times New Roman" w:hAnsi="Times New Roman" w:eastAsia="宋体" w:cs="Times New Roman"/>
          <w:sz w:val="20"/>
          <w:szCs w:val="22"/>
        </w:rPr>
        <w:t>Yang J, Zhou Y, Li Y, Hu W, Yuan C, Chen S, Ye G, Chen Y, Wu Y, Liu J, Wang Y, Du J, Tong X. Functional deficiency of succinate dehydrogenase promotes tumorigenesis and development of clear cell renal cell carcinoma through weakening of ferroptosis. Bioengineered. 2022 Apr;13(4):11187-11207.</w:t>
      </w:r>
    </w:p>
    <w:sectPr>
      <w:footnotePr>
        <w:numFmt w:val="decimal"/>
      </w:footnote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__Grammarly_42____i" w:val="H4sIAAAAAAAEAKtWckksSQxILCpxzi/NK1GyMqwFAAEhoTITAAAA"/>
    <w:docVar w:name="__Grammarly_42___1" w:val="H4sIAAAAAAAEAKtWcslP9kxRslIyNDY2sjAyNzU0NzeyMLC0MDdT0lEKTi0uzszPAymwqAUAnayu+CwAAAA="/>
    <w:docVar w:name="commondata" w:val="eyJoZGlkIjoiZDViMzUwZmZkZjQxOGU1NTljZThkZjBmMzhhYzY5NmIifQ=="/>
    <w:docVar w:name="EN.InstantFormat" w:val="&lt;ENInstantFormat&gt;&lt;Enabled&gt;1&lt;/Enabled&gt;&lt;ScanUnformatted&gt;1&lt;/ScanUnformatted&gt;&lt;ScanChanges&gt;1&lt;/ScanChanges&gt;&lt;Suspended&gt;1&lt;/Suspended&gt;&lt;/ENInstantFormat&gt;"/>
    <w:docVar w:name="EN.Layout" w:val="&lt;ENLayout&gt;&lt;Style&gt;Chem Engineer 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vxadd9b0v508etpz7x5vdn2rdrrfxsarz0&quot;&gt;补充材料参考文献&lt;record-ids&gt;&lt;item&gt;80&lt;/item&gt;&lt;item&gt;81&lt;/item&gt;&lt;item&gt;82&lt;/item&gt;&lt;item&gt;84&lt;/item&gt;&lt;item&gt;131&lt;/item&gt;&lt;/record-ids&gt;&lt;/item&gt;&lt;/Libraries&gt;"/>
  </w:docVars>
  <w:rsids>
    <w:rsidRoot w:val="00DB4FCE"/>
    <w:rsid w:val="0001168C"/>
    <w:rsid w:val="00013C51"/>
    <w:rsid w:val="000227C1"/>
    <w:rsid w:val="0004008B"/>
    <w:rsid w:val="00047C4C"/>
    <w:rsid w:val="0005311A"/>
    <w:rsid w:val="00066BC9"/>
    <w:rsid w:val="00076191"/>
    <w:rsid w:val="00080219"/>
    <w:rsid w:val="00084853"/>
    <w:rsid w:val="000C0A74"/>
    <w:rsid w:val="000C7D3A"/>
    <w:rsid w:val="000D2902"/>
    <w:rsid w:val="000D3F87"/>
    <w:rsid w:val="000D64FD"/>
    <w:rsid w:val="000D7F83"/>
    <w:rsid w:val="000F273C"/>
    <w:rsid w:val="000F7C67"/>
    <w:rsid w:val="0010085A"/>
    <w:rsid w:val="001020BA"/>
    <w:rsid w:val="00102661"/>
    <w:rsid w:val="00106A94"/>
    <w:rsid w:val="0011021B"/>
    <w:rsid w:val="00123663"/>
    <w:rsid w:val="00125042"/>
    <w:rsid w:val="001369B9"/>
    <w:rsid w:val="0014697C"/>
    <w:rsid w:val="00150CB8"/>
    <w:rsid w:val="00151D77"/>
    <w:rsid w:val="0015200B"/>
    <w:rsid w:val="001535EE"/>
    <w:rsid w:val="00183966"/>
    <w:rsid w:val="001A39F1"/>
    <w:rsid w:val="001C320B"/>
    <w:rsid w:val="001E5877"/>
    <w:rsid w:val="0020371E"/>
    <w:rsid w:val="002065AC"/>
    <w:rsid w:val="00207D0E"/>
    <w:rsid w:val="0021083C"/>
    <w:rsid w:val="00216497"/>
    <w:rsid w:val="00220836"/>
    <w:rsid w:val="0023018F"/>
    <w:rsid w:val="00231FE1"/>
    <w:rsid w:val="002443EE"/>
    <w:rsid w:val="0024555B"/>
    <w:rsid w:val="00247E4E"/>
    <w:rsid w:val="00273760"/>
    <w:rsid w:val="002740FD"/>
    <w:rsid w:val="0028337E"/>
    <w:rsid w:val="0028731B"/>
    <w:rsid w:val="002A03C0"/>
    <w:rsid w:val="002A2821"/>
    <w:rsid w:val="002B49CA"/>
    <w:rsid w:val="002D06E2"/>
    <w:rsid w:val="002D5003"/>
    <w:rsid w:val="002D5AAB"/>
    <w:rsid w:val="003153FA"/>
    <w:rsid w:val="00343208"/>
    <w:rsid w:val="00343FC2"/>
    <w:rsid w:val="00347D83"/>
    <w:rsid w:val="00352872"/>
    <w:rsid w:val="003534BF"/>
    <w:rsid w:val="003540A7"/>
    <w:rsid w:val="00367181"/>
    <w:rsid w:val="00382487"/>
    <w:rsid w:val="00386C0D"/>
    <w:rsid w:val="003911EF"/>
    <w:rsid w:val="00396D16"/>
    <w:rsid w:val="003A6D14"/>
    <w:rsid w:val="003D741F"/>
    <w:rsid w:val="00407C22"/>
    <w:rsid w:val="004122E7"/>
    <w:rsid w:val="0041702F"/>
    <w:rsid w:val="0042262D"/>
    <w:rsid w:val="004243C3"/>
    <w:rsid w:val="004278B7"/>
    <w:rsid w:val="004321D7"/>
    <w:rsid w:val="00432749"/>
    <w:rsid w:val="00435DEE"/>
    <w:rsid w:val="00451657"/>
    <w:rsid w:val="00454AB2"/>
    <w:rsid w:val="0047427F"/>
    <w:rsid w:val="0049352A"/>
    <w:rsid w:val="00496B1D"/>
    <w:rsid w:val="004977B4"/>
    <w:rsid w:val="004A0709"/>
    <w:rsid w:val="004A2721"/>
    <w:rsid w:val="004A49EB"/>
    <w:rsid w:val="004B22EA"/>
    <w:rsid w:val="004B6CDF"/>
    <w:rsid w:val="004B7CF8"/>
    <w:rsid w:val="004C0FAE"/>
    <w:rsid w:val="004C6832"/>
    <w:rsid w:val="004E07A4"/>
    <w:rsid w:val="00502FD3"/>
    <w:rsid w:val="0051066C"/>
    <w:rsid w:val="00521CE7"/>
    <w:rsid w:val="005224D1"/>
    <w:rsid w:val="00526D3B"/>
    <w:rsid w:val="005309A1"/>
    <w:rsid w:val="00530E81"/>
    <w:rsid w:val="00535A61"/>
    <w:rsid w:val="0054699C"/>
    <w:rsid w:val="00567258"/>
    <w:rsid w:val="0057046A"/>
    <w:rsid w:val="00574313"/>
    <w:rsid w:val="00597502"/>
    <w:rsid w:val="005A058A"/>
    <w:rsid w:val="005A48BC"/>
    <w:rsid w:val="005B1673"/>
    <w:rsid w:val="005B6876"/>
    <w:rsid w:val="005C1403"/>
    <w:rsid w:val="005C6987"/>
    <w:rsid w:val="005D44E1"/>
    <w:rsid w:val="005D5741"/>
    <w:rsid w:val="005D6700"/>
    <w:rsid w:val="005D70E3"/>
    <w:rsid w:val="005D7E2D"/>
    <w:rsid w:val="005E14EC"/>
    <w:rsid w:val="005F68C6"/>
    <w:rsid w:val="00605CC2"/>
    <w:rsid w:val="00606F34"/>
    <w:rsid w:val="00607083"/>
    <w:rsid w:val="00610AE3"/>
    <w:rsid w:val="00613EE2"/>
    <w:rsid w:val="006148F0"/>
    <w:rsid w:val="00627580"/>
    <w:rsid w:val="0063556C"/>
    <w:rsid w:val="00637FEE"/>
    <w:rsid w:val="00640F17"/>
    <w:rsid w:val="00643819"/>
    <w:rsid w:val="00647744"/>
    <w:rsid w:val="006617E1"/>
    <w:rsid w:val="00663740"/>
    <w:rsid w:val="00664128"/>
    <w:rsid w:val="00672BF7"/>
    <w:rsid w:val="006751C7"/>
    <w:rsid w:val="0067692E"/>
    <w:rsid w:val="00687EF8"/>
    <w:rsid w:val="006A03A6"/>
    <w:rsid w:val="006A1A1D"/>
    <w:rsid w:val="006A4223"/>
    <w:rsid w:val="006A4A2A"/>
    <w:rsid w:val="006A73C4"/>
    <w:rsid w:val="006B5E2C"/>
    <w:rsid w:val="006D2882"/>
    <w:rsid w:val="006D6755"/>
    <w:rsid w:val="006E03E6"/>
    <w:rsid w:val="006E0FE7"/>
    <w:rsid w:val="006E3C98"/>
    <w:rsid w:val="006F4B25"/>
    <w:rsid w:val="006F4FD3"/>
    <w:rsid w:val="006F609B"/>
    <w:rsid w:val="006F761B"/>
    <w:rsid w:val="00706329"/>
    <w:rsid w:val="007146C9"/>
    <w:rsid w:val="00717F09"/>
    <w:rsid w:val="007208CF"/>
    <w:rsid w:val="0072274F"/>
    <w:rsid w:val="007260CD"/>
    <w:rsid w:val="007271E0"/>
    <w:rsid w:val="007376A1"/>
    <w:rsid w:val="007438B8"/>
    <w:rsid w:val="00746DFC"/>
    <w:rsid w:val="00747581"/>
    <w:rsid w:val="00753EFF"/>
    <w:rsid w:val="00757391"/>
    <w:rsid w:val="00772A30"/>
    <w:rsid w:val="007820A8"/>
    <w:rsid w:val="007879AC"/>
    <w:rsid w:val="00791BA8"/>
    <w:rsid w:val="007963A0"/>
    <w:rsid w:val="007A2781"/>
    <w:rsid w:val="007C124B"/>
    <w:rsid w:val="007C2B20"/>
    <w:rsid w:val="007D1789"/>
    <w:rsid w:val="007D27F7"/>
    <w:rsid w:val="007D45FB"/>
    <w:rsid w:val="007D48FC"/>
    <w:rsid w:val="007E247E"/>
    <w:rsid w:val="007E3C9A"/>
    <w:rsid w:val="007E531B"/>
    <w:rsid w:val="007E7542"/>
    <w:rsid w:val="007F0ACA"/>
    <w:rsid w:val="007F7E57"/>
    <w:rsid w:val="008041DB"/>
    <w:rsid w:val="00807950"/>
    <w:rsid w:val="008104EE"/>
    <w:rsid w:val="00816408"/>
    <w:rsid w:val="00845F37"/>
    <w:rsid w:val="008504F5"/>
    <w:rsid w:val="0088775B"/>
    <w:rsid w:val="0089078C"/>
    <w:rsid w:val="00896796"/>
    <w:rsid w:val="008B7607"/>
    <w:rsid w:val="008C62C0"/>
    <w:rsid w:val="008C7610"/>
    <w:rsid w:val="008C777A"/>
    <w:rsid w:val="008D0093"/>
    <w:rsid w:val="008E0C54"/>
    <w:rsid w:val="00900551"/>
    <w:rsid w:val="00901C8F"/>
    <w:rsid w:val="00904D53"/>
    <w:rsid w:val="009248E7"/>
    <w:rsid w:val="00931E99"/>
    <w:rsid w:val="00936571"/>
    <w:rsid w:val="00944D39"/>
    <w:rsid w:val="00952383"/>
    <w:rsid w:val="00953450"/>
    <w:rsid w:val="00955957"/>
    <w:rsid w:val="009640B6"/>
    <w:rsid w:val="009655C9"/>
    <w:rsid w:val="00966B03"/>
    <w:rsid w:val="00971E53"/>
    <w:rsid w:val="00974CC0"/>
    <w:rsid w:val="009765F1"/>
    <w:rsid w:val="0099499A"/>
    <w:rsid w:val="009B597E"/>
    <w:rsid w:val="009D6142"/>
    <w:rsid w:val="009E3C18"/>
    <w:rsid w:val="009E5DFF"/>
    <w:rsid w:val="00A12B15"/>
    <w:rsid w:val="00A136E7"/>
    <w:rsid w:val="00A31B57"/>
    <w:rsid w:val="00A31F94"/>
    <w:rsid w:val="00A3420C"/>
    <w:rsid w:val="00A35BEE"/>
    <w:rsid w:val="00A471F7"/>
    <w:rsid w:val="00A60640"/>
    <w:rsid w:val="00A61057"/>
    <w:rsid w:val="00A651DA"/>
    <w:rsid w:val="00A663FE"/>
    <w:rsid w:val="00A729CB"/>
    <w:rsid w:val="00A91CE7"/>
    <w:rsid w:val="00A93F43"/>
    <w:rsid w:val="00A95663"/>
    <w:rsid w:val="00AA357E"/>
    <w:rsid w:val="00AA4C31"/>
    <w:rsid w:val="00AA6A75"/>
    <w:rsid w:val="00AB27F4"/>
    <w:rsid w:val="00AB4C55"/>
    <w:rsid w:val="00AD5B5D"/>
    <w:rsid w:val="00AD6FE4"/>
    <w:rsid w:val="00AE3184"/>
    <w:rsid w:val="00AF2320"/>
    <w:rsid w:val="00AF408B"/>
    <w:rsid w:val="00AF67F4"/>
    <w:rsid w:val="00AF6BE2"/>
    <w:rsid w:val="00B01D8A"/>
    <w:rsid w:val="00B074C7"/>
    <w:rsid w:val="00B13724"/>
    <w:rsid w:val="00B22AE1"/>
    <w:rsid w:val="00B25562"/>
    <w:rsid w:val="00B302B8"/>
    <w:rsid w:val="00B40138"/>
    <w:rsid w:val="00B409F8"/>
    <w:rsid w:val="00B42C13"/>
    <w:rsid w:val="00B430AA"/>
    <w:rsid w:val="00B436B2"/>
    <w:rsid w:val="00B458F9"/>
    <w:rsid w:val="00B625F6"/>
    <w:rsid w:val="00B67217"/>
    <w:rsid w:val="00B67863"/>
    <w:rsid w:val="00B706BC"/>
    <w:rsid w:val="00B72421"/>
    <w:rsid w:val="00B85B28"/>
    <w:rsid w:val="00B86875"/>
    <w:rsid w:val="00B9590F"/>
    <w:rsid w:val="00B960ED"/>
    <w:rsid w:val="00BC41FD"/>
    <w:rsid w:val="00BC42BE"/>
    <w:rsid w:val="00BC5170"/>
    <w:rsid w:val="00BD2874"/>
    <w:rsid w:val="00BD28FA"/>
    <w:rsid w:val="00BD3063"/>
    <w:rsid w:val="00BD4C84"/>
    <w:rsid w:val="00BD525A"/>
    <w:rsid w:val="00BD600F"/>
    <w:rsid w:val="00BE1333"/>
    <w:rsid w:val="00BE3167"/>
    <w:rsid w:val="00BE6F50"/>
    <w:rsid w:val="00BF1747"/>
    <w:rsid w:val="00C2184D"/>
    <w:rsid w:val="00C26EAD"/>
    <w:rsid w:val="00C30FEB"/>
    <w:rsid w:val="00C34CC7"/>
    <w:rsid w:val="00C3643C"/>
    <w:rsid w:val="00C41263"/>
    <w:rsid w:val="00C6097D"/>
    <w:rsid w:val="00C74BB5"/>
    <w:rsid w:val="00C74CD7"/>
    <w:rsid w:val="00C76A28"/>
    <w:rsid w:val="00C84434"/>
    <w:rsid w:val="00C87251"/>
    <w:rsid w:val="00C94A29"/>
    <w:rsid w:val="00CB7E87"/>
    <w:rsid w:val="00CD2CE2"/>
    <w:rsid w:val="00CE374C"/>
    <w:rsid w:val="00CE7B14"/>
    <w:rsid w:val="00CE7FFE"/>
    <w:rsid w:val="00CF59BF"/>
    <w:rsid w:val="00D00DD6"/>
    <w:rsid w:val="00D02A79"/>
    <w:rsid w:val="00D04456"/>
    <w:rsid w:val="00D0742D"/>
    <w:rsid w:val="00D2049C"/>
    <w:rsid w:val="00D2081E"/>
    <w:rsid w:val="00D21036"/>
    <w:rsid w:val="00D35741"/>
    <w:rsid w:val="00D53E60"/>
    <w:rsid w:val="00D63C15"/>
    <w:rsid w:val="00D663D5"/>
    <w:rsid w:val="00D82167"/>
    <w:rsid w:val="00D859DB"/>
    <w:rsid w:val="00D96BEB"/>
    <w:rsid w:val="00D97677"/>
    <w:rsid w:val="00DA0127"/>
    <w:rsid w:val="00DA1843"/>
    <w:rsid w:val="00DA2F54"/>
    <w:rsid w:val="00DA7328"/>
    <w:rsid w:val="00DB1E05"/>
    <w:rsid w:val="00DB3C11"/>
    <w:rsid w:val="00DB4FCE"/>
    <w:rsid w:val="00DC2724"/>
    <w:rsid w:val="00DC6A66"/>
    <w:rsid w:val="00DC6E31"/>
    <w:rsid w:val="00DD0B15"/>
    <w:rsid w:val="00DD22B5"/>
    <w:rsid w:val="00DE7B53"/>
    <w:rsid w:val="00DF15C7"/>
    <w:rsid w:val="00DF37E9"/>
    <w:rsid w:val="00DF7C4E"/>
    <w:rsid w:val="00E067EA"/>
    <w:rsid w:val="00E06CE7"/>
    <w:rsid w:val="00E07E02"/>
    <w:rsid w:val="00E13261"/>
    <w:rsid w:val="00E23E23"/>
    <w:rsid w:val="00E42C8F"/>
    <w:rsid w:val="00E4754B"/>
    <w:rsid w:val="00E53D45"/>
    <w:rsid w:val="00E54669"/>
    <w:rsid w:val="00E64E7E"/>
    <w:rsid w:val="00E66879"/>
    <w:rsid w:val="00E77A4F"/>
    <w:rsid w:val="00E8428E"/>
    <w:rsid w:val="00E96147"/>
    <w:rsid w:val="00EA4BDE"/>
    <w:rsid w:val="00EB0EBE"/>
    <w:rsid w:val="00EB289A"/>
    <w:rsid w:val="00EC67B7"/>
    <w:rsid w:val="00EC70D7"/>
    <w:rsid w:val="00ED29F8"/>
    <w:rsid w:val="00ED38D7"/>
    <w:rsid w:val="00EE0713"/>
    <w:rsid w:val="00EE6E71"/>
    <w:rsid w:val="00EF3D20"/>
    <w:rsid w:val="00EF3D99"/>
    <w:rsid w:val="00F11981"/>
    <w:rsid w:val="00F11EBB"/>
    <w:rsid w:val="00F13684"/>
    <w:rsid w:val="00F14931"/>
    <w:rsid w:val="00F2533B"/>
    <w:rsid w:val="00F302AA"/>
    <w:rsid w:val="00F32606"/>
    <w:rsid w:val="00F43603"/>
    <w:rsid w:val="00F52E34"/>
    <w:rsid w:val="00F53AFF"/>
    <w:rsid w:val="00F55054"/>
    <w:rsid w:val="00F57404"/>
    <w:rsid w:val="00F62900"/>
    <w:rsid w:val="00F67C01"/>
    <w:rsid w:val="00F77182"/>
    <w:rsid w:val="00F7754E"/>
    <w:rsid w:val="00F905F2"/>
    <w:rsid w:val="00FD079B"/>
    <w:rsid w:val="00FD0CDA"/>
    <w:rsid w:val="00FD171A"/>
    <w:rsid w:val="00FD3E92"/>
    <w:rsid w:val="00FD56C4"/>
    <w:rsid w:val="00FF57B6"/>
    <w:rsid w:val="00FF6DF3"/>
    <w:rsid w:val="03FA1B43"/>
    <w:rsid w:val="060265B7"/>
    <w:rsid w:val="078649EE"/>
    <w:rsid w:val="0A1404FC"/>
    <w:rsid w:val="0ADA6965"/>
    <w:rsid w:val="0D225890"/>
    <w:rsid w:val="170A2DD5"/>
    <w:rsid w:val="1DC35E5E"/>
    <w:rsid w:val="22A301F1"/>
    <w:rsid w:val="241A722E"/>
    <w:rsid w:val="24237E23"/>
    <w:rsid w:val="259F2A66"/>
    <w:rsid w:val="2FB35D6D"/>
    <w:rsid w:val="30520DE7"/>
    <w:rsid w:val="31815B87"/>
    <w:rsid w:val="34AC6073"/>
    <w:rsid w:val="36CD3FAC"/>
    <w:rsid w:val="3968750B"/>
    <w:rsid w:val="3B6024D7"/>
    <w:rsid w:val="3B883B08"/>
    <w:rsid w:val="42EB4FBD"/>
    <w:rsid w:val="4C666373"/>
    <w:rsid w:val="4E4E37F6"/>
    <w:rsid w:val="4ED4124B"/>
    <w:rsid w:val="51DE0401"/>
    <w:rsid w:val="539A195D"/>
    <w:rsid w:val="54642C09"/>
    <w:rsid w:val="5A0F05CB"/>
    <w:rsid w:val="623D11C0"/>
    <w:rsid w:val="62867377"/>
    <w:rsid w:val="65295E3A"/>
    <w:rsid w:val="664773FA"/>
    <w:rsid w:val="68C30CB8"/>
    <w:rsid w:val="6A30031A"/>
    <w:rsid w:val="73C25EA3"/>
    <w:rsid w:val="778D3C35"/>
    <w:rsid w:val="7A9E7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semiHidden="0" w:name="footnote reference"/>
    <w:lsdException w:uiPriority="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3"/>
    <w:basedOn w:val="1"/>
    <w:next w:val="1"/>
    <w:autoRedefine/>
    <w:unhideWhenUsed/>
    <w:qFormat/>
    <w:uiPriority w:val="0"/>
    <w:pPr>
      <w:keepNext/>
      <w:keepLines/>
      <w:spacing w:line="413" w:lineRule="auto"/>
      <w:outlineLvl w:val="2"/>
    </w:pPr>
    <w:rPr>
      <w:b/>
      <w:sz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0"/>
    <w:pPr>
      <w:jc w:val="left"/>
    </w:pPr>
  </w:style>
  <w:style w:type="paragraph" w:styleId="5">
    <w:name w:val="Balloon Text"/>
    <w:basedOn w:val="1"/>
    <w:link w:val="17"/>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autoRedefine/>
    <w:semiHidden/>
    <w:unhideWhenUsed/>
    <w:qFormat/>
    <w:uiPriority w:val="0"/>
    <w:pPr>
      <w:snapToGrid w:val="0"/>
      <w:jc w:val="left"/>
    </w:pPr>
    <w:rPr>
      <w:sz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line number"/>
    <w:basedOn w:val="11"/>
    <w:autoRedefine/>
    <w:qFormat/>
    <w:uiPriority w:val="0"/>
  </w:style>
  <w:style w:type="character" w:styleId="13">
    <w:name w:val="Hyperlink"/>
    <w:basedOn w:val="11"/>
    <w:autoRedefine/>
    <w:unhideWhenUsed/>
    <w:qFormat/>
    <w:uiPriority w:val="99"/>
    <w:rPr>
      <w:color w:val="0000FF"/>
      <w:u w:val="single"/>
    </w:rPr>
  </w:style>
  <w:style w:type="character" w:styleId="14">
    <w:name w:val="footnote reference"/>
    <w:autoRedefine/>
    <w:unhideWhenUsed/>
    <w:qFormat/>
    <w:uiPriority w:val="0"/>
    <w:rPr>
      <w:vertAlign w:val="superscript"/>
    </w:rPr>
  </w:style>
  <w:style w:type="character" w:customStyle="1" w:styleId="15">
    <w:name w:val="样式1 字符"/>
    <w:basedOn w:val="11"/>
    <w:link w:val="16"/>
    <w:autoRedefine/>
    <w:qFormat/>
    <w:uiPriority w:val="0"/>
    <w:rPr>
      <w:rFonts w:ascii="Times New Roman" w:hAnsi="Times New Roman" w:eastAsia="宋体" w:cs="Times New Roman"/>
      <w:color w:val="000000" w:themeColor="text1"/>
      <w:sz w:val="24"/>
      <w:szCs w:val="24"/>
    </w:rPr>
  </w:style>
  <w:style w:type="paragraph" w:customStyle="1" w:styleId="16">
    <w:name w:val="样式1"/>
    <w:basedOn w:val="2"/>
    <w:link w:val="15"/>
    <w:autoRedefine/>
    <w:qFormat/>
    <w:uiPriority w:val="0"/>
    <w:pPr>
      <w:spacing w:line="480" w:lineRule="auto"/>
      <w:ind w:firstLine="241" w:firstLineChars="100"/>
    </w:pPr>
    <w:rPr>
      <w:rFonts w:ascii="Times New Roman" w:hAnsi="Times New Roman" w:eastAsia="宋体" w:cs="Times New Roman"/>
      <w:color w:val="000000" w:themeColor="text1"/>
      <w:sz w:val="24"/>
      <w:szCs w:val="24"/>
    </w:rPr>
  </w:style>
  <w:style w:type="character" w:customStyle="1" w:styleId="17">
    <w:name w:val="批注框文本 字符"/>
    <w:basedOn w:val="11"/>
    <w:link w:val="5"/>
    <w:autoRedefine/>
    <w:qFormat/>
    <w:uiPriority w:val="0"/>
    <w:rPr>
      <w:rFonts w:asciiTheme="minorHAnsi" w:hAnsiTheme="minorHAnsi" w:eastAsiaTheme="minorEastAsia" w:cstheme="minorBidi"/>
      <w:kern w:val="2"/>
      <w:sz w:val="18"/>
      <w:szCs w:val="18"/>
    </w:rPr>
  </w:style>
  <w:style w:type="paragraph" w:customStyle="1" w:styleId="18">
    <w:name w:val="EndNote Bibliography Title"/>
    <w:basedOn w:val="1"/>
    <w:link w:val="19"/>
    <w:autoRedefine/>
    <w:qFormat/>
    <w:uiPriority w:val="0"/>
    <w:pPr>
      <w:jc w:val="center"/>
    </w:pPr>
    <w:rPr>
      <w:rFonts w:ascii="Calibri" w:hAnsi="Calibri" w:cs="Calibri"/>
      <w:sz w:val="20"/>
    </w:rPr>
  </w:style>
  <w:style w:type="character" w:customStyle="1" w:styleId="19">
    <w:name w:val="EndNote Bibliography Title Char"/>
    <w:basedOn w:val="11"/>
    <w:link w:val="18"/>
    <w:autoRedefine/>
    <w:qFormat/>
    <w:uiPriority w:val="0"/>
    <w:rPr>
      <w:rFonts w:ascii="Calibri" w:hAnsi="Calibri" w:cs="Calibri" w:eastAsiaTheme="minorEastAsia"/>
      <w:kern w:val="2"/>
      <w:szCs w:val="24"/>
    </w:rPr>
  </w:style>
  <w:style w:type="paragraph" w:customStyle="1" w:styleId="20">
    <w:name w:val="EndNote Bibliography"/>
    <w:basedOn w:val="1"/>
    <w:link w:val="21"/>
    <w:autoRedefine/>
    <w:qFormat/>
    <w:uiPriority w:val="0"/>
    <w:pPr>
      <w:jc w:val="left"/>
    </w:pPr>
    <w:rPr>
      <w:rFonts w:ascii="Calibri" w:hAnsi="Calibri" w:cs="Calibri"/>
      <w:sz w:val="20"/>
    </w:rPr>
  </w:style>
  <w:style w:type="character" w:customStyle="1" w:styleId="21">
    <w:name w:val="EndNote Bibliography Char"/>
    <w:basedOn w:val="11"/>
    <w:link w:val="20"/>
    <w:autoRedefine/>
    <w:qFormat/>
    <w:uiPriority w:val="0"/>
    <w:rPr>
      <w:rFonts w:ascii="Calibri" w:hAnsi="Calibri" w:cs="Calibri" w:eastAsiaTheme="minorEastAsia"/>
      <w:kern w:val="2"/>
      <w:szCs w:val="24"/>
    </w:rPr>
  </w:style>
  <w:style w:type="character" w:customStyle="1" w:styleId="22">
    <w:name w:val="tgt"/>
    <w:basedOn w:val="11"/>
    <w:autoRedefine/>
    <w:qFormat/>
    <w:uiPriority w:val="0"/>
  </w:style>
  <w:style w:type="character" w:customStyle="1" w:styleId="23">
    <w:name w:val="EndNote Bibliography 字符"/>
    <w:basedOn w:val="11"/>
    <w:autoRedefine/>
    <w:qFormat/>
    <w:uiPriority w:val="0"/>
    <w:rPr>
      <w:rFonts w:ascii="Calibri" w:hAnsi="Calibri" w:cs="Calibri" w:eastAsiaTheme="minorEastAsia"/>
      <w:kern w:val="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37A857-A87A-49C7-8798-E6711AF3F5AE}">
  <ds:schemaRefs/>
</ds:datastoreItem>
</file>

<file path=docProps/app.xml><?xml version="1.0" encoding="utf-8"?>
<Properties xmlns="http://schemas.openxmlformats.org/officeDocument/2006/extended-properties" xmlns:vt="http://schemas.openxmlformats.org/officeDocument/2006/docPropsVTypes">
  <Template>Normal</Template>
  <Pages>14</Pages>
  <Words>3018</Words>
  <Characters>16565</Characters>
  <Lines>117</Lines>
  <Paragraphs>32</Paragraphs>
  <TotalTime>0</TotalTime>
  <ScaleCrop>false</ScaleCrop>
  <LinksUpToDate>false</LinksUpToDate>
  <CharactersWithSpaces>19521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2020-12-01T14:04:00Z</dcterms:created>
  <dc:creator>Administrator</dc:creator>
  <cp:lastModifiedBy>托马斯.杨</cp:lastModifiedBy>
  <dcterms:modified xsi:type="dcterms:W3CDTF">2024-07-21T13:44:00Z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4860E7B9A50649E5BC5DD21A4AC25D2A_12</vt:lpwstr>
  </property>
</Properties>
</file>