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B1DF3" w14:textId="6F1F5409" w:rsidR="006D4A61" w:rsidRDefault="00893C7E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FE7D336" wp14:editId="7E75466A">
            <wp:extent cx="5274310" cy="3850640"/>
            <wp:effectExtent l="0" t="0" r="2540" b="0"/>
            <wp:docPr id="986167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67097" name="图片 98616709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32"/>
                    <a:stretch/>
                  </pic:blipFill>
                  <pic:spPr bwMode="auto">
                    <a:xfrm>
                      <a:off x="0" y="0"/>
                      <a:ext cx="5274310" cy="385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8B72B" w14:textId="77777777" w:rsidR="006D4A61" w:rsidRPr="00CA6E1E" w:rsidRDefault="006D4A61" w:rsidP="006D4A61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1</w:t>
      </w:r>
      <w:r>
        <w:rPr>
          <w:rFonts w:ascii="Times New Roman" w:hAnsi="Times New Roman" w:cs="Times New Roman" w:hint="eastAsia"/>
          <w:b/>
          <w:bCs/>
          <w:szCs w:val="21"/>
        </w:rPr>
        <w:t>: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CA6E1E">
        <w:rPr>
          <w:rFonts w:ascii="Times New Roman" w:hAnsi="Times New Roman" w:cs="Times New Roman"/>
          <w:b/>
          <w:bCs/>
          <w:szCs w:val="21"/>
        </w:rPr>
        <w:t xml:space="preserve">Fig S1. Characterization of SHED. </w:t>
      </w:r>
    </w:p>
    <w:p w14:paraId="7D378F76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>Representative images of the primary culture and passage culture of SHED. Scale bars</w:t>
      </w:r>
      <w:r>
        <w:rPr>
          <w:rFonts w:ascii="Times New Roman" w:hAnsi="Times New Roman" w:cs="Times New Roman"/>
          <w:szCs w:val="21"/>
        </w:rPr>
        <w:t xml:space="preserve">, </w:t>
      </w:r>
      <w:r w:rsidRPr="00CA6E1E">
        <w:rPr>
          <w:rFonts w:ascii="Times New Roman" w:hAnsi="Times New Roman" w:cs="Times New Roman"/>
          <w:szCs w:val="21"/>
        </w:rPr>
        <w:t xml:space="preserve">100 µm. </w:t>
      </w:r>
    </w:p>
    <w:p w14:paraId="57878D77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>Colony formation assay. Scale bars</w:t>
      </w:r>
      <w:r>
        <w:rPr>
          <w:rFonts w:ascii="Times New Roman" w:hAnsi="Times New Roman" w:cs="Times New Roman"/>
          <w:szCs w:val="21"/>
        </w:rPr>
        <w:t xml:space="preserve">, </w:t>
      </w:r>
      <w:r w:rsidRPr="00CA6E1E">
        <w:rPr>
          <w:rFonts w:ascii="Times New Roman" w:hAnsi="Times New Roman" w:cs="Times New Roman"/>
          <w:szCs w:val="21"/>
        </w:rPr>
        <w:t xml:space="preserve">100 µm. </w:t>
      </w:r>
    </w:p>
    <w:p w14:paraId="064AE1C8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>Tissue origin identification. Scale bars</w:t>
      </w:r>
      <w:r>
        <w:rPr>
          <w:rFonts w:ascii="Times New Roman" w:hAnsi="Times New Roman" w:cs="Times New Roman"/>
          <w:szCs w:val="21"/>
        </w:rPr>
        <w:t xml:space="preserve">, </w:t>
      </w:r>
      <w:r w:rsidRPr="00CA6E1E">
        <w:rPr>
          <w:rFonts w:ascii="Times New Roman" w:hAnsi="Times New Roman" w:cs="Times New Roman"/>
          <w:szCs w:val="21"/>
        </w:rPr>
        <w:t xml:space="preserve">100 µm. </w:t>
      </w:r>
    </w:p>
    <w:p w14:paraId="01C45714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>Multiple differentiation ability demonstrated by alizarin red (left) or Oil Red O (right) staining. Scale bars</w:t>
      </w:r>
      <w:r>
        <w:rPr>
          <w:rFonts w:ascii="Times New Roman" w:hAnsi="Times New Roman" w:cs="Times New Roman"/>
          <w:szCs w:val="21"/>
        </w:rPr>
        <w:t xml:space="preserve">, </w:t>
      </w:r>
      <w:r w:rsidRPr="00CA6E1E">
        <w:rPr>
          <w:rFonts w:ascii="Times New Roman" w:hAnsi="Times New Roman" w:cs="Times New Roman"/>
          <w:szCs w:val="21"/>
        </w:rPr>
        <w:t xml:space="preserve">100 µm. </w:t>
      </w:r>
    </w:p>
    <w:p w14:paraId="644D4E30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e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 xml:space="preserve">Surface markers identification. </w:t>
      </w:r>
    </w:p>
    <w:p w14:paraId="04BD82ED" w14:textId="77777777" w:rsidR="006D4A61" w:rsidRDefault="006D4A61" w:rsidP="006D4A61">
      <w:pPr>
        <w:rPr>
          <w:rFonts w:ascii="Times New Roman" w:hAnsi="Times New Roman" w:cs="Times New Roman"/>
          <w:szCs w:val="21"/>
        </w:rPr>
      </w:pPr>
    </w:p>
    <w:p w14:paraId="75546F66" w14:textId="77777777" w:rsidR="006D4A61" w:rsidRDefault="006D4A61" w:rsidP="006D4A61">
      <w:pPr>
        <w:rPr>
          <w:rFonts w:ascii="Times New Roman" w:hAnsi="Times New Roman" w:cs="Times New Roman"/>
          <w:szCs w:val="21"/>
        </w:rPr>
      </w:pPr>
    </w:p>
    <w:p w14:paraId="434289D3" w14:textId="77777777" w:rsidR="006D4A61" w:rsidRDefault="006D4A61" w:rsidP="006D4A61">
      <w:pPr>
        <w:rPr>
          <w:rFonts w:ascii="Times New Roman" w:hAnsi="Times New Roman" w:cs="Times New Roman"/>
          <w:szCs w:val="21"/>
        </w:rPr>
      </w:pPr>
    </w:p>
    <w:p w14:paraId="6AAE4189" w14:textId="77777777" w:rsidR="006D4A61" w:rsidRDefault="006D4A61" w:rsidP="006D4A61">
      <w:pPr>
        <w:rPr>
          <w:rFonts w:ascii="Times New Roman" w:hAnsi="Times New Roman" w:cs="Times New Roman"/>
          <w:szCs w:val="21"/>
        </w:rPr>
      </w:pPr>
    </w:p>
    <w:p w14:paraId="3A151576" w14:textId="12D43CD0" w:rsidR="006D4A61" w:rsidRDefault="00893C7E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32DB5E6" wp14:editId="5A40AE8D">
            <wp:extent cx="5274310" cy="5232400"/>
            <wp:effectExtent l="0" t="0" r="2540" b="6350"/>
            <wp:docPr id="3632281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28172" name="图片 36322817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36"/>
                    <a:stretch/>
                  </pic:blipFill>
                  <pic:spPr bwMode="auto">
                    <a:xfrm>
                      <a:off x="0" y="0"/>
                      <a:ext cx="5274310" cy="52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530E6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1</w:t>
      </w:r>
      <w:r>
        <w:rPr>
          <w:rFonts w:ascii="Times New Roman" w:hAnsi="Times New Roman" w:cs="Times New Roman" w:hint="eastAsia"/>
          <w:b/>
          <w:bCs/>
          <w:szCs w:val="21"/>
        </w:rPr>
        <w:t>: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3B7ED4">
        <w:rPr>
          <w:rFonts w:ascii="Times New Roman" w:hAnsi="Times New Roman" w:cs="Times New Roman"/>
          <w:b/>
          <w:bCs/>
          <w:szCs w:val="21"/>
        </w:rPr>
        <w:t>Fig S2. Characterization</w:t>
      </w:r>
      <w:r>
        <w:rPr>
          <w:rFonts w:ascii="Times New Roman" w:hAnsi="Times New Roman" w:cs="Times New Roman"/>
          <w:b/>
          <w:bCs/>
          <w:szCs w:val="21"/>
        </w:rPr>
        <w:t xml:space="preserve"> and biological effects</w:t>
      </w:r>
      <w:r w:rsidRPr="003B7ED4">
        <w:rPr>
          <w:rFonts w:ascii="Times New Roman" w:hAnsi="Times New Roman" w:cs="Times New Roman"/>
          <w:b/>
          <w:bCs/>
          <w:szCs w:val="21"/>
        </w:rPr>
        <w:t xml:space="preserve"> of young sEVs.</w:t>
      </w:r>
    </w:p>
    <w:p w14:paraId="5491CA02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>Representative TEM images of young</w:t>
      </w:r>
      <w:r>
        <w:rPr>
          <w:rFonts w:ascii="Times New Roman" w:hAnsi="Times New Roman" w:cs="Times New Roman"/>
          <w:szCs w:val="21"/>
        </w:rPr>
        <w:t xml:space="preserve"> </w:t>
      </w:r>
      <w:r w:rsidRPr="00CA6E1E">
        <w:rPr>
          <w:rFonts w:ascii="Times New Roman" w:hAnsi="Times New Roman" w:cs="Times New Roman"/>
          <w:szCs w:val="21"/>
        </w:rPr>
        <w:t>sEVs. Scale bars</w:t>
      </w:r>
      <w:r>
        <w:rPr>
          <w:rFonts w:ascii="Times New Roman" w:hAnsi="Times New Roman" w:cs="Times New Roman"/>
          <w:szCs w:val="21"/>
        </w:rPr>
        <w:t xml:space="preserve">, </w:t>
      </w:r>
      <w:r w:rsidRPr="00CA6E1E">
        <w:rPr>
          <w:rFonts w:ascii="Times New Roman" w:hAnsi="Times New Roman" w:cs="Times New Roman"/>
          <w:szCs w:val="21"/>
        </w:rPr>
        <w:t xml:space="preserve">50 nm. </w:t>
      </w:r>
    </w:p>
    <w:p w14:paraId="77FFA27D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 xml:space="preserve">Representative images of western blot analysis showing the biomarkers of the sEVs, including CD63, CD9, TSG101, and alpha-Tubulin were used as negative controls. </w:t>
      </w:r>
    </w:p>
    <w:p w14:paraId="2509879A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>The diameter measurements of young</w:t>
      </w:r>
      <w:r>
        <w:rPr>
          <w:rFonts w:ascii="Times New Roman" w:hAnsi="Times New Roman" w:cs="Times New Roman"/>
          <w:szCs w:val="21"/>
        </w:rPr>
        <w:t xml:space="preserve"> </w:t>
      </w:r>
      <w:r w:rsidRPr="00CA6E1E">
        <w:rPr>
          <w:rFonts w:ascii="Times New Roman" w:hAnsi="Times New Roman" w:cs="Times New Roman"/>
          <w:szCs w:val="21"/>
        </w:rPr>
        <w:t>sEVs by ZetaView.</w:t>
      </w:r>
    </w:p>
    <w:p w14:paraId="79A3F1E3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>The zeta potential measurements of young</w:t>
      </w:r>
      <w:r>
        <w:rPr>
          <w:rFonts w:ascii="Times New Roman" w:hAnsi="Times New Roman" w:cs="Times New Roman"/>
          <w:szCs w:val="21"/>
        </w:rPr>
        <w:t xml:space="preserve"> </w:t>
      </w:r>
      <w:r w:rsidRPr="00CA6E1E">
        <w:rPr>
          <w:rFonts w:ascii="Times New Roman" w:hAnsi="Times New Roman" w:cs="Times New Roman"/>
          <w:szCs w:val="21"/>
        </w:rPr>
        <w:t>sEVs by ZetaView.</w:t>
      </w:r>
    </w:p>
    <w:p w14:paraId="21839497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e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 xml:space="preserve">Representative images of </w:t>
      </w:r>
      <w:r>
        <w:rPr>
          <w:rFonts w:ascii="Times New Roman" w:hAnsi="Times New Roman" w:cs="Times New Roman"/>
          <w:szCs w:val="21"/>
        </w:rPr>
        <w:t>u</w:t>
      </w:r>
      <w:r w:rsidRPr="00CA6E1E">
        <w:rPr>
          <w:rFonts w:ascii="Times New Roman" w:hAnsi="Times New Roman" w:cs="Times New Roman"/>
          <w:szCs w:val="21"/>
        </w:rPr>
        <w:t xml:space="preserve">ptake of young-sEVs by BMSCs. </w:t>
      </w:r>
    </w:p>
    <w:p w14:paraId="4FE839E6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 xml:space="preserve">Quantification of EdU positive </w:t>
      </w:r>
      <w:r w:rsidRPr="00CA6E1E">
        <w:rPr>
          <w:rFonts w:ascii="Times New Roman" w:hAnsi="Times New Roman" w:cs="Times New Roman"/>
          <w:szCs w:val="21"/>
        </w:rPr>
        <w:t>BMSCs</w:t>
      </w:r>
      <w:r>
        <w:rPr>
          <w:rFonts w:ascii="Times New Roman" w:hAnsi="Times New Roman" w:cs="Times New Roman"/>
          <w:szCs w:val="21"/>
        </w:rPr>
        <w:t xml:space="preserve"> under varying concentration of young sEVs.</w:t>
      </w:r>
    </w:p>
    <w:p w14:paraId="1B020C9E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g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>RT-qPCR</w:t>
      </w:r>
      <w:r>
        <w:rPr>
          <w:rFonts w:ascii="Times New Roman" w:hAnsi="Times New Roman" w:cs="Times New Roman"/>
          <w:szCs w:val="21"/>
        </w:rPr>
        <w:t xml:space="preserve"> assay</w:t>
      </w:r>
      <w:r w:rsidRPr="00CA6E1E">
        <w:rPr>
          <w:rFonts w:ascii="Times New Roman" w:hAnsi="Times New Roman" w:cs="Times New Roman"/>
          <w:szCs w:val="21"/>
        </w:rPr>
        <w:t xml:space="preserve"> of senescence markers of p16, p21, and potency markers of SCF, c-MYC</w:t>
      </w:r>
      <w:r>
        <w:rPr>
          <w:rFonts w:ascii="Times New Roman" w:hAnsi="Times New Roman" w:cs="Times New Roman"/>
          <w:szCs w:val="21"/>
        </w:rPr>
        <w:t>.</w:t>
      </w:r>
    </w:p>
    <w:p w14:paraId="38AAB7A1" w14:textId="77777777" w:rsidR="006D4A61" w:rsidRDefault="006D4A61" w:rsidP="006D4A61">
      <w:pPr>
        <w:rPr>
          <w:rFonts w:ascii="Times New Roman" w:hAnsi="Times New Roman" w:cs="Times New Roman"/>
          <w:szCs w:val="21"/>
        </w:rPr>
      </w:pPr>
      <w:r w:rsidRPr="00CA6E1E">
        <w:rPr>
          <w:rFonts w:ascii="Times New Roman" w:hAnsi="Times New Roman" w:cs="Times New Roman"/>
          <w:szCs w:val="21"/>
        </w:rPr>
        <w:t>Data is shown as mean ± S</w:t>
      </w:r>
      <w:r>
        <w:rPr>
          <w:rFonts w:ascii="Times New Roman" w:hAnsi="Times New Roman" w:cs="Times New Roman"/>
          <w:szCs w:val="21"/>
        </w:rPr>
        <w:t>EM</w:t>
      </w:r>
      <w:r w:rsidRPr="00CA6E1E">
        <w:rPr>
          <w:rFonts w:ascii="Times New Roman" w:hAnsi="Times New Roman" w:cs="Times New Roman"/>
          <w:szCs w:val="21"/>
        </w:rPr>
        <w:t>. *</w:t>
      </w:r>
      <w:r w:rsidRPr="0056451F">
        <w:rPr>
          <w:rFonts w:ascii="Times New Roman" w:hAnsi="Times New Roman" w:cs="Times New Roman"/>
          <w:i/>
          <w:iCs/>
          <w:szCs w:val="21"/>
        </w:rPr>
        <w:t>p</w:t>
      </w:r>
      <w:r w:rsidRPr="00CA6E1E">
        <w:rPr>
          <w:rFonts w:ascii="Times New Roman" w:hAnsi="Times New Roman" w:cs="Times New Roman"/>
          <w:szCs w:val="21"/>
        </w:rPr>
        <w:t>&lt;0.05, **</w:t>
      </w:r>
      <w:r w:rsidRPr="0056451F">
        <w:rPr>
          <w:rFonts w:ascii="Times New Roman" w:hAnsi="Times New Roman" w:cs="Times New Roman"/>
          <w:i/>
          <w:iCs/>
          <w:szCs w:val="21"/>
        </w:rPr>
        <w:t>p</w:t>
      </w:r>
      <w:r w:rsidRPr="00CA6E1E">
        <w:rPr>
          <w:rFonts w:ascii="Times New Roman" w:hAnsi="Times New Roman" w:cs="Times New Roman"/>
          <w:szCs w:val="21"/>
        </w:rPr>
        <w:t>&lt;0.01, ***</w:t>
      </w:r>
      <w:r w:rsidRPr="0056451F">
        <w:rPr>
          <w:rFonts w:ascii="Times New Roman" w:hAnsi="Times New Roman" w:cs="Times New Roman"/>
          <w:i/>
          <w:iCs/>
          <w:szCs w:val="21"/>
        </w:rPr>
        <w:t>p</w:t>
      </w:r>
      <w:r w:rsidRPr="00CA6E1E">
        <w:rPr>
          <w:rFonts w:ascii="Times New Roman" w:hAnsi="Times New Roman" w:cs="Times New Roman"/>
          <w:szCs w:val="21"/>
        </w:rPr>
        <w:t>&lt;0.001, ****</w:t>
      </w:r>
      <w:r w:rsidRPr="0056451F">
        <w:rPr>
          <w:rFonts w:ascii="Times New Roman" w:hAnsi="Times New Roman" w:cs="Times New Roman"/>
          <w:i/>
          <w:iCs/>
          <w:szCs w:val="21"/>
        </w:rPr>
        <w:t>p</w:t>
      </w:r>
      <w:r w:rsidRPr="00CA6E1E">
        <w:rPr>
          <w:rFonts w:ascii="Times New Roman" w:hAnsi="Times New Roman" w:cs="Times New Roman"/>
          <w:szCs w:val="21"/>
        </w:rPr>
        <w:t>&lt;0.0001. ns: no significant difference.</w:t>
      </w:r>
    </w:p>
    <w:p w14:paraId="0853781A" w14:textId="77777777" w:rsidR="006D4A61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F37351B" wp14:editId="38AFBA1F">
            <wp:extent cx="5270042" cy="4676955"/>
            <wp:effectExtent l="0" t="0" r="6985" b="9525"/>
            <wp:docPr id="15500016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01614" name="图片 155000161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3" b="30350"/>
                    <a:stretch/>
                  </pic:blipFill>
                  <pic:spPr bwMode="auto">
                    <a:xfrm>
                      <a:off x="0" y="0"/>
                      <a:ext cx="5270500" cy="4677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34468" w14:textId="77777777" w:rsidR="006D4A61" w:rsidRPr="003B7ED4" w:rsidRDefault="006D4A61" w:rsidP="006D4A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1</w:t>
      </w:r>
      <w:r>
        <w:rPr>
          <w:rFonts w:ascii="Times New Roman" w:hAnsi="Times New Roman" w:cs="Times New Roman" w:hint="eastAsia"/>
          <w:b/>
          <w:bCs/>
          <w:szCs w:val="21"/>
        </w:rPr>
        <w:t>: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3B7ED4">
        <w:rPr>
          <w:rFonts w:ascii="Times New Roman" w:hAnsi="Times New Roman" w:cs="Times New Roman"/>
          <w:b/>
          <w:bCs/>
          <w:szCs w:val="21"/>
        </w:rPr>
        <w:t>Fig S3. Safety evaluation of replicative senescent BMSCs in vivo.</w:t>
      </w:r>
    </w:p>
    <w:p w14:paraId="1AD3FDC9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B</w:t>
      </w:r>
      <w:r w:rsidRPr="00CA6E1E">
        <w:rPr>
          <w:rFonts w:ascii="Times New Roman" w:hAnsi="Times New Roman" w:cs="Times New Roman"/>
          <w:szCs w:val="21"/>
        </w:rPr>
        <w:t>lood biochemical examination.</w:t>
      </w:r>
      <w:r w:rsidRPr="002C01BC">
        <w:rPr>
          <w:rFonts w:ascii="Times New Roman" w:hAnsi="Times New Roman" w:cs="Times New Roman"/>
          <w:szCs w:val="21"/>
        </w:rPr>
        <w:t xml:space="preserve"> </w:t>
      </w:r>
      <w:r w:rsidRPr="00CA6E1E">
        <w:rPr>
          <w:rFonts w:ascii="Times New Roman" w:hAnsi="Times New Roman" w:cs="Times New Roman"/>
          <w:szCs w:val="21"/>
        </w:rPr>
        <w:t>The normal value range is within two blue lines.</w:t>
      </w:r>
    </w:p>
    <w:p w14:paraId="51BBBDBE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 xml:space="preserve">Blood routine examination. The normal value range is within two blue lines. </w:t>
      </w:r>
    </w:p>
    <w:p w14:paraId="2A6B04EE" w14:textId="77777777" w:rsidR="006D4A61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</w:t>
      </w:r>
      <w:r w:rsidRPr="00CA6E1E">
        <w:rPr>
          <w:rFonts w:ascii="Times New Roman" w:hAnsi="Times New Roman" w:cs="Times New Roman"/>
          <w:szCs w:val="21"/>
        </w:rPr>
        <w:t>.</w:t>
      </w:r>
      <w:r w:rsidRPr="00CA6E1E">
        <w:rPr>
          <w:rFonts w:ascii="Times New Roman" w:hAnsi="Times New Roman" w:cs="Times New Roman"/>
          <w:szCs w:val="21"/>
        </w:rPr>
        <w:tab/>
        <w:t>Representative quantification of CD45+, CD45+CD68+, CD45+CD3+, CD3+CD4+cells in major tissue analyzed by flow cytometry.</w:t>
      </w:r>
    </w:p>
    <w:p w14:paraId="66A8EF4E" w14:textId="77777777" w:rsidR="006D4A61" w:rsidRPr="00CA6E1E" w:rsidRDefault="006D4A61" w:rsidP="006D4A61">
      <w:pPr>
        <w:rPr>
          <w:rFonts w:ascii="Times New Roman" w:hAnsi="Times New Roman" w:cs="Times New Roman"/>
          <w:szCs w:val="21"/>
        </w:rPr>
      </w:pPr>
      <w:r w:rsidRPr="00CA6E1E">
        <w:rPr>
          <w:rFonts w:ascii="Times New Roman" w:hAnsi="Times New Roman" w:cs="Times New Roman"/>
          <w:szCs w:val="21"/>
        </w:rPr>
        <w:t xml:space="preserve">Data are represented as mean ± SEM. </w:t>
      </w:r>
      <w:r w:rsidRPr="00926CD1">
        <w:rPr>
          <w:rFonts w:ascii="Times New Roman" w:hAnsi="Times New Roman" w:cs="Times New Roman"/>
          <w:szCs w:val="21"/>
        </w:rPr>
        <w:t>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&lt;0.05, **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&lt;0.01, ***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&lt;0.001, ****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&lt;0.0001. ns: no significant difference from the control group.</w:t>
      </w:r>
    </w:p>
    <w:p w14:paraId="79F18329" w14:textId="77777777" w:rsidR="006D4A61" w:rsidRDefault="006D4A61" w:rsidP="006D4A61">
      <w:pPr>
        <w:rPr>
          <w:rFonts w:ascii="Times New Roman" w:hAnsi="Times New Roman" w:cs="Times New Roman"/>
          <w:b/>
          <w:bCs/>
          <w:szCs w:val="21"/>
        </w:rPr>
      </w:pPr>
    </w:p>
    <w:p w14:paraId="4141B774" w14:textId="77777777" w:rsidR="006D4A61" w:rsidRDefault="006D4A61" w:rsidP="006D4A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noProof/>
          <w:szCs w:val="21"/>
        </w:rPr>
        <w:lastRenderedPageBreak/>
        <w:drawing>
          <wp:inline distT="0" distB="0" distL="0" distR="0" wp14:anchorId="2C0C41AD" wp14:editId="6D10CDB0">
            <wp:extent cx="5270156" cy="4167488"/>
            <wp:effectExtent l="0" t="0" r="6985" b="5080"/>
            <wp:docPr id="17207292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729220" name="图片 172072922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40"/>
                    <a:stretch/>
                  </pic:blipFill>
                  <pic:spPr bwMode="auto">
                    <a:xfrm>
                      <a:off x="0" y="0"/>
                      <a:ext cx="5270500" cy="416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7A4DA" w14:textId="77777777" w:rsidR="006D4A61" w:rsidRDefault="006D4A61" w:rsidP="006D4A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1</w:t>
      </w:r>
      <w:r>
        <w:rPr>
          <w:rFonts w:ascii="Times New Roman" w:hAnsi="Times New Roman" w:cs="Times New Roman" w:hint="eastAsia"/>
          <w:b/>
          <w:bCs/>
          <w:szCs w:val="21"/>
        </w:rPr>
        <w:t>: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 xml:space="preserve">ig S4. Tracing BMSCs in colitis mice </w:t>
      </w:r>
    </w:p>
    <w:p w14:paraId="38EBEC27" w14:textId="77777777" w:rsidR="006D4A61" w:rsidRPr="00D2513F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a.  </w:t>
      </w:r>
      <w:r w:rsidRPr="00D2513F">
        <w:rPr>
          <w:rFonts w:ascii="Times New Roman" w:hAnsi="Times New Roman" w:cs="Times New Roman"/>
          <w:szCs w:val="21"/>
        </w:rPr>
        <w:t>PKH67-labeled BMSCs were injected through tail-vein in mice on day 3 post DSS feeding. In vivo fluorescence images of BMSC</w:t>
      </w:r>
      <w:r>
        <w:rPr>
          <w:rFonts w:ascii="Times New Roman" w:hAnsi="Times New Roman" w:cs="Times New Roman"/>
          <w:szCs w:val="21"/>
        </w:rPr>
        <w:t>s</w:t>
      </w:r>
      <w:r w:rsidRPr="00D2513F">
        <w:rPr>
          <w:rFonts w:ascii="Times New Roman" w:hAnsi="Times New Roman" w:cs="Times New Roman"/>
          <w:szCs w:val="21"/>
        </w:rPr>
        <w:t xml:space="preserve"> in livers, lungs, hearts, kidneys, colons</w:t>
      </w:r>
      <w:r>
        <w:rPr>
          <w:rFonts w:ascii="Times New Roman" w:hAnsi="Times New Roman" w:cs="Times New Roman"/>
          <w:szCs w:val="21"/>
        </w:rPr>
        <w:t>,</w:t>
      </w:r>
      <w:r w:rsidRPr="00D2513F">
        <w:rPr>
          <w:rFonts w:ascii="Times New Roman" w:hAnsi="Times New Roman" w:cs="Times New Roman"/>
          <w:szCs w:val="21"/>
        </w:rPr>
        <w:t xml:space="preserve"> and femurs. </w:t>
      </w:r>
    </w:p>
    <w:p w14:paraId="4DCF6D68" w14:textId="77777777" w:rsidR="006D4A61" w:rsidRPr="00D2513F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</w:t>
      </w:r>
      <w:r w:rsidRPr="00D2513F">
        <w:rPr>
          <w:rFonts w:ascii="Times New Roman" w:hAnsi="Times New Roman" w:cs="Times New Roman"/>
          <w:szCs w:val="21"/>
        </w:rPr>
        <w:t>.</w:t>
      </w:r>
      <w:r w:rsidRPr="00D2513F">
        <w:rPr>
          <w:rFonts w:ascii="Times New Roman" w:hAnsi="Times New Roman" w:cs="Times New Roman"/>
          <w:szCs w:val="21"/>
        </w:rPr>
        <w:tab/>
        <w:t xml:space="preserve">Flow cytometry illustrated PKH67-labeled BMSCs relocalization in major organs. </w:t>
      </w:r>
    </w:p>
    <w:p w14:paraId="29A5156F" w14:textId="77777777" w:rsidR="006D4A61" w:rsidRPr="00926CD1" w:rsidRDefault="006D4A61" w:rsidP="006D4A61">
      <w:pPr>
        <w:rPr>
          <w:rFonts w:ascii="Times New Roman" w:hAnsi="Times New Roman" w:cs="Times New Roman"/>
          <w:szCs w:val="21"/>
        </w:rPr>
      </w:pPr>
      <w:r w:rsidRPr="00926CD1">
        <w:rPr>
          <w:rFonts w:ascii="Times New Roman" w:hAnsi="Times New Roman" w:cs="Times New Roman"/>
          <w:szCs w:val="21"/>
        </w:rPr>
        <w:t>Data is shown as mean ± SEM. 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&lt;0.05, **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&lt;0.01, ***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&lt;0.001, ****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&lt;0.0001. ns: no significant difference</w:t>
      </w:r>
      <w:r>
        <w:rPr>
          <w:rFonts w:ascii="Times New Roman" w:hAnsi="Times New Roman" w:cs="Times New Roman"/>
          <w:szCs w:val="21"/>
        </w:rPr>
        <w:t>.</w:t>
      </w:r>
    </w:p>
    <w:p w14:paraId="3D341752" w14:textId="77777777" w:rsidR="006D4A61" w:rsidRPr="002A4B30" w:rsidRDefault="006D4A61" w:rsidP="006D4A61">
      <w:pPr>
        <w:rPr>
          <w:rFonts w:ascii="Times New Roman" w:hAnsi="Times New Roman" w:cs="Times New Roman"/>
          <w:b/>
          <w:bCs/>
          <w:szCs w:val="21"/>
        </w:rPr>
      </w:pPr>
    </w:p>
    <w:p w14:paraId="126F7005" w14:textId="77777777" w:rsidR="006D4A61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7B385D6" wp14:editId="02ED84EB">
            <wp:extent cx="5270032" cy="3849928"/>
            <wp:effectExtent l="0" t="0" r="6985" b="0"/>
            <wp:docPr id="11383997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399735" name="图片 113839973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5" b="36678"/>
                    <a:stretch/>
                  </pic:blipFill>
                  <pic:spPr bwMode="auto">
                    <a:xfrm>
                      <a:off x="0" y="0"/>
                      <a:ext cx="5270500" cy="385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93161" w14:textId="77777777" w:rsidR="006D4A61" w:rsidRPr="00926CD1" w:rsidRDefault="006D4A61" w:rsidP="006D4A61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1</w:t>
      </w:r>
      <w:r>
        <w:rPr>
          <w:rFonts w:ascii="Times New Roman" w:hAnsi="Times New Roman" w:cs="Times New Roman" w:hint="eastAsia"/>
          <w:b/>
          <w:bCs/>
          <w:szCs w:val="21"/>
        </w:rPr>
        <w:t>: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926CD1">
        <w:rPr>
          <w:rFonts w:ascii="Times New Roman" w:hAnsi="Times New Roman" w:cs="Times New Roman"/>
          <w:b/>
          <w:bCs/>
          <w:szCs w:val="21"/>
        </w:rPr>
        <w:t>Fig S</w:t>
      </w:r>
      <w:r>
        <w:rPr>
          <w:rFonts w:ascii="Times New Roman" w:hAnsi="Times New Roman" w:cs="Times New Roman"/>
          <w:b/>
          <w:bCs/>
          <w:szCs w:val="21"/>
        </w:rPr>
        <w:t>5</w:t>
      </w:r>
      <w:r w:rsidRPr="00926CD1">
        <w:rPr>
          <w:rFonts w:ascii="Times New Roman" w:hAnsi="Times New Roman" w:cs="Times New Roman"/>
          <w:b/>
          <w:bCs/>
          <w:szCs w:val="21"/>
        </w:rPr>
        <w:t>. Young sEVs pretreatment on replicative senescent BMSCs preserves in vitro immunoregulatory properties.</w:t>
      </w:r>
    </w:p>
    <w:p w14:paraId="3F582D9B" w14:textId="77777777" w:rsidR="006D4A61" w:rsidRPr="00926CD1" w:rsidRDefault="006D4A61" w:rsidP="006D4A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 cells apoptosis assay. </w:t>
      </w:r>
      <w:r w:rsidRPr="00926CD1">
        <w:rPr>
          <w:rFonts w:ascii="Times New Roman" w:hAnsi="Times New Roman" w:cs="Times New Roman"/>
          <w:szCs w:val="21"/>
        </w:rPr>
        <w:t>BMSC</w:t>
      </w:r>
      <w:r>
        <w:rPr>
          <w:rFonts w:ascii="Times New Roman" w:hAnsi="Times New Roman" w:cs="Times New Roman"/>
          <w:szCs w:val="21"/>
        </w:rPr>
        <w:t>s</w:t>
      </w:r>
      <w:r w:rsidRPr="00926CD1">
        <w:rPr>
          <w:rFonts w:ascii="Times New Roman" w:hAnsi="Times New Roman" w:cs="Times New Roman"/>
          <w:szCs w:val="21"/>
        </w:rPr>
        <w:t xml:space="preserve"> at P3, P6, and P9 with or without young sEVs were co-cultured with T cells and the percentage of apoptosis T cells was detected by flow cytometry. </w:t>
      </w:r>
      <w:r>
        <w:rPr>
          <w:rFonts w:ascii="Times New Roman" w:hAnsi="Times New Roman" w:cs="Times New Roman"/>
          <w:szCs w:val="21"/>
        </w:rPr>
        <w:t>Control group is set for T cells cultured in complete medium.</w:t>
      </w:r>
    </w:p>
    <w:p w14:paraId="34DA6535" w14:textId="77777777" w:rsidR="006D4A61" w:rsidRPr="00926CD1" w:rsidRDefault="006D4A61" w:rsidP="006D4A61">
      <w:pPr>
        <w:rPr>
          <w:rFonts w:ascii="Times New Roman" w:hAnsi="Times New Roman" w:cs="Times New Roman"/>
          <w:szCs w:val="21"/>
        </w:rPr>
      </w:pPr>
      <w:r w:rsidRPr="00926CD1">
        <w:rPr>
          <w:rFonts w:ascii="Times New Roman" w:hAnsi="Times New Roman" w:cs="Times New Roman"/>
          <w:szCs w:val="21"/>
        </w:rPr>
        <w:t>Data is shown as mean ± SEM. Comparison with control group: 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&lt;0.05, **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&lt;0.01, ***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&lt;0.001, ****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&lt;0.0001. ns: no significant difference from the control group. Comparisons with P3 BMSC</w:t>
      </w:r>
      <w:r>
        <w:rPr>
          <w:rFonts w:ascii="Times New Roman" w:hAnsi="Times New Roman" w:cs="Times New Roman" w:hint="eastAsia"/>
          <w:szCs w:val="21"/>
        </w:rPr>
        <w:t>s</w:t>
      </w:r>
      <w:r w:rsidRPr="00926CD1">
        <w:rPr>
          <w:rFonts w:ascii="Times New Roman" w:hAnsi="Times New Roman" w:cs="Times New Roman"/>
          <w:szCs w:val="21"/>
        </w:rPr>
        <w:t xml:space="preserve">: </w:t>
      </w:r>
      <w:r w:rsidRPr="00926CD1">
        <w:rPr>
          <w:rFonts w:ascii="Times New Roman" w:hAnsi="Times New Roman" w:cs="Times New Roman"/>
          <w:szCs w:val="21"/>
          <w:vertAlign w:val="superscript"/>
        </w:rPr>
        <w:t>#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 xml:space="preserve">&lt;0.05, </w:t>
      </w:r>
      <w:r w:rsidRPr="00926CD1">
        <w:rPr>
          <w:rFonts w:ascii="Times New Roman" w:hAnsi="Times New Roman" w:cs="Times New Roman"/>
          <w:szCs w:val="21"/>
          <w:vertAlign w:val="superscript"/>
        </w:rPr>
        <w:t>##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>&lt;0.01,</w:t>
      </w:r>
      <w:r w:rsidRPr="00926CD1">
        <w:rPr>
          <w:rFonts w:ascii="Times New Roman" w:hAnsi="Times New Roman" w:cs="Times New Roman"/>
          <w:szCs w:val="21"/>
          <w:vertAlign w:val="superscript"/>
        </w:rPr>
        <w:t xml:space="preserve"> ###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 xml:space="preserve">&lt;0.001, </w:t>
      </w:r>
      <w:r w:rsidRPr="00926CD1">
        <w:rPr>
          <w:rFonts w:ascii="Times New Roman" w:hAnsi="Times New Roman" w:cs="Times New Roman"/>
          <w:szCs w:val="21"/>
          <w:vertAlign w:val="superscript"/>
        </w:rPr>
        <w:t>####</w:t>
      </w:r>
      <w:r w:rsidRPr="00926CD1">
        <w:rPr>
          <w:rFonts w:ascii="Times New Roman" w:hAnsi="Times New Roman" w:cs="Times New Roman"/>
          <w:i/>
          <w:iCs/>
          <w:szCs w:val="21"/>
        </w:rPr>
        <w:t>p</w:t>
      </w:r>
      <w:r w:rsidRPr="00926CD1">
        <w:rPr>
          <w:rFonts w:ascii="Times New Roman" w:hAnsi="Times New Roman" w:cs="Times New Roman"/>
          <w:szCs w:val="21"/>
        </w:rPr>
        <w:t xml:space="preserve">&lt;0.0001. </w:t>
      </w:r>
      <w:r>
        <w:rPr>
          <w:rFonts w:ascii="Times New Roman" w:hAnsi="Times New Roman" w:cs="Times New Roman"/>
          <w:szCs w:val="21"/>
        </w:rPr>
        <w:t>NS</w:t>
      </w:r>
      <w:r w:rsidRPr="00926CD1">
        <w:rPr>
          <w:rFonts w:ascii="Times New Roman" w:hAnsi="Times New Roman" w:cs="Times New Roman"/>
          <w:szCs w:val="21"/>
        </w:rPr>
        <w:t>: no significant difference from the P3 group.</w:t>
      </w:r>
    </w:p>
    <w:p w14:paraId="56012086" w14:textId="77777777" w:rsidR="000259F6" w:rsidRPr="006D4A61" w:rsidRDefault="000259F6">
      <w:pPr>
        <w:rPr>
          <w:rFonts w:hint="eastAsia"/>
        </w:rPr>
      </w:pPr>
    </w:p>
    <w:sectPr w:rsidR="000259F6" w:rsidRPr="006D4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06"/>
    <w:rsid w:val="000259F6"/>
    <w:rsid w:val="003350EA"/>
    <w:rsid w:val="00491906"/>
    <w:rsid w:val="006C6BFA"/>
    <w:rsid w:val="006D4A61"/>
    <w:rsid w:val="00893C7E"/>
    <w:rsid w:val="00B074E2"/>
    <w:rsid w:val="00B9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B1CCDD-C8B5-4CCA-9DDE-1A6505A4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A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2024-07-24T03:43:00Z</dcterms:created>
  <dcterms:modified xsi:type="dcterms:W3CDTF">2024-07-24T03:43:00Z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d9c25a3190a2fed3c7c0ced563cb9f9a46ea76c8082418ee941a4a77f6d9f9b9</vt:lpwstr>
  </property>
</Properties>
</file>