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CD17">
      <w:pPr>
        <w:pStyle w:val="6"/>
        <w:rPr>
          <w:b w:val="0"/>
          <w:color w:val="auto"/>
          <w:sz w:val="32"/>
          <w:szCs w:val="32"/>
        </w:rPr>
      </w:pPr>
      <w:r>
        <w:rPr>
          <w:rFonts w:hint="eastAsia"/>
          <w:b w:val="0"/>
          <w:color w:val="auto"/>
          <w:sz w:val="32"/>
          <w:szCs w:val="32"/>
        </w:rPr>
        <w:t>Supplementary</w:t>
      </w:r>
      <w:r>
        <w:rPr>
          <w:b w:val="0"/>
          <w:color w:val="auto"/>
          <w:sz w:val="32"/>
          <w:szCs w:val="32"/>
        </w:rPr>
        <w:t xml:space="preserve"> Information </w:t>
      </w:r>
    </w:p>
    <w:p w14:paraId="6A8EBDFC">
      <w:pPr>
        <w:pStyle w:val="7"/>
        <w:rPr>
          <w:color w:val="auto"/>
        </w:rPr>
      </w:pPr>
    </w:p>
    <w:p w14:paraId="15A28495">
      <w:pPr>
        <w:pStyle w:val="6"/>
        <w:rPr>
          <w:rFonts w:hint="eastAsia"/>
          <w:color w:val="auto"/>
        </w:rPr>
      </w:pPr>
      <w:r>
        <w:rPr>
          <w:rFonts w:hint="eastAsia"/>
          <w:color w:val="auto"/>
        </w:rPr>
        <w:t>A soluble antimicrobial microneedle transdermal delivery patch delivering apoptotic vesicles from adipose tissue to enhance healing of infected wounds</w:t>
      </w:r>
    </w:p>
    <w:p w14:paraId="65116612">
      <w:pPr>
        <w:pStyle w:val="6"/>
        <w:rPr>
          <w:rFonts w:hint="eastAsia"/>
          <w:color w:val="auto"/>
        </w:rPr>
      </w:pPr>
      <w:bookmarkStart w:id="0" w:name="_GoBack"/>
      <w:bookmarkEnd w:id="0"/>
    </w:p>
    <w:p w14:paraId="24B7C57E">
      <w:pPr>
        <w:pStyle w:val="7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Yue Ma*, Jia Dong, Maojiao L</w:t>
      </w:r>
      <w:r>
        <w:rPr>
          <w:rFonts w:hint="eastAsia" w:eastAsia="宋体"/>
          <w:color w:val="auto"/>
          <w:highlight w:val="none"/>
          <w:lang w:val="en-US" w:eastAsia="zh-CN"/>
        </w:rPr>
        <w:t>i</w:t>
      </w:r>
      <w:r>
        <w:rPr>
          <w:rFonts w:hint="eastAsia"/>
          <w:color w:val="auto"/>
          <w:highlight w:val="none"/>
        </w:rPr>
        <w:t xml:space="preserve">, Xinya Du, Zhengbin Yan,*, and Weidong Tian,* </w:t>
      </w:r>
    </w:p>
    <w:p w14:paraId="2344F8E8">
      <w:pPr>
        <w:pStyle w:val="10"/>
        <w:rPr>
          <w:color w:val="auto"/>
        </w:rPr>
      </w:pPr>
      <w:r>
        <w:rPr>
          <w:color w:val="auto"/>
          <w:highlight w:val="none"/>
        </w:rPr>
        <w:t>(</w:t>
      </w:r>
      <w:r>
        <w:rPr>
          <w:rFonts w:hint="eastAsia"/>
          <w:color w:val="auto"/>
          <w:highlight w:val="none"/>
        </w:rPr>
        <w:t>These authors contributed equally: Yue Ma</w:t>
      </w:r>
      <w:r>
        <w:rPr>
          <w:rFonts w:hint="eastAsia" w:eastAsia="宋体"/>
          <w:color w:val="auto"/>
          <w:highlight w:val="none"/>
          <w:lang w:val="en-US" w:eastAsia="zh-CN"/>
        </w:rPr>
        <w:t xml:space="preserve"> and</w:t>
      </w:r>
      <w:r>
        <w:rPr>
          <w:rFonts w:hint="eastAsia"/>
          <w:color w:val="auto"/>
          <w:highlight w:val="none"/>
        </w:rPr>
        <w:t xml:space="preserve"> Jia Dong.</w:t>
      </w:r>
      <w:r>
        <w:rPr>
          <w:color w:val="auto"/>
          <w:highlight w:val="none"/>
        </w:rPr>
        <w:t>)</w:t>
      </w:r>
    </w:p>
    <w:p w14:paraId="552AB5B6">
      <w:pPr>
        <w:keepNext w:val="0"/>
        <w:keepLines w:val="0"/>
        <w:widowControl/>
        <w:suppressLineNumbers w:val="0"/>
        <w:jc w:val="center"/>
      </w:pPr>
    </w:p>
    <w:p w14:paraId="0143581C">
      <w:pPr>
        <w:jc w:val="center"/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  <w:drawing>
          <wp:inline distT="0" distB="0" distL="114300" distR="114300">
            <wp:extent cx="2286635" cy="1524635"/>
            <wp:effectExtent l="0" t="0" r="12065" b="12065"/>
            <wp:docPr id="2" name="图片 2" descr="D:/！！实验数据/！2023-原始数据汇总/2023-微针/微针压缩测试/IMG_20240426-183638-372.bmpIMG_20240426-183638-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！！实验数据/！2023-原始数据汇总/2023-微针/微针压缩测试/IMG_20240426-183638-372.bmpIMG_20240426-183638-372"/>
                    <pic:cNvPicPr>
                      <a:picLocks noChangeAspect="1"/>
                    </pic:cNvPicPr>
                  </pic:nvPicPr>
                  <pic:blipFill>
                    <a:blip r:embed="rId4"/>
                    <a:srcRect t="5556" b="5556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7D9D">
      <w:pPr>
        <w:spacing w:line="240" w:lineRule="auto"/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24"/>
          <w:lang w:val="en-US" w:eastAsia="zh-CN"/>
        </w:rPr>
        <w:t>Supplementary Fig</w:t>
      </w:r>
      <w:r>
        <w:rPr>
          <w:rFonts w:hint="eastAsia" w:cs="Times New Roman"/>
          <w:b/>
          <w:bCs w:val="0"/>
          <w:sz w:val="24"/>
          <w:lang w:val="en-US" w:eastAsia="zh-CN"/>
        </w:rPr>
        <w:t>.</w:t>
      </w:r>
      <w:r>
        <w:rPr>
          <w:rFonts w:hint="default" w:ascii="Times New Roman" w:hAnsi="Times New Roman" w:cs="Times New Roman"/>
          <w:b/>
          <w:bCs w:val="0"/>
          <w:sz w:val="24"/>
          <w:lang w:val="en-US" w:eastAsia="zh-CN"/>
        </w:rPr>
        <w:t xml:space="preserve"> </w:t>
      </w:r>
      <w:r>
        <w:rPr>
          <w:rFonts w:hint="eastAsia" w:cs="Times New Roman"/>
          <w:b/>
          <w:bCs w:val="0"/>
          <w:sz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sz w:val="24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  <w:t xml:space="preserve">The general overview of the MNP axial compression experiment was observed after utilizing a universal machine. </w:t>
      </w:r>
    </w:p>
    <w:p w14:paraId="4A916A0A"/>
    <w:p w14:paraId="1FEE566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575435" cy="1575435"/>
            <wp:effectExtent l="0" t="0" r="12065" b="12065"/>
            <wp:docPr id="1" name="图片 1" descr="C:/Users/89287/Desktop/！202403-微针文章/微信图片_20240410170658.jpg微信图片_20240410170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89287/Desktop/！202403-微针文章/微信图片_20240410170658.jpg微信图片_20240410170658"/>
                    <pic:cNvPicPr>
                      <a:picLocks noChangeAspect="1"/>
                    </pic:cNvPicPr>
                  </pic:nvPicPr>
                  <pic:blipFill>
                    <a:blip r:embed="rId5"/>
                    <a:srcRect t="1" b="1"/>
                    <a:stretch>
                      <a:fillRect/>
                    </a:stretch>
                  </pic:blipFill>
                  <pic:spPr>
                    <a:xfrm>
                      <a:off x="0" y="0"/>
                      <a:ext cx="1575435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50C59">
      <w:pPr>
        <w:rPr>
          <w:rFonts w:hint="default" w:ascii="Times New Roman" w:hAnsi="Times New Roman" w:cs="Times New Roman"/>
          <w:b/>
          <w:bCs w:val="0"/>
          <w:sz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lang w:val="en-US" w:eastAsia="zh-CN"/>
        </w:rPr>
        <w:t>Supplementary</w:t>
      </w:r>
      <w:r>
        <w:rPr>
          <w:rFonts w:hint="eastAsia" w:ascii="Times New Roman" w:hAnsi="Times New Roman" w:cs="Times New Roman"/>
          <w:b/>
          <w:sz w:val="24"/>
          <w:lang w:val="en-US" w:eastAsia="zh-CN"/>
        </w:rPr>
        <w:t xml:space="preserve"> </w:t>
      </w:r>
      <w:r>
        <w:rPr>
          <w:rFonts w:hint="eastAsia" w:eastAsia="宋体" w:cs="Times New Roman"/>
          <w:b/>
          <w:sz w:val="24"/>
          <w:lang w:eastAsia="zh-CN"/>
        </w:rPr>
        <w:t>Fig</w:t>
      </w:r>
      <w:r>
        <w:rPr>
          <w:rFonts w:hint="eastAsia" w:eastAsia="宋体" w:cs="Times New Roman"/>
          <w:b/>
          <w:sz w:val="24"/>
          <w:lang w:val="en-US" w:eastAsia="zh-CN"/>
        </w:rPr>
        <w:t xml:space="preserve">. 2. </w:t>
      </w:r>
      <w:r>
        <w:rPr>
          <w:rFonts w:hint="eastAsia" w:eastAsia="宋体" w:cs="Times New Roman"/>
          <w:b w:val="0"/>
          <w:bCs/>
          <w:sz w:val="24"/>
          <w:lang w:val="en-US" w:eastAsia="zh-CN"/>
        </w:rPr>
        <w:t>Part of w</w:t>
      </w:r>
      <w:r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  <w:t>ound</w:t>
      </w:r>
      <w:r>
        <w:rPr>
          <w:rFonts w:hint="eastAsia" w:cs="Times New Roman"/>
          <w:b w:val="0"/>
          <w:bCs/>
          <w:sz w:val="24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  <w:t xml:space="preserve"> in the blank</w:t>
      </w:r>
      <w:r>
        <w:rPr>
          <w:rFonts w:hint="eastAsia" w:cs="Times New Roman"/>
          <w:b w:val="0"/>
          <w:bCs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lang w:val="en-US" w:eastAsia="zh-CN"/>
        </w:rPr>
        <w:t>group showed aggravated infection on day 4, even after routine disinfection.</w:t>
      </w:r>
    </w:p>
    <w:p w14:paraId="6740A940">
      <w:r>
        <w:br w:type="page"/>
      </w:r>
    </w:p>
    <w:p w14:paraId="450A2C32"/>
    <w:p w14:paraId="358E88B7">
      <w:pPr>
        <w:spacing w:line="240" w:lineRule="auto"/>
        <w:rPr>
          <w:rFonts w:hint="eastAsia" w:ascii="Times New Roman" w:hAnsi="Times New Roman" w:cs="Times New Roman"/>
          <w:b/>
          <w:bCs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24"/>
          <w:lang w:val="en-US" w:eastAsia="zh-CN"/>
        </w:rPr>
        <w:t>Table S1</w:t>
      </w:r>
      <w:r>
        <w:rPr>
          <w:rFonts w:hint="eastAsia" w:ascii="Times New Roman" w:hAnsi="Times New Roman" w:cs="Times New Roman"/>
          <w:b/>
          <w:bCs w:val="0"/>
          <w:sz w:val="24"/>
          <w:lang w:val="en-US" w:eastAsia="zh-CN"/>
        </w:rPr>
        <w:t>. Oligonucleotide primer sequences.</w:t>
      </w:r>
    </w:p>
    <w:p w14:paraId="6B8855D8">
      <w:pPr>
        <w:spacing w:line="240" w:lineRule="auto"/>
        <w:rPr>
          <w:rFonts w:hint="eastAsia" w:ascii="Times New Roman" w:hAnsi="Times New Roman" w:cs="Times New Roman"/>
          <w:b/>
          <w:bCs w:val="0"/>
          <w:sz w:val="24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6566"/>
      </w:tblGrid>
      <w:tr w14:paraId="0732D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1BCC48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Target</w:t>
            </w:r>
          </w:p>
          <w:p w14:paraId="17C3399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cDNA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0C69A1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Primer sequence (5 ' -- 3 ')</w:t>
            </w:r>
          </w:p>
        </w:tc>
      </w:tr>
      <w:tr w14:paraId="26957A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6E2C0BB7"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t>PPARγ2－F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77349722"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t>GACCACTCCCACTCCTTTGA</w:t>
            </w:r>
          </w:p>
        </w:tc>
      </w:tr>
      <w:tr w14:paraId="73E583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0B53A40E"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t>PPARγ2－R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6A06AFBB">
            <w:pPr>
              <w:widowControl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sz w:val="21"/>
                <w:szCs w:val="21"/>
              </w:rPr>
              <w:t>CAGGCTCCACTTTGATTGC</w:t>
            </w:r>
          </w:p>
        </w:tc>
      </w:tr>
      <w:tr w14:paraId="600560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62C14D59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C/EBPα-F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50293A8A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AGGTTTCCTGCCTCCTTCC</w:t>
            </w:r>
          </w:p>
        </w:tc>
      </w:tr>
      <w:tr w14:paraId="577BF7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2534C11D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C/EBPα-R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768C515C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CCCAAGTCCCTATGTTTCCA</w:t>
            </w:r>
          </w:p>
        </w:tc>
      </w:tr>
      <w:tr w14:paraId="2B0F0B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525ACE5C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Adiponectin-F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4C4B2E4E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CCCATTCGCTTTACCAAGAT</w:t>
            </w:r>
          </w:p>
        </w:tc>
      </w:tr>
      <w:tr w14:paraId="412D6F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3FED6369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Adiponectin-R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415B11C8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GGCTGACCTTCACATCCTTC</w:t>
            </w:r>
          </w:p>
        </w:tc>
      </w:tr>
      <w:tr w14:paraId="14AE62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1724AF23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FABP4-F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24CD73EE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CAGGAAAGTCAAGAGCACCA</w:t>
            </w:r>
          </w:p>
        </w:tc>
      </w:tr>
      <w:tr w14:paraId="0A03C0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56" w:type="dxa"/>
            <w:tcBorders>
              <w:tl2br w:val="nil"/>
              <w:tr2bl w:val="nil"/>
            </w:tcBorders>
            <w:vAlign w:val="center"/>
          </w:tcPr>
          <w:p w14:paraId="3F416269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FABP4-R</w:t>
            </w:r>
          </w:p>
        </w:tc>
        <w:tc>
          <w:tcPr>
            <w:tcW w:w="6566" w:type="dxa"/>
            <w:tcBorders>
              <w:tl2br w:val="nil"/>
              <w:tr2bl w:val="nil"/>
            </w:tcBorders>
            <w:vAlign w:val="center"/>
          </w:tcPr>
          <w:p w14:paraId="5C0AD76A">
            <w:pPr>
              <w:pStyle w:val="2"/>
              <w:widowControl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楷体" w:cs="Times New Roman"/>
                <w:spacing w:val="6"/>
                <w:sz w:val="21"/>
                <w:szCs w:val="21"/>
                <w:lang w:val="en-US" w:eastAsia="zh-CN" w:bidi="ar-SA"/>
                <w14:ligatures w14:val="none"/>
              </w:rPr>
            </w:pPr>
            <w:r>
              <w:rPr>
                <w:sz w:val="21"/>
                <w:szCs w:val="21"/>
              </w:rPr>
              <w:t>TCCACCACCAGTTTATCATCC</w:t>
            </w:r>
          </w:p>
        </w:tc>
      </w:tr>
    </w:tbl>
    <w:p w14:paraId="1B6AFE29">
      <w:pPr>
        <w:spacing w:line="240" w:lineRule="auto"/>
        <w:rPr>
          <w:rFonts w:hint="default" w:eastAsia="宋体"/>
          <w:color w:val="auto"/>
          <w:sz w:val="2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TUwN2NkNGNiZjJkMTk1MjYxZTVhYWU4NzIxMTIifQ=="/>
  </w:docVars>
  <w:rsids>
    <w:rsidRoot w:val="73C0664C"/>
    <w:rsid w:val="0146201B"/>
    <w:rsid w:val="09750994"/>
    <w:rsid w:val="0B005A40"/>
    <w:rsid w:val="11F10E80"/>
    <w:rsid w:val="18067684"/>
    <w:rsid w:val="20E552E5"/>
    <w:rsid w:val="387D4FF5"/>
    <w:rsid w:val="402E7EF4"/>
    <w:rsid w:val="51C842BA"/>
    <w:rsid w:val="5B4A0CEB"/>
    <w:rsid w:val="6ADF6538"/>
    <w:rsid w:val="73C0664C"/>
    <w:rsid w:val="76FF7AFA"/>
    <w:rsid w:val="79B874B2"/>
    <w:rsid w:val="7A311735"/>
    <w:rsid w:val="7AE52F30"/>
    <w:rsid w:val="E9AFF138"/>
    <w:rsid w:val="F9ABF4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sz w:val="24"/>
      <w:szCs w:val="24"/>
      <w:lang w:val="de-DE" w:eastAsia="ja-JP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napToGrid w:val="0"/>
      <w:spacing w:after="0" w:line="360" w:lineRule="auto"/>
      <w:ind w:firstLine="504" w:firstLineChars="200"/>
      <w:jc w:val="both"/>
    </w:pPr>
    <w:rPr>
      <w:rFonts w:ascii="Times New Roman" w:hAnsi="Times New Roman" w:eastAsia="楷体" w:cs="Times New Roman"/>
      <w:spacing w:val="6"/>
      <w:sz w:val="24"/>
      <w14:ligatures w14:val="none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itle2"/>
    <w:basedOn w:val="1"/>
    <w:qFormat/>
    <w:uiPriority w:val="0"/>
    <w:rPr>
      <w:b/>
      <w:lang w:val="en-US"/>
    </w:rPr>
  </w:style>
  <w:style w:type="paragraph" w:customStyle="1" w:styleId="7">
    <w:name w:val="Table of contents"/>
    <w:basedOn w:val="1"/>
    <w:qFormat/>
    <w:uiPriority w:val="0"/>
    <w:rPr>
      <w:lang w:val="en-US"/>
    </w:rPr>
  </w:style>
  <w:style w:type="paragraph" w:customStyle="1" w:styleId="8">
    <w:name w:val="Authors Full"/>
    <w:basedOn w:val="1"/>
    <w:qFormat/>
    <w:uiPriority w:val="0"/>
    <w:rPr>
      <w:i/>
      <w:lang w:val="en-US"/>
    </w:rPr>
  </w:style>
  <w:style w:type="paragraph" w:customStyle="1" w:styleId="9">
    <w:name w:val="Main text"/>
    <w:basedOn w:val="1"/>
    <w:qFormat/>
    <w:uiPriority w:val="0"/>
    <w:pPr>
      <w:spacing w:line="480" w:lineRule="auto"/>
    </w:pPr>
    <w:rPr>
      <w:lang w:val="en-US"/>
    </w:rPr>
  </w:style>
  <w:style w:type="paragraph" w:customStyle="1" w:styleId="10">
    <w:name w:val="Dedication"/>
    <w:basedOn w:val="1"/>
    <w:qFormat/>
    <w:uiPriority w:val="0"/>
    <w:rPr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</Words>
  <Characters>807</Characters>
  <Lines>0</Lines>
  <Paragraphs>0</Paragraphs>
  <TotalTime>7</TotalTime>
  <ScaleCrop>false</ScaleCrop>
  <LinksUpToDate>false</LinksUpToDate>
  <CharactersWithSpaces>899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2022-08-08T14:16:00Z</dcterms:created>
  <dc:creator>马悦</dc:creator>
  <cp:lastModifiedBy>马悦</cp:lastModifiedBy>
  <dcterms:modified xsi:type="dcterms:W3CDTF">2024-07-27T17:20:00Z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917CA89B0BCC4E6C978CE51308A83BE1_13</vt:lpwstr>
  </property>
</Properties>
</file>