
<file path=[Content_Types].xml><?xml version="1.0" encoding="utf-8"?>
<Types xmlns="http://schemas.openxmlformats.org/package/2006/content-types">
  <Default Extension="tiff" ContentType="image/tiff"/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68D9A">
      <w:pPr>
        <w:spacing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Supplementary information</w:t>
      </w:r>
    </w:p>
    <w:p w14:paraId="6F0BA586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0" w:name="_Hlk177326924"/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Curcumin/pEGCG-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e</w:t>
      </w: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ncapsulated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n</w:t>
      </w: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anoparticles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e</w:t>
      </w: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nhance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pinal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ord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i</w:t>
      </w: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njury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r</w:t>
      </w: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ecovery by </w:t>
      </w:r>
      <w:bookmarkStart w:id="1" w:name="_Hlk177488113"/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regulating</w:t>
      </w:r>
      <w:bookmarkEnd w:id="1"/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CD74 to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lleviate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o</w:t>
      </w: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xidative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tress and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i</w:t>
      </w: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nflammation</w:t>
      </w:r>
    </w:p>
    <w:bookmarkEnd w:id="0"/>
    <w:p w14:paraId="0D0F12AB">
      <w:pPr>
        <w:spacing w:line="360" w:lineRule="auto"/>
        <w:rPr>
          <w:rFonts w:ascii="Times New Roman" w:hAnsi="Times New Roman" w:cs="Times New Roman"/>
          <w:b/>
          <w:bCs/>
          <w:sz w:val="30"/>
          <w:szCs w:val="30"/>
        </w:rPr>
      </w:pPr>
      <w:bookmarkStart w:id="6" w:name="_GoBack"/>
      <w:bookmarkEnd w:id="6"/>
    </w:p>
    <w:p w14:paraId="164BDD86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Tianjun Chen</w:t>
      </w:r>
      <w:r>
        <w:rPr>
          <w:rFonts w:hint="eastAsia" w:ascii="Times New Roman" w:hAnsi="Times New Roman" w:cs="Times New Roman"/>
          <w:szCs w:val="21"/>
          <w:vertAlign w:val="superscript"/>
        </w:rPr>
        <w:t>1</w:t>
      </w:r>
      <w:r>
        <w:rPr>
          <w:vertAlign w:val="superscript"/>
        </w:rPr>
        <w:t>†</w:t>
      </w:r>
      <w:r>
        <w:rPr>
          <w:rFonts w:hint="eastAsia" w:ascii="Times New Roman" w:hAnsi="Times New Roman" w:cs="Times New Roman"/>
          <w:szCs w:val="21"/>
        </w:rPr>
        <w:t>, Li Wan</w:t>
      </w:r>
      <w:r>
        <w:rPr>
          <w:rFonts w:hint="eastAsia" w:ascii="Times New Roman" w:hAnsi="Times New Roman" w:cs="Times New Roman"/>
          <w:szCs w:val="21"/>
          <w:vertAlign w:val="superscript"/>
        </w:rPr>
        <w:t>1</w:t>
      </w:r>
      <w:r>
        <w:rPr>
          <w:vertAlign w:val="superscript"/>
        </w:rPr>
        <w:t>†</w:t>
      </w:r>
      <w:r>
        <w:rPr>
          <w:rFonts w:hint="eastAsia" w:ascii="Times New Roman" w:hAnsi="Times New Roman" w:cs="Times New Roman"/>
          <w:szCs w:val="21"/>
        </w:rPr>
        <w:t>, Yongchun Xiao</w:t>
      </w:r>
      <w:r>
        <w:rPr>
          <w:rFonts w:hint="eastAsia" w:ascii="Times New Roman" w:hAnsi="Times New Roman" w:cs="Times New Roman"/>
          <w:szCs w:val="21"/>
          <w:vertAlign w:val="superscript"/>
        </w:rPr>
        <w:t>1</w:t>
      </w:r>
      <w:r>
        <w:rPr>
          <w:vertAlign w:val="superscript"/>
        </w:rPr>
        <w:t>†</w:t>
      </w:r>
      <w:r>
        <w:rPr>
          <w:rFonts w:hint="eastAsia" w:ascii="Times New Roman" w:hAnsi="Times New Roman" w:cs="Times New Roman"/>
          <w:szCs w:val="21"/>
        </w:rPr>
        <w:t>, Ke Wang</w:t>
      </w:r>
      <w:r>
        <w:rPr>
          <w:rFonts w:hint="eastAsia" w:ascii="Times New Roman" w:hAnsi="Times New Roman" w:cs="Times New Roman"/>
          <w:szCs w:val="21"/>
          <w:vertAlign w:val="superscript"/>
        </w:rPr>
        <w:t>1</w:t>
      </w:r>
      <w:r>
        <w:rPr>
          <w:rFonts w:hint="eastAsia" w:ascii="Times New Roman" w:hAnsi="Times New Roman" w:cs="Times New Roman"/>
          <w:szCs w:val="21"/>
        </w:rPr>
        <w:t>, Ping Wu</w:t>
      </w:r>
      <w:r>
        <w:rPr>
          <w:rFonts w:hint="eastAsia" w:ascii="Times New Roman" w:hAnsi="Times New Roman" w:cs="Times New Roman"/>
          <w:szCs w:val="21"/>
          <w:vertAlign w:val="superscript"/>
        </w:rPr>
        <w:t>1</w:t>
      </w:r>
      <w:r>
        <w:rPr>
          <w:rFonts w:hint="eastAsia" w:ascii="Times New Roman" w:hAnsi="Times New Roman" w:cs="Times New Roman"/>
          <w:szCs w:val="21"/>
        </w:rPr>
        <w:t>, Can Li</w:t>
      </w:r>
      <w:r>
        <w:rPr>
          <w:rFonts w:hint="eastAsia" w:ascii="Times New Roman" w:hAnsi="Times New Roman" w:cs="Times New Roman"/>
          <w:szCs w:val="21"/>
          <w:vertAlign w:val="superscript"/>
        </w:rPr>
        <w:t>2</w:t>
      </w:r>
      <w:r>
        <w:rPr>
          <w:rFonts w:hint="eastAsia" w:ascii="Times New Roman" w:hAnsi="Times New Roman" w:cs="Times New Roman"/>
          <w:szCs w:val="21"/>
        </w:rPr>
        <w:t>, Caiqiang Huang</w:t>
      </w:r>
      <w:r>
        <w:rPr>
          <w:rFonts w:hint="eastAsia" w:ascii="Times New Roman" w:hAnsi="Times New Roman" w:cs="Times New Roman"/>
          <w:szCs w:val="21"/>
          <w:vertAlign w:val="superscript"/>
        </w:rPr>
        <w:t>1</w:t>
      </w:r>
      <w:r>
        <w:rPr>
          <w:rFonts w:hint="eastAsia" w:ascii="Times New Roman" w:hAnsi="Times New Roman" w:cs="Times New Roman"/>
          <w:szCs w:val="21"/>
        </w:rPr>
        <w:t>, Xiangge Liu</w:t>
      </w:r>
      <w:r>
        <w:rPr>
          <w:rFonts w:hint="eastAsia" w:ascii="Times New Roman" w:hAnsi="Times New Roman" w:cs="Times New Roman"/>
          <w:szCs w:val="21"/>
          <w:vertAlign w:val="superscript"/>
        </w:rPr>
        <w:t>1</w:t>
      </w:r>
      <w:r>
        <w:rPr>
          <w:rFonts w:hint="eastAsia" w:ascii="Times New Roman" w:hAnsi="Times New Roman" w:cs="Times New Roman"/>
          <w:szCs w:val="21"/>
        </w:rPr>
        <w:t>, Wei Xue</w:t>
      </w:r>
      <w:r>
        <w:rPr>
          <w:rFonts w:hint="eastAsia" w:ascii="Times New Roman" w:hAnsi="Times New Roman" w:cs="Times New Roman"/>
          <w:szCs w:val="21"/>
          <w:vertAlign w:val="superscript"/>
        </w:rPr>
        <w:t>2</w:t>
      </w:r>
      <w:r>
        <w:rPr>
          <w:rFonts w:hint="eastAsia" w:ascii="Times New Roman" w:hAnsi="Times New Roman" w:cs="Times New Roman"/>
          <w:szCs w:val="21"/>
        </w:rPr>
        <w:t>, Guodong Sun</w:t>
      </w:r>
      <w:r>
        <w:rPr>
          <w:rFonts w:hint="eastAsia" w:ascii="Times New Roman" w:hAnsi="Times New Roman" w:cs="Times New Roman"/>
          <w:szCs w:val="21"/>
          <w:vertAlign w:val="superscript"/>
        </w:rPr>
        <w:t>3</w:t>
      </w:r>
      <w:r>
        <w:rPr>
          <w:rFonts w:hint="eastAsia" w:ascii="Times New Roman" w:hAnsi="Times New Roman" w:cs="Times New Roman"/>
          <w:szCs w:val="21"/>
        </w:rPr>
        <w:t>, Xin Ji</w:t>
      </w:r>
      <w:r>
        <w:rPr>
          <w:rFonts w:hint="eastAsia" w:ascii="Times New Roman" w:hAnsi="Times New Roman" w:cs="Times New Roman"/>
          <w:szCs w:val="21"/>
          <w:vertAlign w:val="superscript"/>
        </w:rPr>
        <w:t>2*</w:t>
      </w:r>
      <w:r>
        <w:rPr>
          <w:rFonts w:hint="eastAsia" w:ascii="Times New Roman" w:hAnsi="Times New Roman" w:cs="Times New Roman"/>
          <w:szCs w:val="21"/>
        </w:rPr>
        <w:t>, Hongsheng Lin</w:t>
      </w:r>
      <w:r>
        <w:rPr>
          <w:rFonts w:hint="eastAsia" w:ascii="Times New Roman" w:hAnsi="Times New Roman" w:cs="Times New Roman"/>
          <w:szCs w:val="21"/>
          <w:vertAlign w:val="superscript"/>
        </w:rPr>
        <w:t>1*</w:t>
      </w:r>
      <w:r>
        <w:rPr>
          <w:rFonts w:hint="eastAsia" w:ascii="Times New Roman" w:hAnsi="Times New Roman" w:cs="Times New Roman"/>
          <w:szCs w:val="21"/>
        </w:rPr>
        <w:t>, Zhisheng Ji</w:t>
      </w:r>
      <w:r>
        <w:rPr>
          <w:rFonts w:hint="eastAsia" w:ascii="Times New Roman" w:hAnsi="Times New Roman" w:cs="Times New Roman"/>
          <w:szCs w:val="21"/>
          <w:vertAlign w:val="superscript"/>
        </w:rPr>
        <w:t>1*</w:t>
      </w:r>
    </w:p>
    <w:p w14:paraId="777E2861">
      <w:pPr>
        <w:spacing w:line="360" w:lineRule="auto"/>
        <w:rPr>
          <w:rFonts w:ascii="Times New Roman" w:hAnsi="Times New Roman" w:cs="Times New Roman"/>
          <w:szCs w:val="21"/>
        </w:rPr>
      </w:pPr>
    </w:p>
    <w:p w14:paraId="3DE0151D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 xml:space="preserve"> Department of Orthopedics, The First Afffliated Hospital, Jinan University, Guangzhou, Guangdong, 510632, China</w:t>
      </w:r>
    </w:p>
    <w:p w14:paraId="5896C762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  <w:vertAlign w:val="superscript"/>
        </w:rPr>
        <w:t>2</w:t>
      </w:r>
      <w:r>
        <w:rPr>
          <w:rFonts w:ascii="Times New Roman" w:hAnsi="Times New Roman" w:cs="Times New Roman"/>
          <w:szCs w:val="21"/>
        </w:rPr>
        <w:t xml:space="preserve"> Key Laboratory of Biomaterials of Guangdong Higher Education Institutes, Engineering Technology Research Center of Drug Carrier of Guangdong, Department of Biomedical Engineering, Jinan University, Guangzhou, 510632, China</w:t>
      </w:r>
    </w:p>
    <w:p w14:paraId="2B6BF03E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  <w:vertAlign w:val="superscript"/>
        </w:rPr>
        <w:t>3</w:t>
      </w:r>
      <w:r>
        <w:rPr>
          <w:rFonts w:ascii="Times New Roman" w:hAnsi="Times New Roman" w:cs="Times New Roman"/>
          <w:szCs w:val="21"/>
        </w:rPr>
        <w:t xml:space="preserve"> The First Affiliated Hospital of Jinan University</w:t>
      </w:r>
      <w:r>
        <w:rPr>
          <w:rFonts w:hint="eastAsia" w:ascii="Times New Roman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  <w:szCs w:val="21"/>
        </w:rPr>
        <w:t>Guangzhou 510630, China; Guandgong Provincial Key Laboratory of Spine and Spinal Cord Reconstruction</w:t>
      </w:r>
      <w:r>
        <w:rPr>
          <w:rFonts w:hint="eastAsia" w:ascii="Times New Roman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  <w:szCs w:val="21"/>
        </w:rPr>
        <w:t>The Fifth Affiliated Hospital (Heyuan Shenhe People's Hospital), Jinan University Heyuan 517000, China</w:t>
      </w:r>
    </w:p>
    <w:p w14:paraId="66EC34BE">
      <w:pPr>
        <w:spacing w:line="360" w:lineRule="auto"/>
        <w:rPr>
          <w:rFonts w:ascii="Times New Roman" w:hAnsi="Times New Roman" w:cs="Times New Roman"/>
          <w:szCs w:val="21"/>
        </w:rPr>
      </w:pPr>
    </w:p>
    <w:p w14:paraId="0EB03C09">
      <w:pPr>
        <w:widowControl/>
        <w:rPr>
          <w:rFonts w:ascii="Times New Roman" w:hAnsi="Times New Roman" w:cs="Times New Roman"/>
          <w:szCs w:val="21"/>
        </w:rPr>
      </w:pPr>
      <w:r>
        <w:rPr>
          <w:vertAlign w:val="superscript"/>
        </w:rPr>
        <w:t>†</w:t>
      </w:r>
      <w:r>
        <w:rPr>
          <w:rFonts w:hint="eastAsia"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These authors contributed equally.</w:t>
      </w:r>
    </w:p>
    <w:p w14:paraId="19FBE509">
      <w:pPr>
        <w:widowControl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vertAlign w:val="superscript"/>
        </w:rPr>
        <w:t>*</w:t>
      </w:r>
      <w:r>
        <w:rPr>
          <w:rFonts w:ascii="Times New Roman" w:hAnsi="Times New Roman" w:cs="Times New Roman"/>
          <w:szCs w:val="21"/>
        </w:rPr>
        <w:t xml:space="preserve"> Corresponding to: </w:t>
      </w:r>
    </w:p>
    <w:p w14:paraId="6F8E53D9">
      <w:pPr>
        <w:widowControl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Zhisheng Ji (tzhishengji@jnu.edu.cn) </w:t>
      </w:r>
    </w:p>
    <w:p w14:paraId="423393E8">
      <w:pPr>
        <w:widowControl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Hongsheng Lin (</w:t>
      </w:r>
      <w:bookmarkStart w:id="2" w:name="_Hlk140349538"/>
      <w:bookmarkEnd w:id="2"/>
      <w:bookmarkStart w:id="3" w:name="OLE_LINK51"/>
      <w:r>
        <w:rPr>
          <w:rFonts w:ascii="Times New Roman" w:hAnsi="Times New Roman" w:cs="Times New Roman"/>
          <w:szCs w:val="21"/>
        </w:rPr>
        <w:fldChar w:fldCharType="begin"/>
      </w:r>
      <w:r>
        <w:rPr>
          <w:rFonts w:ascii="Times New Roman" w:hAnsi="Times New Roman" w:cs="Times New Roman"/>
          <w:szCs w:val="21"/>
        </w:rPr>
        <w:instrText xml:space="preserve">HYPERLINK "mailto:tlinhsh@jnu.edu.cn"</w:instrText>
      </w:r>
      <w:r>
        <w:rPr>
          <w:rFonts w:ascii="Times New Roman" w:hAnsi="Times New Roman" w:cs="Times New Roman"/>
          <w:szCs w:val="21"/>
        </w:rPr>
        <w:fldChar w:fldCharType="separate"/>
      </w:r>
      <w:r>
        <w:rPr>
          <w:rFonts w:ascii="Times New Roman" w:hAnsi="Times New Roman" w:cs="Times New Roman"/>
          <w:szCs w:val="21"/>
        </w:rPr>
        <w:t>tlinhsh@jnu.edu.cn</w:t>
      </w:r>
      <w:r>
        <w:rPr>
          <w:rFonts w:ascii="Times New Roman" w:hAnsi="Times New Roman" w:cs="Times New Roman"/>
          <w:szCs w:val="21"/>
        </w:rPr>
        <w:fldChar w:fldCharType="end"/>
      </w:r>
      <w:bookmarkEnd w:id="3"/>
      <w:r>
        <w:rPr>
          <w:rFonts w:ascii="Times New Roman" w:hAnsi="Times New Roman" w:cs="Times New Roman"/>
          <w:szCs w:val="21"/>
        </w:rPr>
        <w:t>)</w:t>
      </w:r>
    </w:p>
    <w:p w14:paraId="4FBE10A9">
      <w:pPr>
        <w:widowControl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Xin Ji</w:t>
      </w:r>
      <w:r>
        <w:rPr>
          <w:rFonts w:ascii="Times New Roman" w:hAnsi="Times New Roman" w:cs="Times New Roman"/>
          <w:szCs w:val="21"/>
        </w:rPr>
        <w:t xml:space="preserve"> (</w:t>
      </w:r>
      <w:bookmarkStart w:id="4" w:name="OLE_LINK55"/>
      <w:r>
        <w:rPr>
          <w:rFonts w:ascii="Times New Roman" w:hAnsi="Times New Roman" w:cs="Times New Roman"/>
          <w:szCs w:val="21"/>
        </w:rPr>
        <w:t>jixin@jnu.edu.cn</w:t>
      </w:r>
      <w:bookmarkEnd w:id="4"/>
      <w:r>
        <w:rPr>
          <w:rFonts w:ascii="Times New Roman" w:hAnsi="Times New Roman" w:cs="Times New Roman"/>
          <w:szCs w:val="21"/>
        </w:rPr>
        <w:t>)</w:t>
      </w:r>
    </w:p>
    <w:p w14:paraId="4991F404">
      <w:pPr>
        <w:spacing w:line="36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7F4B285F">
      <w:pPr>
        <w:spacing w:line="36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0158CC70">
      <w:pPr>
        <w:spacing w:line="36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46A784FB">
      <w:pPr>
        <w:spacing w:line="36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23A5760A">
      <w:pPr>
        <w:spacing w:line="36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hint="eastAsia" w:ascii="Times New Roman" w:hAnsi="Times New Roman" w:cs="Times New Roman"/>
          <w:b/>
          <w:bCs/>
          <w:sz w:val="30"/>
          <w:szCs w:val="30"/>
        </w:rPr>
        <w:drawing>
          <wp:inline distT="0" distB="0" distL="114300" distR="114300">
            <wp:extent cx="5267960" cy="4251960"/>
            <wp:effectExtent l="0" t="0" r="8890" b="15240"/>
            <wp:docPr id="2" name="图片 2" descr="化学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化学式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E2F4F">
      <w:pPr>
        <w:spacing w:line="360" w:lineRule="auto"/>
        <w:rPr>
          <w:rFonts w:ascii="Times New Roman" w:hAnsi="Times New Roman" w:eastAsia="宋体" w:cs="Times New Roman"/>
          <w:sz w:val="24"/>
          <w:szCs w:val="24"/>
          <w14:ligatures w14:val="none"/>
        </w:rPr>
      </w:pPr>
      <w:r>
        <w:rPr>
          <w:rFonts w:ascii="Times New Roman" w:hAnsi="Times New Roman" w:eastAsia="宋体"/>
          <w:sz w:val="24"/>
          <w:szCs w:val="24"/>
        </w:rPr>
        <w:t>Fig</w:t>
      </w:r>
      <w:r>
        <w:rPr>
          <w:rFonts w:hint="eastAsia" w:ascii="Times New Roman" w:hAnsi="Times New Roman" w:eastAsia="宋体"/>
          <w:sz w:val="24"/>
          <w:szCs w:val="24"/>
        </w:rPr>
        <w:t>.</w:t>
      </w:r>
      <w:r>
        <w:rPr>
          <w:rFonts w:ascii="Times New Roman" w:hAnsi="Times New Roman" w:eastAsia="宋体"/>
          <w:sz w:val="24"/>
          <w:szCs w:val="24"/>
        </w:rPr>
        <w:t xml:space="preserve"> </w:t>
      </w:r>
      <w:r>
        <w:rPr>
          <w:rFonts w:hint="eastAsia" w:ascii="Times New Roman" w:hAnsi="Times New Roman" w:eastAsia="宋体"/>
          <w:sz w:val="24"/>
          <w:szCs w:val="24"/>
        </w:rPr>
        <w:t>S1.</w:t>
      </w:r>
      <w:r>
        <w:rPr>
          <w:rFonts w:ascii="Times New Roman" w:hAnsi="Times New Roman" w:eastAsia="宋体"/>
          <w:sz w:val="24"/>
          <w:szCs w:val="24"/>
        </w:rPr>
        <w:t xml:space="preserve"> Synthetic route of </w:t>
      </w:r>
      <w:r>
        <w:rPr>
          <w:rFonts w:hint="eastAsia" w:ascii="Times New Roman" w:hAnsi="Times New Roman" w:eastAsia="宋体"/>
          <w:sz w:val="24"/>
          <w:szCs w:val="24"/>
        </w:rPr>
        <w:t>pEGCG.</w:t>
      </w:r>
    </w:p>
    <w:p w14:paraId="3E599CBA">
      <w:pPr>
        <w:spacing w:line="360" w:lineRule="auto"/>
        <w:jc w:val="center"/>
        <w:rPr>
          <w:rFonts w:hint="eastAsia"/>
        </w:rPr>
      </w:pPr>
      <w:r>
        <w:rPr>
          <w14:ligatures w14:val="none"/>
        </w:rPr>
        <w:drawing>
          <wp:inline distT="0" distB="0" distL="0" distR="0">
            <wp:extent cx="5059680" cy="3048000"/>
            <wp:effectExtent l="0" t="0" r="0" b="0"/>
            <wp:docPr id="12908628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862870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68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E59CC">
      <w:pPr>
        <w:spacing w:line="360" w:lineRule="auto"/>
        <w:rPr>
          <w:rFonts w:ascii="Times New Roman" w:hAnsi="Times New Roman" w:eastAsia="等线" w:cs="Times New Roman"/>
          <w:sz w:val="24"/>
          <w:szCs w:val="24"/>
          <w14:ligatures w14:val="none"/>
        </w:rPr>
      </w:pPr>
      <w:r>
        <w:rPr>
          <w:rFonts w:hint="eastAsia" w:ascii="Times New Roman" w:hAnsi="Times New Roman" w:eastAsia="宋体"/>
          <w:sz w:val="24"/>
          <w:szCs w:val="24"/>
        </w:rPr>
        <w:t>Fig. S2.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H NMR spectra of </w:t>
      </w:r>
      <w:r>
        <w:rPr>
          <w:rFonts w:hint="eastAsia"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EGCG (top) and </w:t>
      </w:r>
      <w:r>
        <w:rPr>
          <w:rFonts w:hint="eastAsia" w:ascii="Times New Roman" w:hAnsi="Times New Roman"/>
          <w:sz w:val="24"/>
          <w:szCs w:val="24"/>
        </w:rPr>
        <w:t>EGCG</w:t>
      </w:r>
      <w:r>
        <w:rPr>
          <w:rFonts w:ascii="Times New Roman" w:hAnsi="Times New Roman"/>
          <w:sz w:val="24"/>
          <w:szCs w:val="24"/>
        </w:rPr>
        <w:t xml:space="preserve"> (bottom). Both spectra were recorded in DMSO-</w:t>
      </w:r>
      <w:r>
        <w:rPr>
          <w:rFonts w:ascii="Times New Roman" w:hAnsi="Times New Roman"/>
          <w:i/>
          <w:iCs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  <w:vertAlign w:val="subscript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327B2DE">
      <w:pPr>
        <w:spacing w:line="360" w:lineRule="auto"/>
        <w:rPr>
          <w:rFonts w:ascii="Times New Roman" w:hAnsi="Times New Roman" w:eastAsia="宋体"/>
          <w:sz w:val="24"/>
          <w:szCs w:val="24"/>
        </w:rPr>
      </w:pPr>
    </w:p>
    <w:p w14:paraId="25059444">
      <w:pPr>
        <w:spacing w:line="360" w:lineRule="auto"/>
        <w:rPr>
          <w:rFonts w:ascii="Times New Roman" w:hAnsi="Times New Roman" w:eastAsia="宋体"/>
          <w:sz w:val="24"/>
          <w:szCs w:val="24"/>
        </w:rPr>
      </w:pPr>
    </w:p>
    <w:p w14:paraId="6215AF39">
      <w:pPr>
        <w:spacing w:line="360" w:lineRule="auto"/>
        <w:jc w:val="center"/>
        <w:rPr>
          <w:rFonts w:hint="eastAsia"/>
        </w:rPr>
      </w:pPr>
      <w:r>
        <w:rPr>
          <w14:ligatures w14:val="none"/>
        </w:rPr>
        <w:drawing>
          <wp:inline distT="0" distB="0" distL="0" distR="0">
            <wp:extent cx="4806950" cy="2465705"/>
            <wp:effectExtent l="0" t="0" r="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rcRect t="5058"/>
                    <a:stretch>
                      <a:fillRect/>
                    </a:stretch>
                  </pic:blipFill>
                  <pic:spPr>
                    <a:xfrm>
                      <a:off x="0" y="0"/>
                      <a:ext cx="4807488" cy="24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0093A">
      <w:pPr>
        <w:spacing w:line="360" w:lineRule="auto"/>
        <w:rPr>
          <w:rFonts w:ascii="Times New Roman" w:hAnsi="Times New Roman" w:eastAsia="等线" w:cs="Times New Roman"/>
          <w:sz w:val="24"/>
          <w:szCs w:val="24"/>
          <w14:ligatures w14:val="none"/>
        </w:rPr>
      </w:pPr>
      <w:r>
        <w:rPr>
          <w:rFonts w:hint="eastAsia" w:ascii="Times New Roman" w:hAnsi="Times New Roman" w:eastAsia="宋体"/>
          <w:sz w:val="24"/>
          <w:szCs w:val="24"/>
        </w:rPr>
        <w:t xml:space="preserve">Fig. S3. </w:t>
      </w:r>
      <w:r>
        <w:rPr>
          <w:rFonts w:ascii="Times New Roman" w:hAnsi="Times New Roman"/>
          <w:sz w:val="24"/>
          <w:szCs w:val="24"/>
        </w:rPr>
        <w:t>ESI-MS spectrum of pEGCG</w:t>
      </w:r>
      <w:r>
        <w:rPr>
          <w:rFonts w:hint="eastAsia" w:ascii="Times New Roman" w:hAnsi="Times New Roman"/>
          <w:sz w:val="24"/>
          <w:szCs w:val="24"/>
        </w:rPr>
        <w:t xml:space="preserve">. </w:t>
      </w:r>
    </w:p>
    <w:p w14:paraId="379EE903">
      <w:pPr>
        <w:spacing w:line="360" w:lineRule="auto"/>
        <w:rPr>
          <w:rFonts w:hint="eastAsia"/>
        </w:rPr>
      </w:pPr>
    </w:p>
    <w:p w14:paraId="665DE424">
      <w:pPr>
        <w:spacing w:line="360" w:lineRule="auto"/>
        <w:rPr>
          <w:rFonts w:hint="eastAsia"/>
        </w:rPr>
      </w:pPr>
      <w:r>
        <w:rPr>
          <w14:ligatures w14:val="none"/>
        </w:rPr>
        <w:drawing>
          <wp:inline distT="0" distB="0" distL="0" distR="0">
            <wp:extent cx="5274310" cy="1579880"/>
            <wp:effectExtent l="0" t="0" r="0" b="0"/>
            <wp:docPr id="12784990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499085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620EE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</w:rPr>
        <w:t xml:space="preserve">Fig. S4. The scavenging effect of Cur, CurNPs, and HA-CurNPs on DPPH. </w:t>
      </w:r>
      <w:r>
        <w:rPr>
          <w:rFonts w:hint="eastAsia" w:ascii="Times New Roman" w:hAnsi="Times New Roman" w:eastAsia="宋体"/>
          <w:sz w:val="24"/>
          <w:szCs w:val="24"/>
        </w:rPr>
        <w:t>(A</w:t>
      </w:r>
      <w:r>
        <w:rPr>
          <w:rFonts w:ascii="Times New Roman" w:hAnsi="Times New Roman" w:eastAsia="宋体"/>
          <w:sz w:val="24"/>
          <w:szCs w:val="24"/>
        </w:rPr>
        <w:t xml:space="preserve">) Scavenging ability of </w:t>
      </w:r>
      <w:r>
        <w:rPr>
          <w:rFonts w:hint="eastAsia" w:ascii="Times New Roman" w:hAnsi="Times New Roman" w:eastAsia="宋体"/>
          <w:sz w:val="24"/>
          <w:szCs w:val="24"/>
        </w:rPr>
        <w:t>Cur</w:t>
      </w:r>
      <w:r>
        <w:rPr>
          <w:rFonts w:ascii="Times New Roman" w:hAnsi="Times New Roman" w:eastAsia="宋体"/>
          <w:sz w:val="24"/>
          <w:szCs w:val="24"/>
        </w:rPr>
        <w:t xml:space="preserve"> against reactive oxygen species measured at different concentrations and times through the </w:t>
      </w:r>
      <w:r>
        <w:rPr>
          <w:rFonts w:hint="eastAsia" w:ascii="Times New Roman" w:hAnsi="Times New Roman" w:eastAsia="宋体"/>
          <w:sz w:val="24"/>
          <w:szCs w:val="24"/>
        </w:rPr>
        <w:t>DPPH</w:t>
      </w:r>
      <w:r>
        <w:rPr>
          <w:rFonts w:ascii="Times New Roman" w:hAnsi="Times New Roman" w:eastAsia="宋体"/>
          <w:sz w:val="24"/>
          <w:szCs w:val="24"/>
        </w:rPr>
        <w:t xml:space="preserve"> radical scavenging assay.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 w:eastAsia="宋体"/>
          <w:sz w:val="24"/>
          <w:szCs w:val="24"/>
        </w:rPr>
        <w:t>(</w:t>
      </w:r>
      <w:r>
        <w:rPr>
          <w:rFonts w:hint="eastAsia" w:ascii="Times New Roman" w:hAnsi="Times New Roman" w:eastAsia="宋体"/>
          <w:sz w:val="24"/>
          <w:szCs w:val="24"/>
        </w:rPr>
        <w:t>B</w:t>
      </w:r>
      <w:r>
        <w:rPr>
          <w:rFonts w:ascii="Times New Roman" w:hAnsi="Times New Roman" w:eastAsia="宋体"/>
          <w:sz w:val="24"/>
          <w:szCs w:val="24"/>
        </w:rPr>
        <w:t>) Scavenging ability of Cur</w:t>
      </w:r>
      <w:r>
        <w:rPr>
          <w:rFonts w:hint="eastAsia" w:ascii="Times New Roman" w:hAnsi="Times New Roman" w:eastAsia="宋体"/>
          <w:sz w:val="24"/>
          <w:szCs w:val="24"/>
        </w:rPr>
        <w:t>NPs</w:t>
      </w:r>
      <w:r>
        <w:rPr>
          <w:rFonts w:ascii="Times New Roman" w:hAnsi="Times New Roman" w:eastAsia="宋体"/>
          <w:sz w:val="24"/>
          <w:szCs w:val="24"/>
        </w:rPr>
        <w:t xml:space="preserve"> against reactive oxygen species measured at different concentrations and times through the </w:t>
      </w:r>
      <w:r>
        <w:rPr>
          <w:rFonts w:hint="eastAsia" w:ascii="Times New Roman" w:hAnsi="Times New Roman" w:eastAsia="宋体"/>
          <w:sz w:val="24"/>
          <w:szCs w:val="24"/>
        </w:rPr>
        <w:t>DPPH</w:t>
      </w:r>
      <w:r>
        <w:rPr>
          <w:rFonts w:ascii="Times New Roman" w:hAnsi="Times New Roman" w:eastAsia="宋体"/>
          <w:sz w:val="24"/>
          <w:szCs w:val="24"/>
        </w:rPr>
        <w:t xml:space="preserve"> radical scavenging assay.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 w:eastAsia="宋体"/>
          <w:sz w:val="24"/>
          <w:szCs w:val="24"/>
        </w:rPr>
        <w:t>(</w:t>
      </w:r>
      <w:r>
        <w:rPr>
          <w:rFonts w:hint="eastAsia" w:ascii="Times New Roman" w:hAnsi="Times New Roman" w:eastAsia="宋体"/>
          <w:sz w:val="24"/>
          <w:szCs w:val="24"/>
        </w:rPr>
        <w:t>C</w:t>
      </w:r>
      <w:r>
        <w:rPr>
          <w:rFonts w:ascii="Times New Roman" w:hAnsi="Times New Roman" w:eastAsia="宋体"/>
          <w:sz w:val="24"/>
          <w:szCs w:val="24"/>
        </w:rPr>
        <w:t xml:space="preserve">) Scavenging ability of HA-CurNPs against reactive oxygen species measured at different concentrations and times through the </w:t>
      </w:r>
      <w:r>
        <w:rPr>
          <w:rFonts w:hint="eastAsia" w:ascii="Times New Roman" w:hAnsi="Times New Roman" w:eastAsia="宋体"/>
          <w:sz w:val="24"/>
          <w:szCs w:val="24"/>
        </w:rPr>
        <w:t>DPPH</w:t>
      </w:r>
      <w:r>
        <w:rPr>
          <w:rFonts w:ascii="Times New Roman" w:hAnsi="Times New Roman" w:eastAsia="宋体"/>
          <w:sz w:val="24"/>
          <w:szCs w:val="24"/>
        </w:rPr>
        <w:t xml:space="preserve"> radical scavenging assay.</w:t>
      </w:r>
    </w:p>
    <w:p w14:paraId="752A1ADB">
      <w:pPr>
        <w:spacing w:line="360" w:lineRule="auto"/>
        <w:rPr>
          <w:rFonts w:ascii="Times New Roman" w:hAnsi="Times New Roman" w:eastAsia="宋体"/>
          <w:sz w:val="24"/>
          <w:szCs w:val="24"/>
        </w:rPr>
      </w:pPr>
    </w:p>
    <w:p w14:paraId="6B553FF0">
      <w:pPr>
        <w:spacing w:line="360" w:lineRule="auto"/>
        <w:rPr>
          <w:rFonts w:ascii="Times New Roman" w:hAnsi="Times New Roman" w:eastAsia="宋体"/>
          <w:sz w:val="24"/>
          <w:szCs w:val="24"/>
        </w:rPr>
      </w:pPr>
    </w:p>
    <w:p w14:paraId="4082C81C">
      <w:pPr>
        <w:spacing w:line="360" w:lineRule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drawing>
          <wp:inline distT="0" distB="0" distL="114300" distR="114300">
            <wp:extent cx="5267960" cy="5377815"/>
            <wp:effectExtent l="0" t="0" r="8890" b="13335"/>
            <wp:docPr id="3" name="图片 3" descr="fig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s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37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39FA1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 xml:space="preserve">Fig. S5. </w:t>
      </w:r>
      <w:r>
        <w:rPr>
          <w:rFonts w:ascii="Times New Roman" w:hAnsi="Times New Roman" w:eastAsia="宋体"/>
          <w:sz w:val="24"/>
          <w:szCs w:val="24"/>
        </w:rPr>
        <w:t xml:space="preserve">To investigate the effects of HA-CurNPs on microglial polarization in mice with </w:t>
      </w:r>
      <w:r>
        <w:rPr>
          <w:rFonts w:hint="eastAsia" w:ascii="Times New Roman" w:hAnsi="Times New Roman" w:eastAsia="宋体"/>
          <w:sz w:val="24"/>
          <w:szCs w:val="24"/>
        </w:rPr>
        <w:t>SCI</w:t>
      </w:r>
      <w:r>
        <w:rPr>
          <w:rFonts w:ascii="Times New Roman" w:hAnsi="Times New Roman" w:eastAsia="宋体"/>
          <w:sz w:val="24"/>
          <w:szCs w:val="24"/>
        </w:rPr>
        <w:t>, CD206 was used as a marker for M2 polarization, and CD80 was used as a marker for M1 polarization.</w:t>
      </w:r>
    </w:p>
    <w:p w14:paraId="614FCBF0">
      <w:pPr>
        <w:spacing w:line="360" w:lineRule="auto"/>
        <w:rPr>
          <w:rFonts w:ascii="Times New Roman" w:hAnsi="Times New Roman" w:eastAsia="宋体"/>
          <w:sz w:val="24"/>
          <w:szCs w:val="24"/>
        </w:rPr>
      </w:pPr>
    </w:p>
    <w:p w14:paraId="4D4F981E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drawing>
          <wp:inline distT="0" distB="0" distL="114300" distR="114300">
            <wp:extent cx="5268595" cy="3028950"/>
            <wp:effectExtent l="0" t="0" r="4445" b="3810"/>
            <wp:docPr id="1" name="图片 1" descr="fig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s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BA040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b/>
          <w:bCs/>
          <w:sz w:val="24"/>
          <w:szCs w:val="24"/>
        </w:rPr>
        <w:t>Fig. S</w:t>
      </w:r>
      <w:r>
        <w:rPr>
          <w:rFonts w:hint="eastAsia" w:ascii="Times New Roman" w:hAnsi="Times New Roman" w:eastAsia="宋体"/>
          <w:b/>
          <w:bCs/>
          <w:sz w:val="24"/>
          <w:szCs w:val="24"/>
        </w:rPr>
        <w:t>6</w:t>
      </w:r>
      <w:r>
        <w:rPr>
          <w:rFonts w:ascii="Times New Roman" w:hAnsi="Times New Roman" w:eastAsia="宋体"/>
          <w:b/>
          <w:bCs/>
          <w:sz w:val="24"/>
          <w:szCs w:val="24"/>
        </w:rPr>
        <w:t>. The effects of HA-CurNPs on inflammatory factors.</w:t>
      </w:r>
      <w:r>
        <w:rPr>
          <w:rFonts w:ascii="Times New Roman" w:hAnsi="Times New Roman" w:eastAsia="宋体"/>
          <w:sz w:val="24"/>
          <w:szCs w:val="24"/>
        </w:rPr>
        <w:t xml:space="preserve"> (A) BV2 cells were stimulated with LPS for 24 hours and then treated with HA-CurNPs for another 24 hours. The expression levels of IL-6 and iNOS were measured by western blot. (B) Quantitative evaluation of the relative gray value of IL-6 </w:t>
      </w:r>
      <w:r>
        <w:rPr>
          <w:rFonts w:hint="eastAsia" w:ascii="Times New Roman" w:hAnsi="Times New Roman" w:eastAsia="宋体"/>
          <w:sz w:val="24"/>
          <w:szCs w:val="24"/>
        </w:rPr>
        <w:t>in figure</w:t>
      </w:r>
      <w:r>
        <w:rPr>
          <w:rFonts w:ascii="Times New Roman" w:hAnsi="Times New Roman" w:eastAsia="宋体"/>
          <w:sz w:val="24"/>
          <w:szCs w:val="24"/>
        </w:rPr>
        <w:t xml:space="preserve"> A. (C) Quantitative evaluation of the relative gray value of iNOS </w:t>
      </w:r>
      <w:r>
        <w:rPr>
          <w:rFonts w:hint="eastAsia" w:ascii="Times New Roman" w:hAnsi="Times New Roman" w:eastAsia="宋体"/>
          <w:sz w:val="24"/>
          <w:szCs w:val="24"/>
        </w:rPr>
        <w:t>in figure</w:t>
      </w:r>
      <w:r>
        <w:rPr>
          <w:rFonts w:ascii="Times New Roman" w:hAnsi="Times New Roman" w:eastAsia="宋体"/>
          <w:sz w:val="24"/>
          <w:szCs w:val="24"/>
        </w:rPr>
        <w:t xml:space="preserve"> A.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 w:eastAsia="宋体"/>
          <w:sz w:val="24"/>
          <w:szCs w:val="24"/>
        </w:rPr>
        <w:t xml:space="preserve">All data are </w:t>
      </w:r>
      <w:bookmarkStart w:id="5" w:name="OLE_LINK1"/>
      <w:r>
        <w:rPr>
          <w:rFonts w:ascii="Times New Roman" w:hAnsi="Times New Roman" w:eastAsia="宋体"/>
          <w:sz w:val="24"/>
          <w:szCs w:val="24"/>
        </w:rPr>
        <w:t>presented</w:t>
      </w:r>
      <w:bookmarkEnd w:id="5"/>
      <w:r>
        <w:rPr>
          <w:rFonts w:ascii="Times New Roman" w:hAnsi="Times New Roman" w:eastAsia="宋体"/>
          <w:sz w:val="24"/>
          <w:szCs w:val="24"/>
        </w:rPr>
        <w:t xml:space="preserve"> as the mean ± SEM (*, P &lt; 0.05; **, P &lt; 0.01).</w:t>
      </w:r>
    </w:p>
    <w:p w14:paraId="648F798F">
      <w:pPr>
        <w:spacing w:line="360" w:lineRule="auto"/>
        <w:rPr>
          <w:rFonts w:ascii="Times New Roman" w:hAnsi="Times New Roman" w:eastAsia="宋体"/>
          <w:sz w:val="24"/>
          <w:szCs w:val="24"/>
        </w:rPr>
      </w:pPr>
    </w:p>
    <w:p w14:paraId="6F3759A2">
      <w:pPr>
        <w:spacing w:line="360" w:lineRule="auto"/>
        <w:rPr>
          <w:rFonts w:hint="eastAsia"/>
          <w:szCs w:val="21"/>
        </w:rPr>
      </w:pPr>
      <w:r>
        <w:rPr>
          <w:szCs w:val="21"/>
          <w14:ligatures w14:val="none"/>
        </w:rPr>
        <w:drawing>
          <wp:inline distT="0" distB="0" distL="0" distR="0">
            <wp:extent cx="4726940" cy="3660140"/>
            <wp:effectExtent l="0" t="0" r="0" b="0"/>
            <wp:docPr id="108823215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232154" name="图片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7448" cy="366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69CBB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 xml:space="preserve">Fig. S7. </w:t>
      </w:r>
      <w:r>
        <w:rPr>
          <w:rFonts w:ascii="Times New Roman" w:hAnsi="Times New Roman" w:eastAsia="宋体"/>
          <w:sz w:val="24"/>
          <w:szCs w:val="24"/>
        </w:rPr>
        <w:t xml:space="preserve">Using the CCK-8 assay to evaluate the cytotoxicity of </w:t>
      </w:r>
      <w:r>
        <w:rPr>
          <w:rFonts w:hint="eastAsia" w:ascii="Times New Roman" w:hAnsi="Times New Roman" w:eastAsia="宋体"/>
          <w:sz w:val="24"/>
          <w:szCs w:val="24"/>
        </w:rPr>
        <w:t>Cur</w:t>
      </w:r>
      <w:r>
        <w:rPr>
          <w:rFonts w:ascii="Times New Roman" w:hAnsi="Times New Roman" w:eastAsia="宋体"/>
          <w:sz w:val="24"/>
          <w:szCs w:val="24"/>
        </w:rPr>
        <w:t>, Cur</w:t>
      </w:r>
      <w:r>
        <w:rPr>
          <w:rFonts w:hint="eastAsia" w:ascii="Times New Roman" w:hAnsi="Times New Roman" w:eastAsia="宋体"/>
          <w:sz w:val="24"/>
          <w:szCs w:val="24"/>
        </w:rPr>
        <w:t>NPs</w:t>
      </w:r>
      <w:r>
        <w:rPr>
          <w:rFonts w:ascii="Times New Roman" w:hAnsi="Times New Roman" w:eastAsia="宋体"/>
          <w:sz w:val="24"/>
          <w:szCs w:val="24"/>
        </w:rPr>
        <w:t>, and HA-CurNPs on primary hippocampal neurons.</w:t>
      </w:r>
    </w:p>
    <w:p w14:paraId="16677599">
      <w:pPr>
        <w:spacing w:line="360" w:lineRule="auto"/>
        <w:rPr>
          <w:rFonts w:ascii="Times New Roman" w:hAnsi="Times New Roman" w:eastAsia="宋体"/>
          <w:sz w:val="24"/>
          <w:szCs w:val="24"/>
        </w:rPr>
      </w:pPr>
    </w:p>
    <w:p w14:paraId="1A1722E2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  <w14:ligatures w14:val="none"/>
        </w:rPr>
        <w:drawing>
          <wp:inline distT="0" distB="0" distL="0" distR="0">
            <wp:extent cx="5274310" cy="6107430"/>
            <wp:effectExtent l="0" t="0" r="0" b="0"/>
            <wp:docPr id="18894048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404829" name="图片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0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209B4">
      <w:pPr>
        <w:spacing w:line="360" w:lineRule="auto"/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</w:rPr>
        <w:t xml:space="preserve">Fig. S8. </w:t>
      </w:r>
      <w:r>
        <w:rPr>
          <w:rFonts w:ascii="Times New Roman" w:hAnsi="Times New Roman" w:eastAsia="宋体"/>
          <w:b/>
          <w:bCs/>
          <w:sz w:val="24"/>
          <w:szCs w:val="24"/>
        </w:rPr>
        <w:t>The effects of</w:t>
      </w:r>
      <w:r>
        <w:rPr>
          <w:rFonts w:hint="eastAsia" w:ascii="Times New Roman" w:hAnsi="Times New Roman" w:eastAsia="宋体"/>
          <w:b/>
          <w:bCs/>
          <w:sz w:val="24"/>
          <w:szCs w:val="24"/>
        </w:rPr>
        <w:t xml:space="preserve"> Cur</w:t>
      </w:r>
      <w:r>
        <w:rPr>
          <w:rFonts w:ascii="Times New Roman" w:hAnsi="Times New Roman" w:eastAsia="宋体"/>
          <w:b/>
          <w:bCs/>
          <w:sz w:val="24"/>
          <w:szCs w:val="24"/>
        </w:rPr>
        <w:t>, Cur</w:t>
      </w:r>
      <w:r>
        <w:rPr>
          <w:rFonts w:hint="eastAsia" w:ascii="Times New Roman" w:hAnsi="Times New Roman" w:eastAsia="宋体"/>
          <w:b/>
          <w:bCs/>
          <w:sz w:val="24"/>
          <w:szCs w:val="24"/>
        </w:rPr>
        <w:t>NPs</w:t>
      </w:r>
      <w:r>
        <w:rPr>
          <w:rFonts w:ascii="Times New Roman" w:hAnsi="Times New Roman" w:eastAsia="宋体"/>
          <w:b/>
          <w:bCs/>
          <w:sz w:val="24"/>
          <w:szCs w:val="24"/>
        </w:rPr>
        <w:t>, and HA-CurNPs on cell apoptosis were evaluated using flow cytometry.</w:t>
      </w:r>
      <w:r>
        <w:t xml:space="preserve"> </w:t>
      </w:r>
      <w:r>
        <w:rPr>
          <w:rFonts w:ascii="Times New Roman" w:hAnsi="Times New Roman" w:eastAsia="宋体"/>
          <w:sz w:val="24"/>
          <w:szCs w:val="24"/>
        </w:rPr>
        <w:t xml:space="preserve">(A) After glutamate-induced damage, cells were treated with </w:t>
      </w:r>
      <w:r>
        <w:rPr>
          <w:rFonts w:hint="eastAsia" w:ascii="Times New Roman" w:hAnsi="Times New Roman" w:eastAsia="宋体"/>
          <w:sz w:val="24"/>
          <w:szCs w:val="24"/>
        </w:rPr>
        <w:t>Cur</w:t>
      </w:r>
      <w:r>
        <w:rPr>
          <w:rFonts w:ascii="Times New Roman" w:hAnsi="Times New Roman" w:eastAsia="宋体"/>
          <w:sz w:val="24"/>
          <w:szCs w:val="24"/>
        </w:rPr>
        <w:t>, Cur</w:t>
      </w:r>
      <w:r>
        <w:rPr>
          <w:rFonts w:hint="eastAsia" w:ascii="Times New Roman" w:hAnsi="Times New Roman" w:eastAsia="宋体"/>
          <w:sz w:val="24"/>
          <w:szCs w:val="24"/>
        </w:rPr>
        <w:t>NPs</w:t>
      </w:r>
      <w:r>
        <w:rPr>
          <w:rFonts w:ascii="Times New Roman" w:hAnsi="Times New Roman" w:eastAsia="宋体"/>
          <w:sz w:val="24"/>
          <w:szCs w:val="24"/>
        </w:rPr>
        <w:t>, and HA-CurNPs, followed by apoptosis detection using PI and Annexin V-FITC double staining.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 w:eastAsia="宋体"/>
          <w:sz w:val="24"/>
          <w:szCs w:val="24"/>
        </w:rPr>
        <w:t>(B) Quantitative evaluation of the percentage of apoptotic cells (n = 3).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 w:eastAsia="宋体"/>
          <w:sz w:val="24"/>
          <w:szCs w:val="24"/>
        </w:rPr>
        <w:t>All data are presented as the mean ± SEM (***, P &lt; 0.001).</w:t>
      </w:r>
    </w:p>
    <w:p w14:paraId="575AEA73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  <w14:ligatures w14:val="none"/>
        </w:rPr>
        <w:drawing>
          <wp:inline distT="0" distB="0" distL="0" distR="0">
            <wp:extent cx="5274310" cy="3223895"/>
            <wp:effectExtent l="0" t="0" r="0" b="0"/>
            <wp:docPr id="1751360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36090" name="图片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1101F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</w:rPr>
        <w:t>Fig. S9.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 Evaluation of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m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otor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f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unction in SCI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m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ice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u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sing the CatWalk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s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ystem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.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(</w:t>
      </w:r>
      <w:r>
        <w:rPr>
          <w:rFonts w:hint="eastAsia" w:ascii="Times New Roman" w:hAnsi="Times New Roman" w:eastAsia="宋体" w:cs="Times New Roman"/>
          <w:sz w:val="24"/>
          <w:szCs w:val="24"/>
        </w:rPr>
        <w:t>A</w:t>
      </w:r>
      <w:r>
        <w:rPr>
          <w:rFonts w:ascii="Times New Roman" w:hAnsi="Times New Roman" w:eastAsia="宋体" w:cs="Times New Roman"/>
          <w:sz w:val="24"/>
          <w:szCs w:val="24"/>
        </w:rPr>
        <w:t xml:space="preserve">) CatWalk system analysis of the average ground contact intensity and area for the </w:t>
      </w:r>
      <w:r>
        <w:rPr>
          <w:rFonts w:hint="eastAsia" w:ascii="Times New Roman" w:hAnsi="Times New Roman" w:eastAsia="宋体" w:cs="Times New Roman"/>
          <w:sz w:val="24"/>
          <w:szCs w:val="24"/>
        </w:rPr>
        <w:t>left</w:t>
      </w:r>
      <w:r>
        <w:rPr>
          <w:rFonts w:ascii="Times New Roman" w:hAnsi="Times New Roman" w:eastAsia="宋体" w:cs="Times New Roman"/>
          <w:sz w:val="24"/>
          <w:szCs w:val="24"/>
        </w:rPr>
        <w:t xml:space="preserve"> hind paw in SCI mice. (</w:t>
      </w:r>
      <w:r>
        <w:rPr>
          <w:rFonts w:hint="eastAsia" w:ascii="Times New Roman" w:hAnsi="Times New Roman" w:eastAsia="宋体" w:cs="Times New Roman"/>
          <w:sz w:val="24"/>
          <w:szCs w:val="24"/>
        </w:rPr>
        <w:t>B</w:t>
      </w:r>
      <w:r>
        <w:rPr>
          <w:rFonts w:ascii="Times New Roman" w:hAnsi="Times New Roman" w:eastAsia="宋体" w:cs="Times New Roman"/>
          <w:sz w:val="24"/>
          <w:szCs w:val="24"/>
        </w:rPr>
        <w:t xml:space="preserve">) Quantitative evaluation of the average ground contact intensity for the </w:t>
      </w:r>
      <w:r>
        <w:rPr>
          <w:rFonts w:hint="eastAsia" w:ascii="Times New Roman" w:hAnsi="Times New Roman" w:eastAsia="宋体" w:cs="Times New Roman"/>
          <w:sz w:val="24"/>
          <w:szCs w:val="24"/>
        </w:rPr>
        <w:t>left</w:t>
      </w:r>
      <w:r>
        <w:rPr>
          <w:rFonts w:ascii="Times New Roman" w:hAnsi="Times New Roman" w:eastAsia="宋体" w:cs="Times New Roman"/>
          <w:sz w:val="24"/>
          <w:szCs w:val="24"/>
        </w:rPr>
        <w:t xml:space="preserve"> hind paw in SCI mice (n = 5).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(</w:t>
      </w:r>
      <w:r>
        <w:rPr>
          <w:rFonts w:hint="eastAsia" w:ascii="Times New Roman" w:hAnsi="Times New Roman" w:eastAsia="宋体" w:cs="Times New Roman"/>
          <w:sz w:val="24"/>
          <w:szCs w:val="24"/>
        </w:rPr>
        <w:t>C</w:t>
      </w:r>
      <w:r>
        <w:rPr>
          <w:rFonts w:ascii="Times New Roman" w:hAnsi="Times New Roman" w:eastAsia="宋体" w:cs="Times New Roman"/>
          <w:sz w:val="24"/>
          <w:szCs w:val="24"/>
        </w:rPr>
        <w:t xml:space="preserve">) Quantitative evaluation of the average ground contact area for the </w:t>
      </w:r>
      <w:r>
        <w:rPr>
          <w:rFonts w:hint="eastAsia" w:ascii="Times New Roman" w:hAnsi="Times New Roman" w:eastAsia="宋体" w:cs="Times New Roman"/>
          <w:sz w:val="24"/>
          <w:szCs w:val="24"/>
        </w:rPr>
        <w:t>left</w:t>
      </w:r>
      <w:r>
        <w:rPr>
          <w:rFonts w:ascii="Times New Roman" w:hAnsi="Times New Roman" w:eastAsia="宋体" w:cs="Times New Roman"/>
          <w:sz w:val="24"/>
          <w:szCs w:val="24"/>
        </w:rPr>
        <w:t xml:space="preserve"> hind paw in SCI mice (n = 5).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 xml:space="preserve">All data are </w:t>
      </w:r>
      <w:r>
        <w:rPr>
          <w:rFonts w:ascii="Times New Roman" w:hAnsi="Times New Roman" w:eastAsia="宋体"/>
          <w:sz w:val="24"/>
          <w:szCs w:val="24"/>
        </w:rPr>
        <w:t>presented</w:t>
      </w:r>
      <w:r>
        <w:rPr>
          <w:rFonts w:ascii="Times New Roman" w:hAnsi="Times New Roman" w:eastAsia="宋体" w:cs="Times New Roman"/>
          <w:sz w:val="24"/>
          <w:szCs w:val="24"/>
        </w:rPr>
        <w:t xml:space="preserve"> as the mean ± SEM (ns, not statistically significant; **, P &lt; 0.01; ***, P &lt; 0.001).</w:t>
      </w:r>
    </w:p>
    <w:p w14:paraId="36346701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  <w14:ligatures w14:val="none"/>
        </w:rPr>
        <w:drawing>
          <wp:inline distT="0" distB="0" distL="0" distR="0">
            <wp:extent cx="5274310" cy="5271770"/>
            <wp:effectExtent l="0" t="0" r="0" b="0"/>
            <wp:docPr id="11256640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664010" name="图片 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060DE">
      <w:pPr>
        <w:rPr>
          <w:rFonts w:hint="eastAsia"/>
        </w:rPr>
      </w:pPr>
      <w:r>
        <w:rPr>
          <w:rFonts w:hint="eastAsia" w:ascii="Times New Roman" w:hAnsi="Times New Roman" w:eastAsia="宋体"/>
          <w:sz w:val="24"/>
          <w:szCs w:val="24"/>
        </w:rPr>
        <w:t xml:space="preserve">Fig. S10. </w:t>
      </w:r>
      <w:r>
        <w:rPr>
          <w:rFonts w:ascii="Times New Roman" w:hAnsi="Times New Roman" w:eastAsia="宋体"/>
          <w:sz w:val="24"/>
          <w:szCs w:val="24"/>
        </w:rPr>
        <w:t>The sections from heart, liver, spleen, lung</w:t>
      </w:r>
      <w:r>
        <w:rPr>
          <w:rFonts w:hint="eastAsia" w:ascii="Times New Roman" w:hAnsi="Times New Roman" w:eastAsia="宋体"/>
          <w:sz w:val="24"/>
          <w:szCs w:val="24"/>
        </w:rPr>
        <w:t xml:space="preserve">, </w:t>
      </w:r>
      <w:r>
        <w:rPr>
          <w:rFonts w:ascii="Times New Roman" w:hAnsi="Times New Roman" w:eastAsia="宋体"/>
          <w:sz w:val="24"/>
          <w:szCs w:val="24"/>
        </w:rPr>
        <w:t xml:space="preserve">kidney </w:t>
      </w:r>
      <w:r>
        <w:rPr>
          <w:rFonts w:hint="eastAsia" w:ascii="Times New Roman" w:hAnsi="Times New Roman" w:eastAsia="宋体"/>
          <w:sz w:val="24"/>
          <w:szCs w:val="24"/>
        </w:rPr>
        <w:t xml:space="preserve">and </w:t>
      </w:r>
      <w:r>
        <w:rPr>
          <w:rFonts w:ascii="Times New Roman" w:hAnsi="Times New Roman" w:eastAsia="宋体"/>
          <w:sz w:val="24"/>
          <w:szCs w:val="24"/>
        </w:rPr>
        <w:t>brain, acquired 2 months after SCI were used to HE staining.</w:t>
      </w:r>
    </w:p>
    <w:p w14:paraId="7370CD68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  <w14:ligatures w14:val="none"/>
        </w:rPr>
        <w:drawing>
          <wp:inline distT="0" distB="0" distL="0" distR="0">
            <wp:extent cx="5274310" cy="4041140"/>
            <wp:effectExtent l="0" t="0" r="0" b="0"/>
            <wp:docPr id="140427907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279077" name="图片 5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4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507CA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 xml:space="preserve">Fig. S11. </w:t>
      </w:r>
      <w:r>
        <w:rPr>
          <w:rFonts w:ascii="Times New Roman" w:hAnsi="Times New Roman" w:eastAsia="宋体"/>
          <w:sz w:val="24"/>
          <w:szCs w:val="24"/>
        </w:rPr>
        <w:t xml:space="preserve">On the third day after </w:t>
      </w:r>
      <w:r>
        <w:rPr>
          <w:rFonts w:hint="eastAsia" w:ascii="Times New Roman" w:hAnsi="Times New Roman" w:eastAsia="宋体"/>
          <w:sz w:val="24"/>
          <w:szCs w:val="24"/>
        </w:rPr>
        <w:t>SCI</w:t>
      </w:r>
      <w:r>
        <w:rPr>
          <w:rFonts w:ascii="Times New Roman" w:hAnsi="Times New Roman" w:eastAsia="宋体"/>
          <w:sz w:val="24"/>
          <w:szCs w:val="24"/>
        </w:rPr>
        <w:t>, the expression of CD74 (green) in spinal cord tissue was detected in different groups using immunofluorescence staining.</w:t>
      </w:r>
    </w:p>
    <w:p w14:paraId="0F88B7B6">
      <w:pPr>
        <w:spacing w:line="360" w:lineRule="auto"/>
        <w:rPr>
          <w:rFonts w:ascii="Times New Roman" w:hAnsi="Times New Roman" w:eastAsia="宋体"/>
          <w:sz w:val="24"/>
          <w:szCs w:val="24"/>
        </w:rPr>
      </w:pPr>
    </w:p>
    <w:p w14:paraId="0AFC871B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drawing>
          <wp:inline distT="0" distB="0" distL="0" distR="0">
            <wp:extent cx="5274310" cy="1644650"/>
            <wp:effectExtent l="0" t="0" r="0" b="0"/>
            <wp:docPr id="4937152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715231" name="图片 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7BCF3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</w:rPr>
        <w:t xml:space="preserve">Fig. S12. </w:t>
      </w:r>
      <w:r>
        <w:rPr>
          <w:rFonts w:ascii="Times New Roman" w:hAnsi="Times New Roman" w:eastAsia="宋体"/>
          <w:b/>
          <w:bCs/>
          <w:sz w:val="24"/>
          <w:szCs w:val="24"/>
        </w:rPr>
        <w:t xml:space="preserve">Detection of si-CD74 </w:t>
      </w:r>
      <w:r>
        <w:rPr>
          <w:rFonts w:hint="eastAsia" w:ascii="Times New Roman" w:hAnsi="Times New Roman" w:eastAsia="宋体"/>
          <w:b/>
          <w:bCs/>
          <w:sz w:val="24"/>
          <w:szCs w:val="24"/>
        </w:rPr>
        <w:t>i</w:t>
      </w:r>
      <w:r>
        <w:rPr>
          <w:rFonts w:ascii="Times New Roman" w:hAnsi="Times New Roman" w:eastAsia="宋体"/>
          <w:b/>
          <w:bCs/>
          <w:sz w:val="24"/>
          <w:szCs w:val="24"/>
        </w:rPr>
        <w:t xml:space="preserve">nterference </w:t>
      </w:r>
      <w:r>
        <w:rPr>
          <w:rFonts w:hint="eastAsia" w:ascii="Times New Roman" w:hAnsi="Times New Roman" w:eastAsia="宋体"/>
          <w:b/>
          <w:bCs/>
          <w:sz w:val="24"/>
          <w:szCs w:val="24"/>
        </w:rPr>
        <w:t>e</w:t>
      </w:r>
      <w:r>
        <w:rPr>
          <w:rFonts w:ascii="Times New Roman" w:hAnsi="Times New Roman" w:eastAsia="宋体"/>
          <w:b/>
          <w:bCs/>
          <w:sz w:val="24"/>
          <w:szCs w:val="24"/>
        </w:rPr>
        <w:t>fficiency</w:t>
      </w:r>
      <w:r>
        <w:rPr>
          <w:rFonts w:hint="eastAsia" w:ascii="Times New Roman" w:hAnsi="Times New Roman" w:eastAsia="宋体"/>
          <w:b/>
          <w:bCs/>
          <w:sz w:val="24"/>
          <w:szCs w:val="24"/>
        </w:rPr>
        <w:t xml:space="preserve">. </w:t>
      </w:r>
      <w:r>
        <w:rPr>
          <w:rFonts w:hint="eastAsia" w:ascii="Times New Roman" w:hAnsi="Times New Roman" w:eastAsia="宋体"/>
          <w:sz w:val="24"/>
          <w:szCs w:val="24"/>
        </w:rPr>
        <w:t xml:space="preserve">(A) </w:t>
      </w:r>
      <w:r>
        <w:rPr>
          <w:rFonts w:ascii="Times New Roman" w:hAnsi="Times New Roman" w:eastAsia="宋体"/>
          <w:sz w:val="24"/>
          <w:szCs w:val="24"/>
        </w:rPr>
        <w:t>Transfection of BV2 cells with si-NC and si-CD74, followed by western blot analysis to determine the interference efficiency of si-CD74.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 w:eastAsia="宋体"/>
          <w:sz w:val="24"/>
          <w:szCs w:val="24"/>
        </w:rPr>
        <w:t>(B) Quantitative evaluation of the relative gray value of CD74 in Fig. A (n = 3).</w:t>
      </w:r>
      <w:r>
        <w:rPr>
          <w:rFonts w:hint="eastAsia" w:ascii="Times New Roman" w:hAnsi="Times New Roman" w:eastAsia="宋体"/>
          <w:sz w:val="24"/>
          <w:szCs w:val="24"/>
        </w:rPr>
        <w:t xml:space="preserve"> The</w:t>
      </w:r>
      <w:r>
        <w:rPr>
          <w:rFonts w:ascii="Times New Roman" w:hAnsi="Times New Roman" w:eastAsia="宋体"/>
          <w:sz w:val="24"/>
          <w:szCs w:val="24"/>
        </w:rPr>
        <w:t xml:space="preserve"> data </w:t>
      </w:r>
      <w:r>
        <w:rPr>
          <w:rFonts w:hint="eastAsia" w:ascii="Times New Roman" w:hAnsi="Times New Roman" w:eastAsia="宋体"/>
          <w:sz w:val="24"/>
          <w:szCs w:val="24"/>
        </w:rPr>
        <w:t>is</w:t>
      </w:r>
      <w:r>
        <w:rPr>
          <w:rFonts w:ascii="Times New Roman" w:hAnsi="Times New Roman" w:eastAsia="宋体"/>
          <w:sz w:val="24"/>
          <w:szCs w:val="24"/>
        </w:rPr>
        <w:t xml:space="preserve"> presented as the mean ± SEM (**, P &lt; 0.0</w:t>
      </w:r>
      <w:r>
        <w:rPr>
          <w:rFonts w:hint="eastAsia" w:ascii="Times New Roman" w:hAnsi="Times New Roman" w:eastAsia="宋体"/>
          <w:sz w:val="24"/>
          <w:szCs w:val="24"/>
        </w:rPr>
        <w:t>1</w:t>
      </w:r>
      <w:r>
        <w:rPr>
          <w:rFonts w:ascii="Times New Roman" w:hAnsi="Times New Roman" w:eastAsia="宋体"/>
          <w:sz w:val="24"/>
          <w:szCs w:val="24"/>
        </w:rPr>
        <w:t>).</w:t>
      </w:r>
    </w:p>
    <w:p w14:paraId="33787B36">
      <w:pPr>
        <w:spacing w:line="360" w:lineRule="auto"/>
        <w:rPr>
          <w:rFonts w:ascii="Times New Roman" w:hAnsi="Times New Roman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doNotCompress"/>
  <w:compat>
    <w:balanceSingleByteDoubleByteWidth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commondata" w:val="eyJoZGlkIjoiZmQ1NWQ5YzdmMjQ2YjcxNWZmNDQ1ZTczMDAyNzJmNWEifQ=="/>
  </w:docVars>
  <w:rsids>
    <w:rsidRoot w:val="00F201E6"/>
    <w:rsid w:val="000068CA"/>
    <w:rsid w:val="00055F14"/>
    <w:rsid w:val="0005793E"/>
    <w:rsid w:val="00074755"/>
    <w:rsid w:val="000840CF"/>
    <w:rsid w:val="00092950"/>
    <w:rsid w:val="000A5048"/>
    <w:rsid w:val="000D4185"/>
    <w:rsid w:val="00127F58"/>
    <w:rsid w:val="00157BB7"/>
    <w:rsid w:val="001A3A90"/>
    <w:rsid w:val="001C0958"/>
    <w:rsid w:val="00215AE2"/>
    <w:rsid w:val="00225B30"/>
    <w:rsid w:val="002B6F80"/>
    <w:rsid w:val="002C19BB"/>
    <w:rsid w:val="002E2CB8"/>
    <w:rsid w:val="002E6BA4"/>
    <w:rsid w:val="003F195B"/>
    <w:rsid w:val="00414861"/>
    <w:rsid w:val="00431CE8"/>
    <w:rsid w:val="005A42CE"/>
    <w:rsid w:val="005B225B"/>
    <w:rsid w:val="005B394E"/>
    <w:rsid w:val="006046C7"/>
    <w:rsid w:val="006132F7"/>
    <w:rsid w:val="00634368"/>
    <w:rsid w:val="006609B8"/>
    <w:rsid w:val="006A0863"/>
    <w:rsid w:val="006D04B3"/>
    <w:rsid w:val="00710B8C"/>
    <w:rsid w:val="00752583"/>
    <w:rsid w:val="00785273"/>
    <w:rsid w:val="007C217B"/>
    <w:rsid w:val="007D7E78"/>
    <w:rsid w:val="00811398"/>
    <w:rsid w:val="008220AD"/>
    <w:rsid w:val="00916045"/>
    <w:rsid w:val="0093517E"/>
    <w:rsid w:val="009B0AEA"/>
    <w:rsid w:val="009C0E64"/>
    <w:rsid w:val="009E59A2"/>
    <w:rsid w:val="00A32F0E"/>
    <w:rsid w:val="00A340B0"/>
    <w:rsid w:val="00A41ED5"/>
    <w:rsid w:val="00A93D5E"/>
    <w:rsid w:val="00AA57A3"/>
    <w:rsid w:val="00AB18B1"/>
    <w:rsid w:val="00AD4016"/>
    <w:rsid w:val="00BC000E"/>
    <w:rsid w:val="00BE223A"/>
    <w:rsid w:val="00CA10E8"/>
    <w:rsid w:val="00CB6CF0"/>
    <w:rsid w:val="00D04AE9"/>
    <w:rsid w:val="00D07248"/>
    <w:rsid w:val="00D5264E"/>
    <w:rsid w:val="00D5769B"/>
    <w:rsid w:val="00D73BAA"/>
    <w:rsid w:val="00DF3CB9"/>
    <w:rsid w:val="00E42D60"/>
    <w:rsid w:val="00E6276C"/>
    <w:rsid w:val="00E71904"/>
    <w:rsid w:val="00E73423"/>
    <w:rsid w:val="00F201E6"/>
    <w:rsid w:val="00FC52B6"/>
    <w:rsid w:val="00FD3308"/>
    <w:rsid w:val="07031AA3"/>
    <w:rsid w:val="208A39D7"/>
    <w:rsid w:val="2768655F"/>
    <w:rsid w:val="28986CC7"/>
    <w:rsid w:val="339064C2"/>
    <w:rsid w:val="3A7C40C6"/>
    <w:rsid w:val="3BFC2946"/>
    <w:rsid w:val="4EA03605"/>
    <w:rsid w:val="55093398"/>
    <w:rsid w:val="63204F25"/>
    <w:rsid w:val="747D1803"/>
    <w:rsid w:val="7D22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jpeg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646</Words>
  <Characters>3463</Characters>
  <Lines>29</Lines>
  <Paragraphs>8</Paragraphs>
  <TotalTime>4</TotalTime>
  <ScaleCrop>false</ScaleCrop>
  <LinksUpToDate>false</LinksUpToDate>
  <CharactersWithSpaces>4084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2024-06-10T05:38:00Z</dcterms:created>
  <dc:creator>天俊 陈</dc:creator>
  <cp:lastModifiedBy> 墨水</cp:lastModifiedBy>
  <dcterms:modified xsi:type="dcterms:W3CDTF">2024-10-11T08:07:48Z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CA04BF2D5349476D8EC23CE157E4934B_12</vt:lpwstr>
  </property>
</Properties>
</file>