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89839" w14:textId="77777777" w:rsidR="00DC3BF1" w:rsidRPr="004B7947" w:rsidRDefault="00DC3BF1" w:rsidP="00672A87">
      <w:pPr>
        <w:jc w:val="center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Supplementary Materials for</w:t>
      </w:r>
    </w:p>
    <w:p w14:paraId="6424A1F0" w14:textId="77777777" w:rsidR="00DC3BF1" w:rsidRPr="004B7947" w:rsidRDefault="00DC3BF1" w:rsidP="00160EAB">
      <w:pPr>
        <w:pStyle w:val="Teaser"/>
        <w:spacing w:after="115" w:line="480" w:lineRule="auto"/>
        <w:jc w:val="center"/>
        <w:rPr>
          <w:rFonts w:eastAsiaTheme="minorEastAsia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4B7947">
        <w:rPr>
          <w:rFonts w:eastAsiaTheme="minorEastAsia"/>
          <w:b/>
          <w:bCs/>
          <w:color w:val="000000" w:themeColor="text1"/>
          <w:kern w:val="2"/>
          <w:sz w:val="28"/>
          <w:szCs w:val="28"/>
          <w:lang w:eastAsia="zh-CN"/>
        </w:rPr>
        <w:t>Reduced graphene oxide loaded with tetrahedral framework nucleic acids for combating orthodontically induced root resorption</w:t>
      </w:r>
    </w:p>
    <w:p w14:paraId="6C656F38" w14:textId="77777777" w:rsidR="00DC3BF1" w:rsidRPr="004B7947" w:rsidRDefault="00DC3BF1" w:rsidP="00345679">
      <w:pPr>
        <w:pStyle w:val="Teaser"/>
        <w:spacing w:after="115" w:line="480" w:lineRule="auto"/>
        <w:jc w:val="both"/>
        <w:rPr>
          <w:color w:val="000000" w:themeColor="text1"/>
          <w:lang w:eastAsia="zh-CN"/>
        </w:rPr>
      </w:pPr>
      <w:r w:rsidRPr="004B7947">
        <w:rPr>
          <w:b/>
          <w:color w:val="000000" w:themeColor="text1"/>
        </w:rPr>
        <w:t>Authors:</w:t>
      </w:r>
      <w:r w:rsidRPr="004B7947">
        <w:rPr>
          <w:color w:val="000000" w:themeColor="text1"/>
        </w:rPr>
        <w:t xml:space="preserve"> </w:t>
      </w:r>
      <w:r w:rsidRPr="004B7947">
        <w:rPr>
          <w:color w:val="000000" w:themeColor="text1"/>
          <w:lang w:eastAsia="zh-CN"/>
        </w:rPr>
        <w:t xml:space="preserve">Wenxiu Yuan </w:t>
      </w:r>
      <w:r w:rsidRPr="004B7947">
        <w:rPr>
          <w:color w:val="000000" w:themeColor="text1"/>
          <w:vertAlign w:val="superscript"/>
        </w:rPr>
        <w:t>1, 3</w:t>
      </w:r>
      <w:r w:rsidRPr="004B7947">
        <w:rPr>
          <w:color w:val="000000" w:themeColor="text1"/>
        </w:rPr>
        <w:t>, Maotuan</w:t>
      </w:r>
      <w:r w:rsidRPr="004B7947">
        <w:rPr>
          <w:rFonts w:hint="eastAsia"/>
          <w:color w:val="000000" w:themeColor="text1"/>
          <w:lang w:eastAsia="zh-CN"/>
        </w:rPr>
        <w:t xml:space="preserve"> </w:t>
      </w:r>
      <w:r w:rsidRPr="004B7947">
        <w:rPr>
          <w:color w:val="000000" w:themeColor="text1"/>
        </w:rPr>
        <w:t xml:space="preserve">Huang </w:t>
      </w:r>
      <w:r w:rsidRPr="004B7947">
        <w:rPr>
          <w:color w:val="000000" w:themeColor="text1"/>
          <w:vertAlign w:val="superscript"/>
        </w:rPr>
        <w:t>4</w:t>
      </w:r>
      <w:r w:rsidRPr="004B7947">
        <w:rPr>
          <w:color w:val="000000" w:themeColor="text1"/>
        </w:rPr>
        <w:t xml:space="preserve">, Wenqian Chen </w:t>
      </w:r>
      <w:r w:rsidRPr="004B7947">
        <w:rPr>
          <w:color w:val="000000" w:themeColor="text1"/>
          <w:vertAlign w:val="superscript"/>
        </w:rPr>
        <w:t>2</w:t>
      </w:r>
      <w:r w:rsidRPr="004B7947">
        <w:rPr>
          <w:color w:val="000000" w:themeColor="text1"/>
        </w:rPr>
        <w:t>, S</w:t>
      </w:r>
      <w:r w:rsidRPr="004B7947">
        <w:rPr>
          <w:color w:val="000000" w:themeColor="text1"/>
          <w:lang w:eastAsia="zh-CN"/>
        </w:rPr>
        <w:t>ihang</w:t>
      </w:r>
      <w:r w:rsidRPr="004B7947">
        <w:rPr>
          <w:rFonts w:hint="eastAsia"/>
          <w:color w:val="000000" w:themeColor="text1"/>
          <w:lang w:eastAsia="zh-CN"/>
        </w:rPr>
        <w:t xml:space="preserve"> </w:t>
      </w:r>
      <w:r w:rsidRPr="004B7947">
        <w:rPr>
          <w:color w:val="000000" w:themeColor="text1"/>
        </w:rPr>
        <w:t xml:space="preserve">Chen </w:t>
      </w:r>
      <w:r w:rsidRPr="004B7947">
        <w:rPr>
          <w:color w:val="000000" w:themeColor="text1"/>
          <w:vertAlign w:val="superscript"/>
        </w:rPr>
        <w:t>3</w:t>
      </w:r>
      <w:r w:rsidRPr="004B7947">
        <w:rPr>
          <w:color w:val="000000" w:themeColor="text1"/>
        </w:rPr>
        <w:t>, J</w:t>
      </w:r>
      <w:r w:rsidRPr="004B7947">
        <w:rPr>
          <w:rFonts w:hint="eastAsia"/>
          <w:color w:val="000000" w:themeColor="text1"/>
          <w:lang w:eastAsia="zh-CN"/>
        </w:rPr>
        <w:t>ingwen</w:t>
      </w:r>
      <w:r w:rsidRPr="004B7947">
        <w:rPr>
          <w:color w:val="000000" w:themeColor="text1"/>
        </w:rPr>
        <w:t xml:space="preserve"> C</w:t>
      </w:r>
      <w:r w:rsidRPr="004B7947">
        <w:rPr>
          <w:rFonts w:hint="eastAsia"/>
          <w:color w:val="000000" w:themeColor="text1"/>
          <w:lang w:eastAsia="zh-CN"/>
        </w:rPr>
        <w:t>ai</w:t>
      </w:r>
      <w:r w:rsidRPr="004B7947">
        <w:rPr>
          <w:color w:val="000000" w:themeColor="text1"/>
          <w:vertAlign w:val="superscript"/>
        </w:rPr>
        <w:t xml:space="preserve"> 3</w:t>
      </w:r>
      <w:r w:rsidRPr="004B7947">
        <w:rPr>
          <w:color w:val="000000" w:themeColor="text1"/>
        </w:rPr>
        <w:t>, Linxin</w:t>
      </w:r>
      <w:r w:rsidRPr="004B7947">
        <w:rPr>
          <w:rFonts w:hint="eastAsia"/>
          <w:color w:val="000000" w:themeColor="text1"/>
          <w:lang w:eastAsia="zh-CN"/>
        </w:rPr>
        <w:t xml:space="preserve"> </w:t>
      </w:r>
      <w:r w:rsidRPr="004B7947">
        <w:rPr>
          <w:color w:val="000000" w:themeColor="text1"/>
        </w:rPr>
        <w:t xml:space="preserve">Chen </w:t>
      </w:r>
      <w:r w:rsidRPr="004B7947">
        <w:rPr>
          <w:color w:val="000000" w:themeColor="text1"/>
          <w:vertAlign w:val="superscript"/>
        </w:rPr>
        <w:t>3</w:t>
      </w:r>
      <w:r w:rsidRPr="004B7947">
        <w:rPr>
          <w:color w:val="000000" w:themeColor="text1"/>
        </w:rPr>
        <w:t xml:space="preserve">, Hanyu Lin </w:t>
      </w:r>
      <w:r w:rsidRPr="004B7947">
        <w:rPr>
          <w:color w:val="000000" w:themeColor="text1"/>
          <w:vertAlign w:val="superscript"/>
        </w:rPr>
        <w:t>2</w:t>
      </w:r>
      <w:r w:rsidRPr="004B7947">
        <w:rPr>
          <w:color w:val="000000" w:themeColor="text1"/>
        </w:rPr>
        <w:t xml:space="preserve">, Kaixun He </w:t>
      </w:r>
      <w:r w:rsidRPr="004B7947">
        <w:rPr>
          <w:color w:val="000000" w:themeColor="text1"/>
          <w:vertAlign w:val="superscript"/>
        </w:rPr>
        <w:t>2</w:t>
      </w:r>
      <w:r w:rsidRPr="004B7947">
        <w:rPr>
          <w:color w:val="000000" w:themeColor="text1"/>
        </w:rPr>
        <w:t>, Huachen Chen</w:t>
      </w:r>
      <w:r w:rsidRPr="004B7947">
        <w:rPr>
          <w:color w:val="000000" w:themeColor="text1"/>
          <w:vertAlign w:val="superscript"/>
        </w:rPr>
        <w:t xml:space="preserve"> 2</w:t>
      </w:r>
      <w:r w:rsidRPr="004B7947">
        <w:rPr>
          <w:rFonts w:ascii="宋体" w:eastAsia="宋体" w:hAnsi="宋体" w:cs="宋体"/>
          <w:color w:val="000000" w:themeColor="text1"/>
          <w:lang w:eastAsia="zh-CN"/>
        </w:rPr>
        <w:t>,</w:t>
      </w:r>
      <w:r w:rsidRPr="004B7947">
        <w:rPr>
          <w:color w:val="000000" w:themeColor="text1"/>
        </w:rPr>
        <w:t xml:space="preserve"> </w:t>
      </w:r>
      <w:r w:rsidRPr="004B7947">
        <w:rPr>
          <w:rFonts w:hint="eastAsia"/>
          <w:color w:val="000000" w:themeColor="text1"/>
          <w:lang w:eastAsia="zh-CN"/>
        </w:rPr>
        <w:t>W</w:t>
      </w:r>
      <w:r w:rsidRPr="004B7947">
        <w:rPr>
          <w:color w:val="000000" w:themeColor="text1"/>
          <w:lang w:eastAsia="zh-CN"/>
        </w:rPr>
        <w:t>enting Jiang</w:t>
      </w:r>
      <w:r w:rsidRPr="004B7947">
        <w:rPr>
          <w:color w:val="000000" w:themeColor="text1"/>
          <w:vertAlign w:val="superscript"/>
          <w:lang w:eastAsia="zh-CN"/>
        </w:rPr>
        <w:t xml:space="preserve"> </w:t>
      </w:r>
      <w:r w:rsidRPr="004B7947">
        <w:rPr>
          <w:color w:val="000000" w:themeColor="text1"/>
          <w:vertAlign w:val="superscript"/>
        </w:rPr>
        <w:t>2</w:t>
      </w:r>
      <w:r w:rsidRPr="004B7947">
        <w:rPr>
          <w:color w:val="000000" w:themeColor="text1"/>
        </w:rPr>
        <w:t>, Y</w:t>
      </w:r>
      <w:r w:rsidRPr="004B7947">
        <w:rPr>
          <w:color w:val="000000" w:themeColor="text1"/>
          <w:lang w:eastAsia="zh-CN"/>
        </w:rPr>
        <w:t>anjing</w:t>
      </w:r>
      <w:r w:rsidRPr="004B7947">
        <w:rPr>
          <w:rFonts w:hint="eastAsia"/>
          <w:color w:val="000000" w:themeColor="text1"/>
          <w:lang w:eastAsia="zh-CN"/>
        </w:rPr>
        <w:t xml:space="preserve"> </w:t>
      </w:r>
      <w:r w:rsidRPr="004B7947">
        <w:rPr>
          <w:color w:val="000000" w:themeColor="text1"/>
        </w:rPr>
        <w:t xml:space="preserve">Ou </w:t>
      </w:r>
      <w:r w:rsidRPr="004B7947">
        <w:rPr>
          <w:color w:val="000000" w:themeColor="text1"/>
          <w:vertAlign w:val="superscript"/>
        </w:rPr>
        <w:t>2</w:t>
      </w:r>
      <w:r w:rsidRPr="004B7947">
        <w:rPr>
          <w:color w:val="000000" w:themeColor="text1"/>
        </w:rPr>
        <w:t>,</w:t>
      </w:r>
      <w:r w:rsidRPr="004B7947">
        <w:rPr>
          <w:bCs/>
          <w:color w:val="000000" w:themeColor="text1"/>
        </w:rPr>
        <w:t xml:space="preserve"> </w:t>
      </w:r>
      <w:r w:rsidRPr="004B7947">
        <w:rPr>
          <w:color w:val="000000" w:themeColor="text1"/>
        </w:rPr>
        <w:t xml:space="preserve">Jiang Chen </w:t>
      </w:r>
      <w:r w:rsidRPr="004B7947">
        <w:rPr>
          <w:color w:val="000000" w:themeColor="text1"/>
          <w:vertAlign w:val="superscript"/>
        </w:rPr>
        <w:t>2, *</w:t>
      </w:r>
    </w:p>
    <w:p w14:paraId="0A689AED" w14:textId="77777777" w:rsidR="00DC3BF1" w:rsidRPr="004B7947" w:rsidRDefault="00DC3BF1" w:rsidP="00160EAB">
      <w:pPr>
        <w:pStyle w:val="Teaser"/>
        <w:spacing w:after="115" w:line="480" w:lineRule="auto"/>
        <w:jc w:val="center"/>
        <w:rPr>
          <w:color w:val="000000" w:themeColor="text1"/>
          <w:lang w:eastAsia="zh-CN"/>
        </w:rPr>
      </w:pPr>
    </w:p>
    <w:p w14:paraId="6A0C3902" w14:textId="77777777" w:rsidR="00DC3BF1" w:rsidRPr="004B7947" w:rsidRDefault="00DC3BF1" w:rsidP="00D0366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Supplementary </w:t>
      </w:r>
      <w:r w:rsidRPr="004B7947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Figures</w:t>
      </w:r>
    </w:p>
    <w:p w14:paraId="71F3E36E" w14:textId="77777777" w:rsidR="00DC3BF1" w:rsidRPr="004B7947" w:rsidRDefault="00DC3BF1" w:rsidP="00F37B40">
      <w:pPr>
        <w:pStyle w:val="Paragraph"/>
        <w:spacing w:line="480" w:lineRule="auto"/>
        <w:ind w:firstLine="0"/>
        <w:jc w:val="center"/>
        <w:rPr>
          <w:b/>
          <w:bCs/>
          <w:color w:val="000000" w:themeColor="text1"/>
        </w:rPr>
      </w:pPr>
      <w:r w:rsidRPr="004B7947">
        <w:rPr>
          <w:b/>
          <w:bCs/>
          <w:noProof/>
          <w:color w:val="000000" w:themeColor="text1"/>
        </w:rPr>
        <w:drawing>
          <wp:inline distT="0" distB="0" distL="0" distR="0" wp14:anchorId="04F5FDC4" wp14:editId="6C14FC6D">
            <wp:extent cx="3124200" cy="1536700"/>
            <wp:effectExtent l="0" t="0" r="0" b="0"/>
            <wp:docPr id="16124667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466722" name="图片 16124667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8EDC5" w14:textId="77777777" w:rsidR="00DC3BF1" w:rsidRPr="004B7947" w:rsidRDefault="00DC3BF1" w:rsidP="00C53D4A">
      <w:pPr>
        <w:pStyle w:val="Paragraph"/>
        <w:spacing w:line="480" w:lineRule="auto"/>
        <w:ind w:firstLine="0"/>
        <w:jc w:val="center"/>
        <w:rPr>
          <w:b/>
          <w:bCs/>
          <w:color w:val="000000" w:themeColor="text1"/>
        </w:rPr>
      </w:pPr>
      <w:r w:rsidRPr="004B7947">
        <w:rPr>
          <w:b/>
          <w:bCs/>
          <w:color w:val="000000" w:themeColor="text1"/>
        </w:rPr>
        <w:t>F</w:t>
      </w:r>
      <w:r w:rsidRPr="004B7947">
        <w:rPr>
          <w:rFonts w:hint="eastAsia"/>
          <w:b/>
          <w:bCs/>
          <w:color w:val="000000" w:themeColor="text1"/>
        </w:rPr>
        <w:t>ig</w:t>
      </w:r>
      <w:r w:rsidRPr="004B7947">
        <w:rPr>
          <w:b/>
          <w:bCs/>
          <w:color w:val="000000" w:themeColor="text1"/>
        </w:rPr>
        <w:t xml:space="preserve">. S1. The schedule of </w:t>
      </w:r>
      <w:r w:rsidRPr="004B7947">
        <w:rPr>
          <w:rFonts w:hint="eastAsia"/>
          <w:b/>
          <w:bCs/>
          <w:color w:val="000000" w:themeColor="text1"/>
          <w:lang w:eastAsia="zh-CN"/>
        </w:rPr>
        <w:t>o</w:t>
      </w:r>
      <w:r w:rsidRPr="004B7947">
        <w:rPr>
          <w:b/>
          <w:bCs/>
          <w:color w:val="000000" w:themeColor="text1"/>
        </w:rPr>
        <w:t>rthodontically induced root resorption models.</w:t>
      </w:r>
    </w:p>
    <w:p w14:paraId="38766D51" w14:textId="77777777" w:rsidR="00DC3BF1" w:rsidRPr="004B7947" w:rsidRDefault="00DC3BF1" w:rsidP="00C53D4A">
      <w:pPr>
        <w:pStyle w:val="Paragraph"/>
        <w:spacing w:line="480" w:lineRule="auto"/>
        <w:ind w:firstLine="0"/>
        <w:jc w:val="center"/>
        <w:rPr>
          <w:b/>
          <w:bCs/>
          <w:color w:val="000000" w:themeColor="text1"/>
        </w:rPr>
      </w:pPr>
    </w:p>
    <w:p w14:paraId="324C9298" w14:textId="77777777" w:rsidR="00DC3BF1" w:rsidRPr="004B7947" w:rsidRDefault="00DC3BF1" w:rsidP="00672A87">
      <w:pPr>
        <w:pStyle w:val="Paragraph"/>
        <w:spacing w:line="480" w:lineRule="auto"/>
        <w:ind w:firstLine="0"/>
        <w:jc w:val="both"/>
        <w:rPr>
          <w:b/>
          <w:bCs/>
          <w:color w:val="000000" w:themeColor="text1"/>
        </w:rPr>
      </w:pPr>
      <w:r w:rsidRPr="004B7947">
        <w:rPr>
          <w:b/>
          <w:bCs/>
          <w:noProof/>
          <w:color w:val="000000" w:themeColor="text1"/>
        </w:rPr>
        <w:drawing>
          <wp:inline distT="0" distB="0" distL="0" distR="0" wp14:anchorId="7C24D296" wp14:editId="2BAFC166">
            <wp:extent cx="5372100" cy="1549400"/>
            <wp:effectExtent l="0" t="0" r="0" b="0"/>
            <wp:docPr id="10404328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432802" name="图片 10404328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0A6B6" w14:textId="77777777" w:rsidR="00DC3BF1" w:rsidRPr="004B7947" w:rsidRDefault="00DC3BF1" w:rsidP="00C53D4A">
      <w:pPr>
        <w:pStyle w:val="Paragraph"/>
        <w:spacing w:line="480" w:lineRule="auto"/>
        <w:ind w:firstLine="0"/>
        <w:jc w:val="center"/>
        <w:rPr>
          <w:b/>
          <w:bCs/>
          <w:color w:val="000000" w:themeColor="text1"/>
        </w:rPr>
      </w:pPr>
      <w:r w:rsidRPr="004B7947">
        <w:rPr>
          <w:b/>
          <w:bCs/>
          <w:color w:val="000000" w:themeColor="text1"/>
        </w:rPr>
        <w:lastRenderedPageBreak/>
        <w:t>F</w:t>
      </w:r>
      <w:r w:rsidRPr="004B7947">
        <w:rPr>
          <w:rFonts w:hint="eastAsia"/>
          <w:b/>
          <w:bCs/>
          <w:color w:val="000000" w:themeColor="text1"/>
        </w:rPr>
        <w:t>ig</w:t>
      </w:r>
      <w:r w:rsidRPr="004B7947">
        <w:rPr>
          <w:b/>
          <w:bCs/>
          <w:color w:val="000000" w:themeColor="text1"/>
        </w:rPr>
        <w:t>. S2. Palatal root was marked by green dashed line whereas the resorption area was represented by red.</w:t>
      </w:r>
    </w:p>
    <w:p w14:paraId="3428779F" w14:textId="77777777" w:rsidR="00DC3BF1" w:rsidRPr="004B7947" w:rsidRDefault="00DC3BF1" w:rsidP="00C53D4A">
      <w:pPr>
        <w:pStyle w:val="Paragraph"/>
        <w:spacing w:line="480" w:lineRule="auto"/>
        <w:ind w:firstLine="0"/>
        <w:rPr>
          <w:b/>
          <w:bCs/>
          <w:color w:val="000000" w:themeColor="text1"/>
        </w:rPr>
      </w:pPr>
    </w:p>
    <w:p w14:paraId="0F81F0FF" w14:textId="77777777" w:rsidR="00DC3BF1" w:rsidRPr="004B7947" w:rsidRDefault="00DC3BF1" w:rsidP="00672A87">
      <w:pPr>
        <w:pStyle w:val="Paragraph"/>
        <w:spacing w:line="480" w:lineRule="auto"/>
        <w:ind w:firstLine="0"/>
        <w:jc w:val="both"/>
        <w:rPr>
          <w:b/>
          <w:bCs/>
          <w:color w:val="000000" w:themeColor="text1"/>
        </w:rPr>
      </w:pPr>
      <w:r w:rsidRPr="004B7947">
        <w:rPr>
          <w:b/>
          <w:bCs/>
          <w:noProof/>
          <w:color w:val="000000" w:themeColor="text1"/>
        </w:rPr>
        <w:drawing>
          <wp:inline distT="0" distB="0" distL="0" distR="0" wp14:anchorId="109B381B" wp14:editId="2DC41351">
            <wp:extent cx="5486400" cy="5486400"/>
            <wp:effectExtent l="0" t="0" r="0" b="0"/>
            <wp:docPr id="5657239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23914" name="图片 5657239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71F23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</w:rPr>
      </w:pPr>
      <w:r w:rsidRPr="004B7947">
        <w:rPr>
          <w:b/>
          <w:bCs/>
          <w:color w:val="000000" w:themeColor="text1"/>
        </w:rPr>
        <w:t>F</w:t>
      </w:r>
      <w:r w:rsidRPr="004B7947">
        <w:rPr>
          <w:rFonts w:hint="eastAsia"/>
          <w:b/>
          <w:bCs/>
          <w:color w:val="000000" w:themeColor="text1"/>
        </w:rPr>
        <w:t>ig</w:t>
      </w:r>
      <w:r w:rsidRPr="004B7947">
        <w:rPr>
          <w:b/>
          <w:bCs/>
          <w:color w:val="000000" w:themeColor="text1"/>
        </w:rPr>
        <w:t>. S3. tFNAs-rGO suppresses</w:t>
      </w:r>
      <w:r w:rsidRPr="004B7947">
        <w:rPr>
          <w:rFonts w:hint="eastAsia"/>
          <w:b/>
          <w:bCs/>
          <w:color w:val="000000" w:themeColor="text1"/>
        </w:rPr>
        <w:t xml:space="preserve"> </w:t>
      </w:r>
      <w:r w:rsidRPr="004B7947">
        <w:rPr>
          <w:b/>
          <w:bCs/>
          <w:color w:val="000000" w:themeColor="text1"/>
        </w:rPr>
        <w:t>M1</w:t>
      </w:r>
      <w:r w:rsidRPr="004B7947">
        <w:rPr>
          <w:rFonts w:ascii="宋体" w:eastAsia="宋体" w:hAnsi="宋体" w:cs="宋体"/>
          <w:b/>
          <w:bCs/>
          <w:color w:val="000000" w:themeColor="text1"/>
          <w:lang w:eastAsia="zh-CN"/>
        </w:rPr>
        <w:t>,</w:t>
      </w:r>
      <w:r w:rsidRPr="004B7947">
        <w:rPr>
          <w:b/>
          <w:bCs/>
          <w:color w:val="000000" w:themeColor="text1"/>
        </w:rPr>
        <w:t xml:space="preserve"> promotes M2 polarization, and boosts the migration ability</w:t>
      </w:r>
      <w:r w:rsidRPr="004B7947">
        <w:rPr>
          <w:rFonts w:hint="eastAsia"/>
          <w:b/>
          <w:bCs/>
          <w:color w:val="000000" w:themeColor="text1"/>
        </w:rPr>
        <w:t xml:space="preserve"> in</w:t>
      </w:r>
      <w:r w:rsidRPr="004B7947">
        <w:rPr>
          <w:b/>
          <w:bCs/>
          <w:color w:val="000000" w:themeColor="text1"/>
        </w:rPr>
        <w:t xml:space="preserve"> </w:t>
      </w:r>
      <w:r w:rsidRPr="004B7947">
        <w:rPr>
          <w:rFonts w:hint="eastAsia"/>
          <w:b/>
          <w:bCs/>
          <w:color w:val="000000" w:themeColor="text1"/>
        </w:rPr>
        <w:t>vitro</w:t>
      </w:r>
      <w:r w:rsidRPr="004B7947">
        <w:rPr>
          <w:b/>
          <w:bCs/>
          <w:color w:val="000000" w:themeColor="text1"/>
        </w:rPr>
        <w:t>.</w:t>
      </w:r>
      <w:r w:rsidRPr="004B7947">
        <w:rPr>
          <w:b/>
          <w:bCs/>
          <w:i/>
          <w:iCs/>
          <w:color w:val="000000" w:themeColor="text1"/>
        </w:rPr>
        <w:t xml:space="preserve"> </w:t>
      </w:r>
      <w:r w:rsidRPr="004B7947">
        <w:rPr>
          <w:b/>
          <w:bCs/>
          <w:color w:val="000000" w:themeColor="text1"/>
        </w:rPr>
        <w:t xml:space="preserve">(A) </w:t>
      </w:r>
      <w:r w:rsidRPr="004B7947">
        <w:rPr>
          <w:color w:val="000000" w:themeColor="text1"/>
          <w:lang w:eastAsia="zh-CN"/>
        </w:rPr>
        <w:t>Quantitative RT-PCR analysis of the mRNA levels of M1-like macrophages related genes of RAW264.7 cells after indicated treatment.</w:t>
      </w:r>
      <w:r w:rsidRPr="004B7947">
        <w:rPr>
          <w:b/>
          <w:bCs/>
          <w:color w:val="000000" w:themeColor="text1"/>
        </w:rPr>
        <w:t xml:space="preserve"> (B) </w:t>
      </w:r>
      <w:r w:rsidRPr="004B7947">
        <w:rPr>
          <w:color w:val="000000" w:themeColor="text1"/>
          <w:lang w:eastAsia="zh-CN"/>
        </w:rPr>
        <w:lastRenderedPageBreak/>
        <w:t>Quantitative RT-PCR analysis of the mRNA levels of M2-like macrophages related genes of RAW264.7 cells after indicated treatment.</w:t>
      </w:r>
      <w:r w:rsidRPr="004B7947">
        <w:rPr>
          <w:rFonts w:hint="eastAsia"/>
          <w:color w:val="000000" w:themeColor="text1"/>
        </w:rPr>
        <w:t xml:space="preserve"> </w:t>
      </w:r>
      <w:r w:rsidRPr="004B7947">
        <w:rPr>
          <w:b/>
          <w:bCs/>
          <w:color w:val="000000" w:themeColor="text1"/>
        </w:rPr>
        <w:t>(C)</w:t>
      </w:r>
      <w:r w:rsidRPr="004B7947">
        <w:rPr>
          <w:color w:val="000000" w:themeColor="text1"/>
        </w:rPr>
        <w:t xml:space="preserve"> </w:t>
      </w:r>
      <w:r w:rsidRPr="004B7947">
        <w:rPr>
          <w:color w:val="000000" w:themeColor="text1"/>
          <w:lang w:eastAsia="zh-CN"/>
        </w:rPr>
        <w:t>Immunofluorescence stainin</w:t>
      </w:r>
      <w:r w:rsidRPr="004B7947">
        <w:rPr>
          <w:color w:val="000000" w:themeColor="text1"/>
        </w:rPr>
        <w:t>g</w:t>
      </w:r>
      <w:r w:rsidRPr="004B7947">
        <w:rPr>
          <w:rFonts w:hint="eastAsia"/>
          <w:color w:val="000000" w:themeColor="text1"/>
        </w:rPr>
        <w:t xml:space="preserve"> </w:t>
      </w:r>
      <w:r w:rsidRPr="004B7947">
        <w:rPr>
          <w:color w:val="000000" w:themeColor="text1"/>
        </w:rPr>
        <w:t>show</w:t>
      </w:r>
      <w:r w:rsidRPr="004B7947">
        <w:rPr>
          <w:rFonts w:hint="eastAsia"/>
          <w:color w:val="000000" w:themeColor="text1"/>
        </w:rPr>
        <w:t>ing</w:t>
      </w:r>
      <w:r w:rsidRPr="004B7947">
        <w:rPr>
          <w:color w:val="000000" w:themeColor="text1"/>
        </w:rPr>
        <w:t xml:space="preserve"> the </w:t>
      </w:r>
      <w:r w:rsidRPr="004B7947">
        <w:rPr>
          <w:rFonts w:hint="eastAsia"/>
          <w:color w:val="000000" w:themeColor="text1"/>
        </w:rPr>
        <w:t>i</w:t>
      </w:r>
      <w:r w:rsidRPr="004B7947">
        <w:rPr>
          <w:color w:val="000000" w:themeColor="text1"/>
        </w:rPr>
        <w:t>NOS</w:t>
      </w:r>
      <w:r w:rsidRPr="004B7947">
        <w:rPr>
          <w:color w:val="000000" w:themeColor="text1"/>
          <w:vertAlign w:val="superscript"/>
        </w:rPr>
        <w:t>+</w:t>
      </w:r>
      <w:r w:rsidRPr="004B7947">
        <w:rPr>
          <w:color w:val="000000" w:themeColor="text1"/>
        </w:rPr>
        <w:t xml:space="preserve"> or CD86</w:t>
      </w:r>
      <w:r w:rsidRPr="004B7947">
        <w:rPr>
          <w:color w:val="000000" w:themeColor="text1"/>
          <w:vertAlign w:val="superscript"/>
        </w:rPr>
        <w:t>+</w:t>
      </w:r>
      <w:r w:rsidRPr="004B7947">
        <w:rPr>
          <w:color w:val="000000" w:themeColor="text1"/>
        </w:rPr>
        <w:t xml:space="preserve"> RAW264.7 cells. Scale bar: 100 μm. </w:t>
      </w:r>
      <w:r w:rsidRPr="004B7947">
        <w:rPr>
          <w:b/>
          <w:bCs/>
          <w:color w:val="000000" w:themeColor="text1"/>
        </w:rPr>
        <w:t>(D)</w:t>
      </w:r>
      <w:r w:rsidRPr="004B7947">
        <w:rPr>
          <w:color w:val="000000" w:themeColor="text1"/>
        </w:rPr>
        <w:t xml:space="preserve"> </w:t>
      </w:r>
      <w:r w:rsidRPr="004B7947">
        <w:rPr>
          <w:color w:val="000000" w:themeColor="text1"/>
          <w:lang w:eastAsia="zh-CN"/>
        </w:rPr>
        <w:t>Immunofluorescence staining</w:t>
      </w:r>
      <w:r w:rsidRPr="004B7947">
        <w:rPr>
          <w:color w:val="000000" w:themeColor="text1"/>
        </w:rPr>
        <w:t xml:space="preserve"> show</w:t>
      </w:r>
      <w:r w:rsidRPr="004B7947">
        <w:rPr>
          <w:rFonts w:hint="eastAsia"/>
          <w:color w:val="000000" w:themeColor="text1"/>
        </w:rPr>
        <w:t>ing</w:t>
      </w:r>
      <w:r w:rsidRPr="004B7947">
        <w:rPr>
          <w:color w:val="000000" w:themeColor="text1"/>
        </w:rPr>
        <w:t xml:space="preserve"> the </w:t>
      </w:r>
      <w:r w:rsidRPr="004B7947">
        <w:rPr>
          <w:color w:val="000000" w:themeColor="text1"/>
          <w:lang w:eastAsia="zh-CN"/>
        </w:rPr>
        <w:t>CD163</w:t>
      </w:r>
      <w:r w:rsidRPr="004B7947">
        <w:rPr>
          <w:color w:val="000000" w:themeColor="text1"/>
          <w:vertAlign w:val="superscript"/>
        </w:rPr>
        <w:t>+</w:t>
      </w:r>
      <w:r w:rsidRPr="004B7947">
        <w:rPr>
          <w:color w:val="000000" w:themeColor="text1"/>
        </w:rPr>
        <w:t xml:space="preserve"> or CD206</w:t>
      </w:r>
      <w:r w:rsidRPr="004B7947">
        <w:rPr>
          <w:color w:val="000000" w:themeColor="text1"/>
          <w:vertAlign w:val="superscript"/>
        </w:rPr>
        <w:t>+</w:t>
      </w:r>
      <w:r w:rsidRPr="004B7947">
        <w:rPr>
          <w:color w:val="000000" w:themeColor="text1"/>
        </w:rPr>
        <w:t xml:space="preserve"> RAW264.7 cells after</w:t>
      </w:r>
      <w:r w:rsidRPr="004B7947">
        <w:rPr>
          <w:color w:val="000000" w:themeColor="text1"/>
          <w:lang w:eastAsia="zh-CN"/>
        </w:rPr>
        <w:t xml:space="preserve"> indicated treatment. </w:t>
      </w:r>
      <w:r w:rsidRPr="004B7947">
        <w:rPr>
          <w:color w:val="000000" w:themeColor="text1"/>
        </w:rPr>
        <w:t>Scale bar: 100 μm.</w:t>
      </w:r>
      <w:r w:rsidRPr="004B7947">
        <w:rPr>
          <w:color w:val="000000" w:themeColor="text1"/>
          <w:lang w:eastAsia="zh-CN"/>
        </w:rPr>
        <w:t xml:space="preserve"> </w:t>
      </w:r>
      <w:r w:rsidRPr="004B7947">
        <w:rPr>
          <w:b/>
          <w:bCs/>
          <w:color w:val="000000" w:themeColor="text1"/>
        </w:rPr>
        <w:t>(E)</w:t>
      </w:r>
      <w:r w:rsidRPr="004B7947">
        <w:rPr>
          <w:color w:val="000000" w:themeColor="text1"/>
        </w:rPr>
        <w:t xml:space="preserve"> </w:t>
      </w:r>
      <w:r w:rsidRPr="004B7947">
        <w:rPr>
          <w:color w:val="000000" w:themeColor="text1"/>
          <w:lang w:eastAsia="zh-CN"/>
        </w:rPr>
        <w:t>Crystal violet staining</w:t>
      </w:r>
      <w:r w:rsidRPr="004B7947">
        <w:rPr>
          <w:color w:val="000000" w:themeColor="text1"/>
        </w:rPr>
        <w:t xml:space="preserve"> show</w:t>
      </w:r>
      <w:r w:rsidRPr="004B7947">
        <w:rPr>
          <w:rFonts w:hint="eastAsia"/>
          <w:color w:val="000000" w:themeColor="text1"/>
        </w:rPr>
        <w:t>ing</w:t>
      </w:r>
      <w:r w:rsidRPr="004B7947">
        <w:rPr>
          <w:color w:val="000000" w:themeColor="text1"/>
        </w:rPr>
        <w:t xml:space="preserve"> the migration ability of RAW264.7 cells after</w:t>
      </w:r>
      <w:r w:rsidRPr="004B7947">
        <w:rPr>
          <w:color w:val="000000" w:themeColor="text1"/>
          <w:lang w:eastAsia="zh-CN"/>
        </w:rPr>
        <w:t xml:space="preserve"> indicated treatment. </w:t>
      </w:r>
      <w:r w:rsidRPr="004B7947">
        <w:rPr>
          <w:color w:val="000000" w:themeColor="text1"/>
        </w:rPr>
        <w:t xml:space="preserve">Scale bar: 200 μm. Data are represented as mean ± SEM. * </w:t>
      </w:r>
      <w:r w:rsidRPr="004B7947">
        <w:rPr>
          <w:i/>
          <w:iCs/>
          <w:color w:val="000000" w:themeColor="text1"/>
        </w:rPr>
        <w:t>P</w:t>
      </w:r>
      <w:r w:rsidRPr="004B7947">
        <w:rPr>
          <w:color w:val="000000" w:themeColor="text1"/>
        </w:rPr>
        <w:t xml:space="preserve"> &lt; 0.05, ** </w:t>
      </w:r>
      <w:r w:rsidRPr="004B7947">
        <w:rPr>
          <w:i/>
          <w:iCs/>
          <w:color w:val="000000" w:themeColor="text1"/>
        </w:rPr>
        <w:t>P</w:t>
      </w:r>
      <w:r w:rsidRPr="004B7947">
        <w:rPr>
          <w:color w:val="000000" w:themeColor="text1"/>
        </w:rPr>
        <w:t xml:space="preserve"> &lt; 0.01, *** </w:t>
      </w:r>
      <w:r w:rsidRPr="004B7947">
        <w:rPr>
          <w:i/>
          <w:iCs/>
          <w:color w:val="000000" w:themeColor="text1"/>
        </w:rPr>
        <w:t>P</w:t>
      </w:r>
      <w:r w:rsidRPr="004B7947">
        <w:rPr>
          <w:color w:val="000000" w:themeColor="text1"/>
        </w:rPr>
        <w:t xml:space="preserve"> &lt; 0.001.</w:t>
      </w:r>
    </w:p>
    <w:p w14:paraId="3742338B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01C02D52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449763C0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7EDAA918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25960797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07ADE7BA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359F8311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4373FB5E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537F16F8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4DA10F6B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36D96838" w14:textId="77777777" w:rsidR="00DC3BF1" w:rsidRPr="004B7947" w:rsidRDefault="00DC3BF1" w:rsidP="00160EAB">
      <w:pPr>
        <w:pStyle w:val="Paragraph"/>
        <w:spacing w:line="480" w:lineRule="auto"/>
        <w:ind w:firstLine="0"/>
        <w:jc w:val="both"/>
        <w:rPr>
          <w:color w:val="000000" w:themeColor="text1"/>
          <w:lang w:eastAsia="zh-CN"/>
        </w:rPr>
      </w:pPr>
    </w:p>
    <w:p w14:paraId="4D7FF8D8" w14:textId="77777777" w:rsidR="00DC3BF1" w:rsidRPr="004B7947" w:rsidRDefault="00DC3BF1" w:rsidP="00D0366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Supplementary T</w:t>
      </w:r>
      <w:r w:rsidRPr="004B7947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ables</w:t>
      </w:r>
    </w:p>
    <w:p w14:paraId="417A61C4" w14:textId="77777777" w:rsidR="00DC3BF1" w:rsidRPr="004B7947" w:rsidRDefault="00DC3BF1" w:rsidP="00D0366D">
      <w:pPr>
        <w:spacing w:afterLines="50" w:after="156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t>Table S1. The sequences of each</w:t>
      </w:r>
      <w:r w:rsidRPr="004B7947">
        <w:rPr>
          <w:color w:val="000000" w:themeColor="text1"/>
        </w:rPr>
        <w:t xml:space="preserve"> </w:t>
      </w: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t>single-stranded</w:t>
      </w:r>
      <w:r w:rsidRPr="004B7947">
        <w:rPr>
          <w:color w:val="000000" w:themeColor="text1"/>
        </w:rPr>
        <w:t xml:space="preserve"> </w:t>
      </w: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t>DNA (ssDNA).</w:t>
      </w:r>
    </w:p>
    <w:tbl>
      <w:tblPr>
        <w:tblStyle w:val="a3"/>
        <w:tblW w:w="8505" w:type="dxa"/>
        <w:tblLayout w:type="fixed"/>
        <w:tblLook w:val="04A0" w:firstRow="1" w:lastRow="0" w:firstColumn="1" w:lastColumn="0" w:noHBand="0" w:noVBand="1"/>
      </w:tblPr>
      <w:tblGrid>
        <w:gridCol w:w="1418"/>
        <w:gridCol w:w="7087"/>
      </w:tblGrid>
      <w:tr w:rsidR="004B7947" w:rsidRPr="004B7947" w14:paraId="11E08464" w14:textId="77777777" w:rsidTr="00F71EC6">
        <w:trPr>
          <w:trHeight w:val="538"/>
        </w:trPr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0F057A3E" w14:textId="77777777" w:rsidR="00DC3BF1" w:rsidRPr="004B7947" w:rsidRDefault="00DC3BF1" w:rsidP="0030158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ssDNA</w:t>
            </w:r>
          </w:p>
        </w:tc>
        <w:tc>
          <w:tcPr>
            <w:tcW w:w="7087" w:type="dxa"/>
            <w:tcBorders>
              <w:left w:val="nil"/>
              <w:bottom w:val="single" w:sz="4" w:space="0" w:color="auto"/>
              <w:right w:val="nil"/>
            </w:tcBorders>
          </w:tcPr>
          <w:p w14:paraId="602F4E6D" w14:textId="77777777" w:rsidR="00DC3BF1" w:rsidRPr="004B7947" w:rsidRDefault="00DC3BF1" w:rsidP="0030158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Sequences (from 5′ to 3′)</w:t>
            </w:r>
          </w:p>
        </w:tc>
      </w:tr>
      <w:tr w:rsidR="004B7947" w:rsidRPr="004B7947" w14:paraId="24F2F407" w14:textId="77777777" w:rsidTr="00F71EC6"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6D43AD2B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7087" w:type="dxa"/>
            <w:tcBorders>
              <w:left w:val="nil"/>
              <w:bottom w:val="nil"/>
              <w:right w:val="nil"/>
            </w:tcBorders>
          </w:tcPr>
          <w:p w14:paraId="58573757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ATTTATCACCCGCCATAGTAGACGTATCACCAGGCAGTTGAGACGAACATTCCTAAGTCTGAA</w:t>
            </w:r>
          </w:p>
        </w:tc>
      </w:tr>
      <w:tr w:rsidR="004B7947" w:rsidRPr="004B7947" w14:paraId="3284DE39" w14:textId="77777777" w:rsidTr="00F71E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78867D8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67047EE4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ACATGCGAGGGTCCAATACCGACGATTACAGCTTGCTACACGATTCAGACTTAGGAATGTTCG</w:t>
            </w:r>
          </w:p>
        </w:tc>
      </w:tr>
      <w:tr w:rsidR="004B7947" w:rsidRPr="004B7947" w14:paraId="7CD98DDC" w14:textId="77777777" w:rsidTr="00F71EC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E4E120A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0416E19A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ACTACTATGGCGGGTGATAAAACGTGTAGCAAGCTGTAATCGAGGGAAGAGCATGCCCATCC</w:t>
            </w:r>
          </w:p>
        </w:tc>
      </w:tr>
      <w:tr w:rsidR="00DC3BF1" w:rsidRPr="004B7947" w14:paraId="0A74AB43" w14:textId="77777777" w:rsidTr="00F71EC6"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124249D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7087" w:type="dxa"/>
            <w:tcBorders>
              <w:top w:val="nil"/>
              <w:left w:val="nil"/>
              <w:right w:val="nil"/>
            </w:tcBorders>
          </w:tcPr>
          <w:p w14:paraId="229D5FE5" w14:textId="77777777" w:rsidR="00DC3BF1" w:rsidRPr="004B7947" w:rsidRDefault="00DC3BF1" w:rsidP="0030158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ACGGTATTGGACCCTCGCATGACTCAACTGCCTGGTGATACGAGGATGGGCATGCTCTTCCCG</w:t>
            </w:r>
          </w:p>
        </w:tc>
      </w:tr>
    </w:tbl>
    <w:p w14:paraId="38DADF5D" w14:textId="77777777" w:rsidR="00DC3BF1" w:rsidRPr="004B7947" w:rsidRDefault="00DC3BF1" w:rsidP="00D0366D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FB7CB33" w14:textId="77777777" w:rsidR="00DC3BF1" w:rsidRPr="004B7947" w:rsidRDefault="00DC3BF1" w:rsidP="00D0366D">
      <w:pPr>
        <w:spacing w:afterLines="50" w:after="156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t>Table S2.</w:t>
      </w:r>
      <w:r w:rsidRPr="004B7947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t>Sequences of forward and reverse primers of the housekeeper gene and related genes designed for qRT-PCR.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0"/>
        <w:gridCol w:w="6095"/>
      </w:tblGrid>
      <w:tr w:rsidR="004B7947" w:rsidRPr="004B7947" w14:paraId="15D746E0" w14:textId="77777777" w:rsidTr="00F71EC6">
        <w:trPr>
          <w:trHeight w:val="558"/>
        </w:trPr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8FB4A42" w14:textId="77777777" w:rsidR="00DC3BF1" w:rsidRPr="004B7947" w:rsidRDefault="00DC3BF1" w:rsidP="0030158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Gene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nil"/>
            </w:tcBorders>
          </w:tcPr>
          <w:p w14:paraId="2B5C7A94" w14:textId="77777777" w:rsidR="00DC3BF1" w:rsidRPr="004B7947" w:rsidRDefault="00DC3BF1" w:rsidP="0030158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Primer Sequence (from 5′ to 3′)</w:t>
            </w:r>
          </w:p>
        </w:tc>
      </w:tr>
      <w:tr w:rsidR="004B7947" w:rsidRPr="004B7947" w14:paraId="2A0260DD" w14:textId="77777777" w:rsidTr="00F71EC6">
        <w:trPr>
          <w:trHeight w:hRule="exact" w:val="851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6C14F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Gapdh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2EDE9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TGTTTCCTCGTCCCGTAGA -3’</w:t>
            </w:r>
          </w:p>
          <w:p w14:paraId="679DC102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ATCTCCACTTTGCCACTGC -3’</w:t>
            </w:r>
          </w:p>
        </w:tc>
      </w:tr>
      <w:tr w:rsidR="004B7947" w:rsidRPr="004B7947" w14:paraId="47A5C05B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84AD0C8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Gapdh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(human)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93861F9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GCCAACGTGTCAGTGGTG -3’</w:t>
            </w:r>
          </w:p>
          <w:p w14:paraId="731354B6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AAGGTGGAGGAGTGGGTGT -3’</w:t>
            </w:r>
          </w:p>
        </w:tc>
      </w:tr>
      <w:tr w:rsidR="004B7947" w:rsidRPr="004B7947" w14:paraId="0B5E35FA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CD12ED0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Ocn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(human)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3FFDAD8A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GGCGCTACCTGTATCAATGG -3’</w:t>
            </w:r>
          </w:p>
          <w:p w14:paraId="01F76805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GTGGTCAGCCAACTCGTCA -3’</w:t>
            </w:r>
          </w:p>
        </w:tc>
      </w:tr>
      <w:tr w:rsidR="004B7947" w:rsidRPr="004B7947" w14:paraId="430943FA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849671A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Opn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(human)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3053284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CTCCATTGACTCGAACGACTC -3’</w:t>
            </w:r>
          </w:p>
          <w:p w14:paraId="296FD9F5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CAGGTCTGCGAAACTTCTTAGAT -3’</w:t>
            </w:r>
          </w:p>
        </w:tc>
      </w:tr>
      <w:tr w:rsidR="004B7947" w:rsidRPr="004B7947" w14:paraId="55FE1941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819B98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Runx-2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(human)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83B04E3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TGGTTACTGTCATGGCGGGTA -3’</w:t>
            </w:r>
          </w:p>
          <w:p w14:paraId="3B375D2B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TCTCAGATCGTTGAACCTGCTA -3’</w:t>
            </w:r>
          </w:p>
        </w:tc>
      </w:tr>
      <w:tr w:rsidR="004B7947" w:rsidRPr="004B7947" w14:paraId="10F454A7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01BBC44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Osterix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(human)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3123487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CTCCTTTCACCTGCAGGCAG -3’</w:t>
            </w:r>
          </w:p>
          <w:p w14:paraId="3C75DEE2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CAGACAGTCAGAAGAGCTGT -3’</w:t>
            </w:r>
          </w:p>
        </w:tc>
      </w:tr>
      <w:tr w:rsidR="004B7947" w:rsidRPr="004B7947" w14:paraId="6258A5B2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8604843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>Alp</w:t>
            </w:r>
            <w:r w:rsidRPr="004B7947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</w:rPr>
              <w:t xml:space="preserve">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(human)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0C0F1A7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ACTGGTACTCAGACAACGAGAT -3’</w:t>
            </w:r>
          </w:p>
          <w:p w14:paraId="3503802A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ACGTCAATGTCCCTGATGTTATG -3’</w:t>
            </w:r>
          </w:p>
        </w:tc>
      </w:tr>
      <w:tr w:rsidR="004B7947" w:rsidRPr="004B7947" w14:paraId="51C9C1EE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DD980B7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Tnf-α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C2BF1A1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CCCTCACACTCAGATCATCTTCT -3’</w:t>
            </w:r>
          </w:p>
          <w:p w14:paraId="5CE17EC9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GCTACGACGTGGGCTACAG -3’</w:t>
            </w:r>
          </w:p>
        </w:tc>
      </w:tr>
      <w:tr w:rsidR="004B7947" w:rsidRPr="004B7947" w14:paraId="0B162271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421AA4B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lastRenderedPageBreak/>
              <w:t>Inos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A8EC920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GTTCTCAGCCCAACAATACAAGA -3’</w:t>
            </w:r>
          </w:p>
          <w:p w14:paraId="32C6AE36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GTGGACGGGTCGATGTCAC -3’</w:t>
            </w:r>
          </w:p>
        </w:tc>
      </w:tr>
      <w:tr w:rsidR="004B7947" w:rsidRPr="004B7947" w14:paraId="7C57FA3C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B33EDD7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Arg-1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2383210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ACATTGGCTTGCGAGACGTA -3’</w:t>
            </w:r>
          </w:p>
          <w:p w14:paraId="00E56B74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ATCACCTTGCCAATCCCCAG -3’</w:t>
            </w:r>
          </w:p>
        </w:tc>
      </w:tr>
      <w:tr w:rsidR="004B7947" w:rsidRPr="004B7947" w14:paraId="700FCB6A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627B95F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Tgf-β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CFF5457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CTCCCGTGGCTTCTAGTGC -3’</w:t>
            </w:r>
          </w:p>
          <w:p w14:paraId="7A537DD8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GCCTTAGTTTGGACAGGATCTG -3’</w:t>
            </w:r>
          </w:p>
        </w:tc>
      </w:tr>
      <w:tr w:rsidR="004B7947" w:rsidRPr="004B7947" w14:paraId="1F0950AA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8FB9CC4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>Cd206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7B9DD66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ATGGATTGCCCTGAACAGCA -3’</w:t>
            </w:r>
          </w:p>
          <w:p w14:paraId="106F75DD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CTCGTCAGCACCCCAGTTAG -3’</w:t>
            </w:r>
          </w:p>
        </w:tc>
      </w:tr>
      <w:tr w:rsidR="00DC3BF1" w:rsidRPr="004B7947" w14:paraId="7F85C690" w14:textId="77777777" w:rsidTr="00F71EC6">
        <w:trPr>
          <w:trHeight w:hRule="exact" w:val="851"/>
        </w:trPr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43685822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 xml:space="preserve">Il-1β 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(</w:t>
            </w: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Murine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</w:tcPr>
          <w:p w14:paraId="1509EA0B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F 5’- GTATGGGCTGGACTGTTTC -3’</w:t>
            </w:r>
          </w:p>
          <w:p w14:paraId="38646BBB" w14:textId="77777777" w:rsidR="00DC3BF1" w:rsidRPr="004B7947" w:rsidRDefault="00DC3BF1" w:rsidP="0030158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 w:val="24"/>
              </w:rPr>
              <w:t>R 5’- GCTGTCTGCTCATTCACG -3’</w:t>
            </w:r>
          </w:p>
        </w:tc>
      </w:tr>
    </w:tbl>
    <w:p w14:paraId="4A1F7627" w14:textId="77777777" w:rsidR="00DC3BF1" w:rsidRPr="004B7947" w:rsidRDefault="00DC3BF1" w:rsidP="00A453EC">
      <w:pPr>
        <w:rPr>
          <w:color w:val="000000" w:themeColor="text1"/>
        </w:rPr>
      </w:pPr>
    </w:p>
    <w:p w14:paraId="681EB859" w14:textId="77777777" w:rsidR="00DC3BF1" w:rsidRPr="004B7947" w:rsidRDefault="00DC3BF1" w:rsidP="00716F43">
      <w:pPr>
        <w:spacing w:afterLines="50" w:after="156"/>
        <w:rPr>
          <w:rFonts w:ascii="Times New Roman" w:hAnsi="Times New Roman" w:cs="Times New Roman"/>
          <w:b/>
          <w:bCs/>
          <w:color w:val="000000" w:themeColor="text1"/>
          <w:sz w:val="24"/>
        </w:rPr>
        <w:sectPr w:rsidR="00DC3BF1" w:rsidRPr="004B7947" w:rsidSect="00EB54DE">
          <w:pgSz w:w="12240" w:h="15840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7D931F3F" w14:textId="77777777" w:rsidR="00DC3BF1" w:rsidRPr="004B7947" w:rsidRDefault="00DC3BF1" w:rsidP="00716F43">
      <w:pPr>
        <w:spacing w:afterLines="50" w:after="156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S3. Comparison of the tFNAs-rGO complex with previously published biomaterials in root bone related diseases</w:t>
      </w:r>
      <w:r w:rsidRPr="004B7947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</w:p>
    <w:tbl>
      <w:tblPr>
        <w:tblStyle w:val="a3"/>
        <w:tblW w:w="14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9"/>
        <w:gridCol w:w="2120"/>
        <w:gridCol w:w="3261"/>
        <w:gridCol w:w="2132"/>
        <w:gridCol w:w="2551"/>
        <w:gridCol w:w="850"/>
      </w:tblGrid>
      <w:tr w:rsidR="004B7947" w:rsidRPr="004B7947" w14:paraId="6AEE5256" w14:textId="77777777" w:rsidTr="00EC50F5">
        <w:trPr>
          <w:trHeight w:val="383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022A9D4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Biomaterial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CD9D9E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Component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C8902A7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Preparation method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F37A00D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Main results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403F56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 xml:space="preserve">Advantages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6EA52B9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Disadvantages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674690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Ref.</w:t>
            </w:r>
          </w:p>
        </w:tc>
      </w:tr>
      <w:tr w:rsidR="004B7947" w:rsidRPr="004B7947" w14:paraId="7CD983B1" w14:textId="77777777" w:rsidTr="00EC50F5">
        <w:tc>
          <w:tcPr>
            <w:tcW w:w="169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3D9A5F3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tFNAs-rGO complex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FC04D1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tFNAs, rGO 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5A682F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Self-assembly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A5BC470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Enhanced osteogenic differentiation of PDLCs and facilitated M2-phenotype polarization of macrophages to ameliorate OIRR</w:t>
            </w:r>
          </w:p>
        </w:tc>
        <w:tc>
          <w:tcPr>
            <w:tcW w:w="213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8BF62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Simple synthesis, high reproducibility, relatively stability, and dual functionality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D6ED436" w14:textId="77777777" w:rsidR="00DC3BF1" w:rsidRPr="004B7947" w:rsidRDefault="00DC3BF1" w:rsidP="00DA3944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Metabolism, immunoreaction unknown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FD0159A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color w:val="000000" w:themeColor="text1"/>
                <w:szCs w:val="21"/>
              </w:rPr>
              <w:t>Our</w:t>
            </w:r>
            <w:r w:rsidRPr="004B794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s</w:t>
            </w:r>
            <w:r w:rsidRPr="004B7947">
              <w:rPr>
                <w:rFonts w:ascii="Times New Roman" w:hAnsi="Times New Roman" w:cs="Times New Roman"/>
                <w:color w:val="000000" w:themeColor="text1"/>
                <w:szCs w:val="21"/>
              </w:rPr>
              <w:t>tudy</w:t>
            </w:r>
          </w:p>
        </w:tc>
      </w:tr>
      <w:tr w:rsidR="004B7947" w:rsidRPr="004B7947" w14:paraId="61F91F44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3F9E19D5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Melt electrowriting scaffolds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2F51D60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3D printed bone compartment, melt electrospun PDL compartment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718C6F41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Melt electrowriting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339510F7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Guided periodontal ligament fiber attachment to the tooth root and alveolar bone interfaces, achieved periodontal regeneration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78B8B369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Porous, highly adaptable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0C7C19F" w14:textId="77777777" w:rsidR="00DC3BF1" w:rsidRPr="004B7947" w:rsidRDefault="00DC3BF1" w:rsidP="00716F43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Complex preparation, high equipment requirements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A5BE1FA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[1]</w:t>
            </w:r>
          </w:p>
        </w:tc>
      </w:tr>
      <w:tr w:rsidR="004B7947" w:rsidRPr="004B7947" w14:paraId="433AE633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2D315FAD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Nanofibrous membrane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5A303FDF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Magnesium oxide nanoparticles, pol/gelatin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080F278E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Electrospun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486D2862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Guided periodontal tissue regeneration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1EB3217A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Early antibacterial activity, elevated tensile strength 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5918120C" w14:textId="77777777" w:rsidR="00DC3BF1" w:rsidRPr="004B7947" w:rsidRDefault="00DC3BF1" w:rsidP="00716F43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Short antibacterial time limit, broad spectrum antibacterial activity unknown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B793034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[2]</w:t>
            </w:r>
          </w:p>
        </w:tc>
      </w:tr>
      <w:tr w:rsidR="004B7947" w:rsidRPr="004B7947" w14:paraId="505A25A7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459E0BEB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3D matrix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5B3C049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Collagen, sodium alginate and titanium oxide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28892D5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Fibrin precipitation, freeze-drying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319D083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Supported the differentiation of the HPLF cells into osteoblastogenic lineage cells in-vitro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70512D39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High porosity, stiffness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540DE96" w14:textId="77777777" w:rsidR="00DC3BF1" w:rsidRPr="004B7947" w:rsidRDefault="00DC3BF1" w:rsidP="004F4F3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Effect in vivo remains to be confirmed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4A81C7F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[3]</w:t>
            </w:r>
          </w:p>
        </w:tc>
      </w:tr>
      <w:tr w:rsidR="004B7947" w:rsidRPr="004B7947" w14:paraId="270E26C4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2D6358A0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Acerogenin peptide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574BCD9D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Tyrosine, enamel matrix derivative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121BD18F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High performance liquid chromatography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50432667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Stimulated migration of human periodontal ligament cells and HUVECs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3B2513E3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Commercialization of basic materials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878B679" w14:textId="77777777" w:rsidR="00DC3BF1" w:rsidRPr="004B7947" w:rsidRDefault="00DC3BF1" w:rsidP="00716F43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Complex and unclear composition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9FCEC9D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[4]</w:t>
            </w:r>
          </w:p>
        </w:tc>
      </w:tr>
      <w:tr w:rsidR="004B7947" w:rsidRPr="004B7947" w14:paraId="200E6A9D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64F1FDF9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Nanoparticle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32A93251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Fibrin chitosan matrices, ε-aminocaproic acid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1FFC26BE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Fibrin precipitation, tripolyphosphate initiated ionic gelation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27670E4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Developed structural integrations of the cementum-periodontal ligament-bone complex 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379BB00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Feasibility of tooth roof-of-furcation defects regeneration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ABCEE82" w14:textId="77777777" w:rsidR="00DC3BF1" w:rsidRPr="004B7947" w:rsidRDefault="00DC3BF1" w:rsidP="003848E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Complex composition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D16D5A1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[5]</w:t>
            </w:r>
          </w:p>
        </w:tc>
      </w:tr>
      <w:tr w:rsidR="004B7947" w:rsidRPr="004B7947" w14:paraId="556BDFEE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641CDCE1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Platelet-derived growth factor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42528765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Chitosan/coral composites, platelet-derived growth factor B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7320F77E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Freeze-drying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52C399C1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Promoted HPLCs proliferation and periodontal regeneration 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34EE5A0E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Large internal surface, easy plasticity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370195DE" w14:textId="77777777" w:rsidR="00DC3BF1" w:rsidRPr="004B7947" w:rsidRDefault="00DC3BF1" w:rsidP="003848E3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Transient effectiveness, immunogenicity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2DF23C3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[6]</w:t>
            </w:r>
          </w:p>
        </w:tc>
      </w:tr>
      <w:tr w:rsidR="004B7947" w:rsidRPr="004B7947" w14:paraId="0C4404D0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267AA37A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Hydrogel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49DE3605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β-glycerophosphate, chitosan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6CCB283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Steam sterilization, aggregation induced self-assembly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48D2D458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Promoted periodontal tissue regeneration class III furcation defects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5B29124D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Temperature control, biocompatibility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51B0081C" w14:textId="77777777" w:rsidR="00DC3BF1" w:rsidRPr="004B7947" w:rsidRDefault="00DC3BF1" w:rsidP="00716F43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Unclear immunological response, poor mechanical performance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93408D7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[7]</w:t>
            </w:r>
          </w:p>
        </w:tc>
      </w:tr>
      <w:tr w:rsidR="004B7947" w:rsidRPr="004B7947" w14:paraId="7F750E0B" w14:textId="77777777" w:rsidTr="00EC50F5">
        <w:tc>
          <w:tcPr>
            <w:tcW w:w="1696" w:type="dxa"/>
            <w:shd w:val="clear" w:color="auto" w:fill="D9E2F3" w:themeFill="accent1" w:themeFillTint="33"/>
          </w:tcPr>
          <w:p w14:paraId="287957D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Scaffold/hydrogel membrane</w:t>
            </w:r>
          </w:p>
        </w:tc>
        <w:tc>
          <w:tcPr>
            <w:tcW w:w="1849" w:type="dxa"/>
            <w:shd w:val="clear" w:color="auto" w:fill="D9E2F3" w:themeFill="accent1" w:themeFillTint="33"/>
          </w:tcPr>
          <w:p w14:paraId="522B7007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Wollastonite scaffolds, gelatin hydrogel</w:t>
            </w:r>
          </w:p>
        </w:tc>
        <w:tc>
          <w:tcPr>
            <w:tcW w:w="2120" w:type="dxa"/>
            <w:shd w:val="clear" w:color="auto" w:fill="D9E2F3" w:themeFill="accent1" w:themeFillTint="33"/>
          </w:tcPr>
          <w:p w14:paraId="67759ABA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Digital light processing, photo-crosslinked technique</w:t>
            </w:r>
          </w:p>
        </w:tc>
        <w:tc>
          <w:tcPr>
            <w:tcW w:w="3261" w:type="dxa"/>
            <w:shd w:val="clear" w:color="auto" w:fill="D9E2F3" w:themeFill="accent1" w:themeFillTint="33"/>
          </w:tcPr>
          <w:p w14:paraId="25BDB7C6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Exhibited favorable cell viability and osteogenic ability, a strong periodontal regeneration capability</w:t>
            </w:r>
          </w:p>
        </w:tc>
        <w:tc>
          <w:tcPr>
            <w:tcW w:w="2132" w:type="dxa"/>
            <w:shd w:val="clear" w:color="auto" w:fill="D9E2F3" w:themeFill="accent1" w:themeFillTint="33"/>
          </w:tcPr>
          <w:p w14:paraId="7A3FF779" w14:textId="77777777" w:rsidR="00DC3BF1" w:rsidRPr="004B7947" w:rsidRDefault="00DC3BF1" w:rsidP="00716F43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Precise tissue regeneration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0305E747" w14:textId="77777777" w:rsidR="00DC3BF1" w:rsidRPr="004B7947" w:rsidRDefault="00DC3BF1" w:rsidP="00716F43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Complicated technology, high-level equipment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14864E43" w14:textId="77777777" w:rsidR="00DC3BF1" w:rsidRPr="004B7947" w:rsidRDefault="00DC3BF1" w:rsidP="00EC50F5">
            <w:pPr>
              <w:spacing w:afterLines="50" w:after="156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B7947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[8]</w:t>
            </w:r>
          </w:p>
        </w:tc>
      </w:tr>
    </w:tbl>
    <w:p w14:paraId="48A8CB8F" w14:textId="77777777" w:rsidR="00DC3BF1" w:rsidRPr="004B7947" w:rsidRDefault="00DC3BF1" w:rsidP="00A453EC">
      <w:pPr>
        <w:rPr>
          <w:rFonts w:ascii="Times New Roman" w:hAnsi="Times New Roman" w:cs="Times New Roman"/>
          <w:b/>
          <w:bCs/>
          <w:color w:val="000000" w:themeColor="text1"/>
          <w:sz w:val="24"/>
        </w:rPr>
        <w:sectPr w:rsidR="00DC3BF1" w:rsidRPr="004B7947" w:rsidSect="00716F43">
          <w:pgSz w:w="15840" w:h="12240" w:orient="landscape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</w:p>
    <w:p w14:paraId="0E9607B1" w14:textId="77777777" w:rsidR="00DC3BF1" w:rsidRPr="004B7947" w:rsidRDefault="00DC3BF1" w:rsidP="009B3771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Reference</w:t>
      </w:r>
    </w:p>
    <w:p w14:paraId="2CB1C381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1.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Staples R, Ivanovski S, Vaswani K, Vaquette C: Melt electrowriting scaffolds with fibre-guiding features for periodontal attachment. Acta Biomaterialia 2024, 180:337-357.</w:t>
      </w:r>
    </w:p>
    <w:p w14:paraId="3AA5FA2A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2.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Liu X, He X, Jin D, Wu S, Wang H, Yin M, Aldalbahi A, El-Newehy M, Mo X, Wu J: A biodegradable multifunctional nanofibrous membrane for periodontal tissue regeneration. Acta Biomaterialia 2020, 108:207-222.</w:t>
      </w:r>
    </w:p>
    <w:p w14:paraId="0C7AEFFB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3.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Elango J, Selvaganapathy PR, Lazzari G, Bao B, Wenhui W: Biomimetic collagen-sodium alginate-titanium oxide (TiO2) 3D matrix supports differentiated periodontal ligament fibroblasts growth for periodontal tissue regeneration. International Journal of Biological Macromolecules 2020, 163.</w:t>
      </w:r>
    </w:p>
    <w:p w14:paraId="6355380A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4.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Jonke E, Gemperli AC, Zhang T, Özdemir B, Dard M, Rausch-Fan X, Andrukhov O: Effect of tyrosine-rich amelogenin peptide on behavior and differentiation of endothelial cells. Clinical Oral Investigations 2016, 20:2275-2284.</w:t>
      </w:r>
    </w:p>
    <w:p w14:paraId="5753B8E3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5.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Park CH, Oh J-H, Jung H-M, Choi Y, Rahman SU, Kim S, Kim T-I, Shin H-I, Lee Y-S, Yu FH, et al: Effects of the incorporation of ε-aminocaproic acid/chitosan particles to fibrin on cementoblast differentiation and cementum regeneration. Acta Biomaterialia 2017, 61:134-143.</w:t>
      </w:r>
    </w:p>
    <w:p w14:paraId="41E8D3D3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6.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Zhang Y, Wang Y, Shi B, Cheng X: A platelet-derived growth factor releasing chitosan/coral composite scaffold for periodontal tissue engineering. Biomaterials 2007, 28:1515-1522.</w:t>
      </w:r>
    </w:p>
    <w:p w14:paraId="1C132D0E" w14:textId="77777777" w:rsidR="00DC3BF1" w:rsidRPr="004B7947" w:rsidRDefault="00DC3BF1" w:rsidP="009B3771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7.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Zang S, Dong G, Peng B, Xu J, Ma Z, Wang X, Liu L, Wang Q: A comparison of physicochemical properties of sterilized chitosan hydrogel and its applicability in a canine model of periodontal regeneration. Carbohydrate Polymers 2014, 113:240-248.</w:t>
      </w:r>
    </w:p>
    <w:p w14:paraId="26B43F0A" w14:textId="77777777" w:rsidR="00DC3BF1" w:rsidRPr="004B7947" w:rsidRDefault="00DC3BF1" w:rsidP="00EB53AA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</w:rPr>
      </w:pPr>
      <w:r w:rsidRPr="004B7947">
        <w:rPr>
          <w:rFonts w:ascii="Times New Roman" w:hAnsi="Times New Roman" w:cs="Times New Roman"/>
          <w:color w:val="000000" w:themeColor="text1"/>
          <w:sz w:val="24"/>
        </w:rPr>
        <w:t>8.</w:t>
      </w:r>
      <w:r w:rsidRPr="004B7947">
        <w:rPr>
          <w:rFonts w:ascii="Times New Roman" w:hAnsi="Times New Roman" w:cs="Times New Roman"/>
          <w:color w:val="000000" w:themeColor="text1"/>
          <w:sz w:val="24"/>
        </w:rPr>
        <w:tab/>
        <w:t>Wei Y, Wang Z, Han J, Jiang X, Lei L, Yang X, Sun W, Gou Z, Chen L: Modularized bioceramic scaffold/hydrogel membrane hierarchical architecture beneficial for periodontal tissue regeneration in dogs. Biomaterials Research 2022, 26:68.</w:t>
      </w:r>
    </w:p>
    <w:p w14:paraId="6BE32B03" w14:textId="77777777" w:rsidR="001C645E" w:rsidRPr="004B7947" w:rsidRDefault="001C645E">
      <w:pPr>
        <w:rPr>
          <w:color w:val="000000" w:themeColor="text1"/>
        </w:rPr>
      </w:pPr>
    </w:p>
    <w:sectPr w:rsidR="001C645E" w:rsidRPr="004B7947" w:rsidSect="00ED3453">
      <w:pgSz w:w="12240" w:h="15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C3BF1"/>
    <w:rsid w:val="00046F74"/>
    <w:rsid w:val="000C7222"/>
    <w:rsid w:val="000F4256"/>
    <w:rsid w:val="001105D9"/>
    <w:rsid w:val="0013715A"/>
    <w:rsid w:val="001C645E"/>
    <w:rsid w:val="002448D3"/>
    <w:rsid w:val="00296C02"/>
    <w:rsid w:val="002B2CFF"/>
    <w:rsid w:val="0030122C"/>
    <w:rsid w:val="00363ABA"/>
    <w:rsid w:val="003E362E"/>
    <w:rsid w:val="00404E8E"/>
    <w:rsid w:val="004746EF"/>
    <w:rsid w:val="004B7947"/>
    <w:rsid w:val="005672DC"/>
    <w:rsid w:val="00691878"/>
    <w:rsid w:val="0070671B"/>
    <w:rsid w:val="00713D51"/>
    <w:rsid w:val="007174F0"/>
    <w:rsid w:val="0073407D"/>
    <w:rsid w:val="007640C8"/>
    <w:rsid w:val="00767369"/>
    <w:rsid w:val="007C7168"/>
    <w:rsid w:val="007C7E81"/>
    <w:rsid w:val="007F1730"/>
    <w:rsid w:val="007F1900"/>
    <w:rsid w:val="00807E6E"/>
    <w:rsid w:val="00840F07"/>
    <w:rsid w:val="00901B6B"/>
    <w:rsid w:val="009043F5"/>
    <w:rsid w:val="0090538B"/>
    <w:rsid w:val="00905D02"/>
    <w:rsid w:val="00A70950"/>
    <w:rsid w:val="00A97E29"/>
    <w:rsid w:val="00AC49C6"/>
    <w:rsid w:val="00AE738B"/>
    <w:rsid w:val="00B53DDA"/>
    <w:rsid w:val="00B834D5"/>
    <w:rsid w:val="00B95C51"/>
    <w:rsid w:val="00BF51D4"/>
    <w:rsid w:val="00C320CC"/>
    <w:rsid w:val="00C452DE"/>
    <w:rsid w:val="00C5029D"/>
    <w:rsid w:val="00CB4529"/>
    <w:rsid w:val="00CF7807"/>
    <w:rsid w:val="00D50DDB"/>
    <w:rsid w:val="00D84154"/>
    <w:rsid w:val="00D97401"/>
    <w:rsid w:val="00DA11F7"/>
    <w:rsid w:val="00DC3BF1"/>
    <w:rsid w:val="00DE2E4B"/>
    <w:rsid w:val="00DF71A5"/>
    <w:rsid w:val="00E14FB8"/>
    <w:rsid w:val="00E43FC1"/>
    <w:rsid w:val="00E74A75"/>
    <w:rsid w:val="00EB54DE"/>
    <w:rsid w:val="00EE1400"/>
    <w:rsid w:val="00EF36E3"/>
    <w:rsid w:val="00F256D9"/>
    <w:rsid w:val="00F549B2"/>
    <w:rsid w:val="00FB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8FD17"/>
  <w15:chartTrackingRefBased/>
  <w15:docId w15:val="{7816ED9F-F914-6A4D-BE9F-8486ECB8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B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qFormat/>
    <w:rsid w:val="00DC3BF1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table" w:styleId="a3">
    <w:name w:val="Table Grid"/>
    <w:basedOn w:val="a1"/>
    <w:uiPriority w:val="39"/>
    <w:rsid w:val="00DC3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">
    <w:name w:val="Head"/>
    <w:basedOn w:val="a"/>
    <w:qFormat/>
    <w:rsid w:val="00DC3BF1"/>
    <w:pPr>
      <w:keepNext/>
      <w:widowControl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paragraph" w:customStyle="1" w:styleId="Teaser">
    <w:name w:val="Teaser"/>
    <w:basedOn w:val="a"/>
    <w:qFormat/>
    <w:rsid w:val="00DC3BF1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character" w:styleId="a4">
    <w:name w:val="line number"/>
    <w:basedOn w:val="a0"/>
    <w:uiPriority w:val="99"/>
    <w:semiHidden/>
    <w:unhideWhenUsed/>
    <w:rsid w:val="00DC3BF1"/>
  </w:style>
  <w:style w:type="paragraph" w:customStyle="1" w:styleId="EndNoteBibliographyTitle">
    <w:name w:val="EndNote Bibliography Title"/>
    <w:basedOn w:val="a"/>
    <w:link w:val="EndNoteBibliographyTitle0"/>
    <w:rsid w:val="00DC3BF1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C3BF1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DC3BF1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DC3BF1"/>
    <w:rPr>
      <w:rFonts w:ascii="DengXian" w:eastAsia="DengXian" w:hAnsi="DengXi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1110</Words>
  <Characters>6330</Characters>
  <Application>Microsoft Office Word</Application>
  <DocSecurity>0</DocSecurity>
  <Lines>52</Lines>
  <Paragraphs>14</Paragraphs>
  <ScaleCrop>false</ScaleCrop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VIP426</dc:creator>
  <cp:keywords/>
  <dc:description/>
  <cp:lastModifiedBy>VIP426</cp:lastModifiedBy>
  <cp:revision>4</cp:revision>
  <dcterms:created xsi:type="dcterms:W3CDTF">2024-10-08T07:41:00Z</dcterms:created>
  <dcterms:modified xsi:type="dcterms:W3CDTF">2024-10-08T08:26:00Z</dcterms:modified>
</cp:coreProperties>
</file>