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857B0" w14:textId="4B2C4AF6" w:rsidR="00B3046A" w:rsidRPr="00CD0033" w:rsidRDefault="001D359A" w:rsidP="00CD0033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A4A8165" wp14:editId="328684F2">
            <wp:extent cx="5271135" cy="5843270"/>
            <wp:effectExtent l="0" t="0" r="5715" b="5080"/>
            <wp:docPr id="938210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84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C1981" w14:textId="37003797" w:rsidR="00CD0033" w:rsidRPr="00CD0033" w:rsidRDefault="00CD0033" w:rsidP="00CD0033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CD0033">
        <w:rPr>
          <w:rFonts w:ascii="Calibri" w:hAnsi="Calibri" w:cs="Calibri"/>
          <w:b/>
          <w:bCs/>
          <w:sz w:val="24"/>
          <w:szCs w:val="24"/>
        </w:rPr>
        <w:t xml:space="preserve">Supplementary Figure 1 Genome-wide CRISPR-Cas9 library screening combined with single-cell sequencing identify </w:t>
      </w:r>
      <w:bookmarkStart w:id="0" w:name="_Hlk135145762"/>
      <w:r w:rsidRPr="00CD0033">
        <w:rPr>
          <w:rFonts w:ascii="Calibri" w:hAnsi="Calibri" w:cs="Calibri"/>
          <w:b/>
          <w:bCs/>
          <w:sz w:val="24"/>
          <w:szCs w:val="24"/>
        </w:rPr>
        <w:t>METTL14 as a determinant for CDK4/6i sensitivity</w:t>
      </w:r>
      <w:bookmarkEnd w:id="0"/>
      <w:r w:rsidRPr="00CD0033">
        <w:rPr>
          <w:rFonts w:ascii="Calibri" w:hAnsi="Calibri" w:cs="Calibri"/>
          <w:b/>
          <w:bCs/>
          <w:sz w:val="24"/>
          <w:szCs w:val="24"/>
        </w:rPr>
        <w:t>. Related to figure 1.</w:t>
      </w:r>
    </w:p>
    <w:p w14:paraId="2C155AB2" w14:textId="6D568CB0" w:rsidR="00B3046A" w:rsidRPr="00CD0033" w:rsidRDefault="00EF16CD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</w:t>
      </w:r>
      <w:r w:rsidR="00B3046A" w:rsidRPr="00CD0033">
        <w:rPr>
          <w:rFonts w:ascii="Calibri" w:hAnsi="Calibri" w:cs="Calibri"/>
          <w:b/>
          <w:bCs/>
          <w:sz w:val="24"/>
          <w:szCs w:val="24"/>
        </w:rPr>
        <w:t>A</w:t>
      </w:r>
      <w:r>
        <w:rPr>
          <w:rFonts w:ascii="Calibri" w:hAnsi="Calibri" w:cs="Calibri"/>
          <w:b/>
          <w:bCs/>
          <w:sz w:val="24"/>
          <w:szCs w:val="24"/>
        </w:rPr>
        <w:t>)</w:t>
      </w:r>
      <w:r w:rsidR="00B3046A" w:rsidRPr="00CD0033">
        <w:rPr>
          <w:rFonts w:ascii="Calibri" w:hAnsi="Calibri" w:cs="Calibri"/>
          <w:sz w:val="24"/>
          <w:szCs w:val="24"/>
        </w:rPr>
        <w:t xml:space="preserve"> The description of the pathway corresponding to the ID of KEGG analysis.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(</w:t>
      </w:r>
      <w:r w:rsidR="00B3046A" w:rsidRPr="00CD0033">
        <w:rPr>
          <w:rFonts w:ascii="Calibri" w:hAnsi="Calibri" w:cs="Calibri"/>
          <w:b/>
          <w:bCs/>
          <w:sz w:val="24"/>
          <w:szCs w:val="24"/>
        </w:rPr>
        <w:t>B</w:t>
      </w:r>
      <w:r>
        <w:rPr>
          <w:rFonts w:ascii="Calibri" w:hAnsi="Calibri" w:cs="Calibri"/>
          <w:b/>
          <w:bCs/>
          <w:sz w:val="24"/>
          <w:szCs w:val="24"/>
        </w:rPr>
        <w:t>)</w:t>
      </w:r>
      <w:r w:rsidR="00B3046A" w:rsidRPr="00CD00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3046A" w:rsidRPr="00CD0033">
        <w:rPr>
          <w:rFonts w:ascii="Calibri" w:hAnsi="Calibri" w:cs="Calibri"/>
          <w:sz w:val="24"/>
          <w:szCs w:val="24"/>
        </w:rPr>
        <w:t>The description of the pathway corresponding to the ID of GO analysis.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(</w:t>
      </w:r>
      <w:r w:rsidR="00B3046A" w:rsidRPr="00CD0033">
        <w:rPr>
          <w:rFonts w:ascii="Calibri" w:hAnsi="Calibri" w:cs="Calibri"/>
          <w:b/>
          <w:bCs/>
          <w:sz w:val="24"/>
          <w:szCs w:val="24"/>
        </w:rPr>
        <w:t>C-H</w:t>
      </w:r>
      <w:r>
        <w:rPr>
          <w:rFonts w:ascii="Calibri" w:hAnsi="Calibri" w:cs="Calibri"/>
          <w:b/>
          <w:bCs/>
          <w:sz w:val="24"/>
          <w:szCs w:val="24"/>
        </w:rPr>
        <w:t>)</w:t>
      </w:r>
      <w:r w:rsidR="00B3046A" w:rsidRPr="00CD00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3046A" w:rsidRPr="00CD0033">
        <w:rPr>
          <w:rFonts w:ascii="Calibri" w:hAnsi="Calibri" w:cs="Calibri"/>
          <w:sz w:val="24"/>
          <w:szCs w:val="24"/>
        </w:rPr>
        <w:t xml:space="preserve">The expression of six potential resistance-related genes </w:t>
      </w:r>
      <w:r w:rsidR="00DC2D13">
        <w:rPr>
          <w:rFonts w:ascii="Calibri" w:hAnsi="Calibri" w:cs="Calibri"/>
          <w:sz w:val="24"/>
          <w:szCs w:val="24"/>
        </w:rPr>
        <w:t xml:space="preserve">(METTL14, IARS2, IFT52, LRRC27, MCM3AP, and FAM228B) </w:t>
      </w:r>
      <w:r w:rsidR="00B3046A" w:rsidRPr="00CD0033">
        <w:rPr>
          <w:rFonts w:ascii="Calibri" w:hAnsi="Calibri" w:cs="Calibri"/>
          <w:sz w:val="24"/>
          <w:szCs w:val="24"/>
        </w:rPr>
        <w:t>in the T47D-Res cells and T47D-Par cells</w:t>
      </w:r>
      <w:r>
        <w:rPr>
          <w:rFonts w:ascii="Calibri" w:hAnsi="Calibri" w:cs="Calibri" w:hint="eastAsia"/>
          <w:sz w:val="24"/>
          <w:szCs w:val="24"/>
        </w:rPr>
        <w:t>.</w:t>
      </w:r>
      <w:r w:rsidR="007B70D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(</w:t>
      </w:r>
      <w:r w:rsidR="00B3046A" w:rsidRPr="00CD0033">
        <w:rPr>
          <w:rFonts w:ascii="Calibri" w:hAnsi="Calibri" w:cs="Calibri"/>
          <w:b/>
          <w:bCs/>
          <w:sz w:val="24"/>
          <w:szCs w:val="24"/>
        </w:rPr>
        <w:t>I</w:t>
      </w:r>
      <w:r>
        <w:rPr>
          <w:rFonts w:ascii="Calibri" w:hAnsi="Calibri" w:cs="Calibri" w:hint="eastAsia"/>
          <w:b/>
          <w:bCs/>
          <w:sz w:val="24"/>
          <w:szCs w:val="24"/>
        </w:rPr>
        <w:t>)</w:t>
      </w:r>
      <w:r w:rsidR="00B3046A" w:rsidRPr="00CD0033">
        <w:rPr>
          <w:rFonts w:ascii="Calibri" w:hAnsi="Calibri" w:cs="Calibri"/>
          <w:sz w:val="24"/>
          <w:szCs w:val="24"/>
        </w:rPr>
        <w:t xml:space="preserve"> The expression of METTL14 in breast cancer organoids samples</w:t>
      </w:r>
      <w:r w:rsidR="00D76FE5">
        <w:rPr>
          <w:rFonts w:ascii="Calibri" w:hAnsi="Calibri" w:cs="Calibri"/>
          <w:sz w:val="24"/>
          <w:szCs w:val="24"/>
        </w:rPr>
        <w:t>.</w:t>
      </w:r>
    </w:p>
    <w:p w14:paraId="6AE28C14" w14:textId="77777777" w:rsidR="00461089" w:rsidRPr="00CD0033" w:rsidRDefault="00461089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FE3BB07" w14:textId="77777777" w:rsidR="00B3046A" w:rsidRPr="00CD0033" w:rsidRDefault="00B3046A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DC2E12F" w14:textId="77777777" w:rsidR="00653589" w:rsidRPr="00CD0033" w:rsidRDefault="00653589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5CD0DB2" w14:textId="77777777" w:rsidR="00653589" w:rsidRPr="00CD0033" w:rsidRDefault="00653589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738C487" w14:textId="36255D71" w:rsidR="00906941" w:rsidRDefault="00906941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68C4BC" wp14:editId="5B56ACAD">
            <wp:extent cx="4943475" cy="3467100"/>
            <wp:effectExtent l="0" t="0" r="9525" b="0"/>
            <wp:docPr id="1144375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3AA4" w14:textId="4962ECA2" w:rsidR="00906941" w:rsidRPr="00906941" w:rsidRDefault="00906941" w:rsidP="00906941">
      <w:pPr>
        <w:spacing w:line="276" w:lineRule="auto"/>
        <w:rPr>
          <w:rFonts w:ascii="Calibri" w:hAnsi="Calibri" w:cs="Calibri"/>
          <w:sz w:val="24"/>
          <w:szCs w:val="24"/>
        </w:rPr>
      </w:pPr>
      <w:r w:rsidRPr="00CD0033">
        <w:rPr>
          <w:rFonts w:ascii="Calibri" w:hAnsi="Calibri" w:cs="Calibri"/>
          <w:b/>
          <w:bCs/>
          <w:sz w:val="24"/>
          <w:szCs w:val="24"/>
        </w:rPr>
        <w:t>Supplementary</w:t>
      </w:r>
      <w:r w:rsidRPr="009F1ABA">
        <w:rPr>
          <w:rFonts w:ascii="Calibri" w:hAnsi="Calibri" w:cs="Calibri"/>
          <w:b/>
          <w:bCs/>
          <w:sz w:val="24"/>
          <w:szCs w:val="24"/>
        </w:rPr>
        <w:t xml:space="preserve"> Figure 2 METTL14 was associated with the progression of ERα</w:t>
      </w:r>
      <w:r w:rsidRPr="009F1ABA">
        <w:rPr>
          <w:rFonts w:ascii="Calibri" w:hAnsi="Calibri" w:cs="Calibri"/>
          <w:b/>
          <w:bCs/>
          <w:sz w:val="24"/>
          <w:szCs w:val="24"/>
          <w:vertAlign w:val="superscript"/>
        </w:rPr>
        <w:t>+</w:t>
      </w:r>
      <w:r w:rsidRPr="009F1ABA">
        <w:rPr>
          <w:rFonts w:ascii="Calibri" w:hAnsi="Calibri" w:cs="Calibri"/>
          <w:b/>
          <w:bCs/>
          <w:sz w:val="24"/>
          <w:szCs w:val="24"/>
        </w:rPr>
        <w:t xml:space="preserve"> breast cancer and reduced the sensitivity of breast cancer cells to CDK4/6i therapy.</w:t>
      </w:r>
      <w:r w:rsidRPr="0090694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D0033">
        <w:rPr>
          <w:rFonts w:ascii="Calibri" w:hAnsi="Calibri" w:cs="Calibri"/>
          <w:b/>
          <w:bCs/>
          <w:sz w:val="24"/>
          <w:szCs w:val="24"/>
        </w:rPr>
        <w:t xml:space="preserve">Related to figure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CD0033">
        <w:rPr>
          <w:rFonts w:ascii="Calibri" w:hAnsi="Calibri" w:cs="Calibri"/>
          <w:b/>
          <w:bCs/>
          <w:sz w:val="24"/>
          <w:szCs w:val="24"/>
        </w:rPr>
        <w:t>.</w:t>
      </w:r>
    </w:p>
    <w:p w14:paraId="680D97AF" w14:textId="49F78D15" w:rsidR="00906941" w:rsidRDefault="00906941">
      <w:pPr>
        <w:widowControl/>
        <w:jc w:val="left"/>
        <w:rPr>
          <w:rFonts w:ascii="Calibri" w:hAnsi="Calibri" w:cs="Calibri"/>
          <w:sz w:val="24"/>
          <w:szCs w:val="24"/>
        </w:rPr>
      </w:pPr>
      <w:r w:rsidRPr="009F1ABA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b/>
          <w:bCs/>
          <w:sz w:val="24"/>
          <w:szCs w:val="24"/>
        </w:rPr>
        <w:t>A</w:t>
      </w:r>
      <w:r w:rsidRPr="009F1ABA">
        <w:rPr>
          <w:rFonts w:ascii="Calibri" w:hAnsi="Calibri" w:cs="Calibri"/>
          <w:sz w:val="24"/>
          <w:szCs w:val="24"/>
        </w:rPr>
        <w:t xml:space="preserve">) The proliferative ability of T47D-Par cells stably overexpressing METTL14 was investigated via assessment of </w:t>
      </w:r>
      <w:proofErr w:type="spellStart"/>
      <w:r w:rsidRPr="009F1ABA">
        <w:rPr>
          <w:rFonts w:ascii="Calibri" w:hAnsi="Calibri" w:cs="Calibri"/>
          <w:sz w:val="24"/>
          <w:szCs w:val="24"/>
        </w:rPr>
        <w:t>EdU</w:t>
      </w:r>
      <w:proofErr w:type="spellEnd"/>
      <w:r w:rsidRPr="009F1ABA">
        <w:rPr>
          <w:rFonts w:ascii="Calibri" w:hAnsi="Calibri" w:cs="Calibri"/>
          <w:sz w:val="24"/>
          <w:szCs w:val="24"/>
        </w:rPr>
        <w:t xml:space="preserve"> incorporation</w:t>
      </w:r>
      <w:r>
        <w:rPr>
          <w:rFonts w:ascii="Calibri" w:hAnsi="Calibri" w:cs="Calibri"/>
          <w:sz w:val="24"/>
          <w:szCs w:val="24"/>
        </w:rPr>
        <w:t xml:space="preserve"> and</w:t>
      </w:r>
      <w:r w:rsidRPr="00906941">
        <w:rPr>
          <w:rFonts w:ascii="Calibri" w:hAnsi="Calibri" w:cs="Calibri"/>
          <w:sz w:val="24"/>
          <w:szCs w:val="24"/>
        </w:rPr>
        <w:t xml:space="preserve"> </w:t>
      </w:r>
      <w:r w:rsidRPr="009F1ABA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positive rate</w:t>
      </w:r>
      <w:r w:rsidRPr="009F1ABA">
        <w:rPr>
          <w:rFonts w:ascii="Calibri" w:hAnsi="Calibri" w:cs="Calibri"/>
          <w:sz w:val="24"/>
          <w:szCs w:val="24"/>
        </w:rPr>
        <w:t xml:space="preserve"> w</w:t>
      </w:r>
      <w:r>
        <w:rPr>
          <w:rFonts w:ascii="Calibri" w:hAnsi="Calibri" w:cs="Calibri"/>
          <w:sz w:val="24"/>
          <w:szCs w:val="24"/>
        </w:rPr>
        <w:t>as</w:t>
      </w:r>
      <w:r w:rsidRPr="009F1ABA">
        <w:rPr>
          <w:rFonts w:ascii="Calibri" w:hAnsi="Calibri" w:cs="Calibri"/>
          <w:sz w:val="24"/>
          <w:szCs w:val="24"/>
        </w:rPr>
        <w:t xml:space="preserve"> determined (t test). (</w:t>
      </w:r>
      <w:r>
        <w:rPr>
          <w:rFonts w:ascii="Calibri" w:hAnsi="Calibri" w:cs="Calibri"/>
          <w:b/>
          <w:bCs/>
          <w:sz w:val="24"/>
          <w:szCs w:val="24"/>
        </w:rPr>
        <w:t>B</w:t>
      </w:r>
      <w:r w:rsidRPr="009F1ABA">
        <w:rPr>
          <w:rFonts w:ascii="Calibri" w:hAnsi="Calibri" w:cs="Calibri"/>
          <w:sz w:val="24"/>
          <w:szCs w:val="24"/>
        </w:rPr>
        <w:t xml:space="preserve">) The proliferative ability of T47D-Res cells with stable METTL14 knockdown was investigated via assessment of </w:t>
      </w:r>
      <w:proofErr w:type="spellStart"/>
      <w:r w:rsidRPr="009F1ABA">
        <w:rPr>
          <w:rFonts w:ascii="Calibri" w:hAnsi="Calibri" w:cs="Calibri"/>
          <w:sz w:val="24"/>
          <w:szCs w:val="24"/>
        </w:rPr>
        <w:t>EdU</w:t>
      </w:r>
      <w:proofErr w:type="spellEnd"/>
      <w:r w:rsidRPr="009F1ABA">
        <w:rPr>
          <w:rFonts w:ascii="Calibri" w:hAnsi="Calibri" w:cs="Calibri"/>
          <w:sz w:val="24"/>
          <w:szCs w:val="24"/>
        </w:rPr>
        <w:t xml:space="preserve"> incorporation</w:t>
      </w:r>
      <w:r>
        <w:rPr>
          <w:rFonts w:ascii="Calibri" w:hAnsi="Calibri" w:cs="Calibri"/>
          <w:sz w:val="24"/>
          <w:szCs w:val="24"/>
        </w:rPr>
        <w:t xml:space="preserve"> and</w:t>
      </w:r>
      <w:r w:rsidRPr="00906941">
        <w:rPr>
          <w:rFonts w:ascii="Calibri" w:hAnsi="Calibri" w:cs="Calibri"/>
          <w:sz w:val="24"/>
          <w:szCs w:val="24"/>
        </w:rPr>
        <w:t xml:space="preserve"> </w:t>
      </w:r>
      <w:r w:rsidRPr="009F1ABA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positive rate</w:t>
      </w:r>
      <w:r w:rsidRPr="009F1ABA">
        <w:rPr>
          <w:rFonts w:ascii="Calibri" w:hAnsi="Calibri" w:cs="Calibri"/>
          <w:sz w:val="24"/>
          <w:szCs w:val="24"/>
        </w:rPr>
        <w:t xml:space="preserve"> w</w:t>
      </w:r>
      <w:r>
        <w:rPr>
          <w:rFonts w:ascii="Calibri" w:hAnsi="Calibri" w:cs="Calibri"/>
          <w:sz w:val="24"/>
          <w:szCs w:val="24"/>
        </w:rPr>
        <w:t>as</w:t>
      </w:r>
      <w:r w:rsidRPr="009F1ABA">
        <w:rPr>
          <w:rFonts w:ascii="Calibri" w:hAnsi="Calibri" w:cs="Calibri"/>
          <w:sz w:val="24"/>
          <w:szCs w:val="24"/>
        </w:rPr>
        <w:t xml:space="preserve"> determined (one-way ANOVA test). </w:t>
      </w:r>
      <w:r>
        <w:rPr>
          <w:rFonts w:ascii="Calibri" w:hAnsi="Calibri" w:cs="Calibri"/>
          <w:sz w:val="24"/>
          <w:szCs w:val="24"/>
        </w:rPr>
        <w:br w:type="page"/>
      </w:r>
    </w:p>
    <w:p w14:paraId="011C78D0" w14:textId="77777777" w:rsidR="00BB5E5B" w:rsidRPr="00CD0033" w:rsidRDefault="00BB5E5B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C9C785D" w14:textId="2DF6114B" w:rsidR="00BB5E5B" w:rsidRPr="00CD0033" w:rsidRDefault="00CD0033" w:rsidP="00CD0033">
      <w:pPr>
        <w:spacing w:line="276" w:lineRule="auto"/>
        <w:rPr>
          <w:rFonts w:ascii="Calibri" w:hAnsi="Calibri" w:cs="Calibri"/>
          <w:sz w:val="24"/>
          <w:szCs w:val="24"/>
        </w:rPr>
      </w:pPr>
      <w:r w:rsidRPr="00CD003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4023D6A" wp14:editId="6F67DED1">
            <wp:extent cx="5274310" cy="7095490"/>
            <wp:effectExtent l="0" t="0" r="2540" b="0"/>
            <wp:docPr id="1923848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9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3344" w14:textId="12A80C3E" w:rsidR="00653589" w:rsidRPr="00EF16CD" w:rsidRDefault="00653589" w:rsidP="00CD0033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CD0033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906941">
        <w:rPr>
          <w:rFonts w:ascii="Calibri" w:hAnsi="Calibri" w:cs="Calibri"/>
          <w:b/>
          <w:bCs/>
          <w:sz w:val="24"/>
          <w:szCs w:val="24"/>
        </w:rPr>
        <w:t>3</w:t>
      </w:r>
      <w:r w:rsidR="00CD0033" w:rsidRPr="00CD0033">
        <w:rPr>
          <w:rFonts w:ascii="Calibri" w:hAnsi="Calibri" w:cs="Calibri"/>
          <w:b/>
          <w:bCs/>
          <w:sz w:val="24"/>
          <w:szCs w:val="24"/>
        </w:rPr>
        <w:t xml:space="preserve"> </w:t>
      </w:r>
      <w:bookmarkStart w:id="1" w:name="_Hlk147179376"/>
      <w:bookmarkStart w:id="2" w:name="_Hlk142310400"/>
      <w:r w:rsidR="00CD0033" w:rsidRPr="00CD0033">
        <w:rPr>
          <w:rFonts w:ascii="Calibri" w:hAnsi="Calibri" w:cs="Calibri"/>
          <w:b/>
          <w:bCs/>
          <w:i/>
          <w:iCs/>
          <w:sz w:val="24"/>
          <w:szCs w:val="24"/>
        </w:rPr>
        <w:t>Ex vivo</w:t>
      </w:r>
      <w:r w:rsidR="00CD0033" w:rsidRPr="00CD0033">
        <w:rPr>
          <w:rFonts w:ascii="Calibri" w:hAnsi="Calibri" w:cs="Calibri"/>
          <w:b/>
          <w:bCs/>
          <w:sz w:val="24"/>
          <w:szCs w:val="24"/>
        </w:rPr>
        <w:t xml:space="preserve"> and </w:t>
      </w:r>
      <w:r w:rsidR="00CD0033" w:rsidRPr="00CD0033">
        <w:rPr>
          <w:rFonts w:ascii="Calibri" w:hAnsi="Calibri" w:cs="Calibri"/>
          <w:b/>
          <w:bCs/>
          <w:i/>
          <w:iCs/>
          <w:sz w:val="24"/>
          <w:szCs w:val="24"/>
        </w:rPr>
        <w:t>in vivo</w:t>
      </w:r>
      <w:bookmarkEnd w:id="1"/>
      <w:r w:rsidR="00CD0033" w:rsidRPr="00CD0033">
        <w:rPr>
          <w:rFonts w:ascii="Calibri" w:hAnsi="Calibri" w:cs="Calibri"/>
          <w:b/>
          <w:bCs/>
          <w:sz w:val="24"/>
          <w:szCs w:val="24"/>
        </w:rPr>
        <w:t xml:space="preserve"> breast cancer models showed METTL14 promoted CDK4/6i resistance. Related to figure 3.</w:t>
      </w:r>
      <w:bookmarkEnd w:id="2"/>
    </w:p>
    <w:p w14:paraId="1600CD49" w14:textId="533A2024" w:rsidR="00653589" w:rsidRPr="00CD0033" w:rsidRDefault="00EF16CD" w:rsidP="00CD0033">
      <w:pPr>
        <w:spacing w:line="276" w:lineRule="auto"/>
        <w:rPr>
          <w:rFonts w:ascii="Calibri" w:hAnsi="Calibri" w:cs="Calibri"/>
          <w:sz w:val="24"/>
          <w:szCs w:val="24"/>
        </w:rPr>
      </w:pPr>
      <w:r w:rsidRPr="003A768C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b/>
          <w:bCs/>
          <w:sz w:val="24"/>
          <w:szCs w:val="24"/>
        </w:rPr>
        <w:t>A</w:t>
      </w:r>
      <w:r w:rsidRPr="003A768C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b/>
          <w:bCs/>
          <w:sz w:val="24"/>
          <w:szCs w:val="24"/>
        </w:rPr>
        <w:t>D</w:t>
      </w:r>
      <w:r w:rsidRPr="003A768C">
        <w:rPr>
          <w:rFonts w:ascii="Calibri" w:hAnsi="Calibri" w:cs="Calibri"/>
          <w:sz w:val="24"/>
          <w:szCs w:val="24"/>
        </w:rPr>
        <w:t xml:space="preserve">) </w:t>
      </w:r>
      <w:bookmarkStart w:id="3" w:name="_Hlk148792833"/>
      <w:r w:rsidRPr="003A768C">
        <w:rPr>
          <w:rFonts w:ascii="Calibri" w:hAnsi="Calibri" w:cs="Calibri"/>
          <w:sz w:val="24"/>
          <w:szCs w:val="24"/>
        </w:rPr>
        <w:t xml:space="preserve">The T47D-Par cells or T47D-Par cells with stable METTL14 overexpression </w:t>
      </w:r>
      <w:bookmarkEnd w:id="3"/>
      <w:r w:rsidRPr="003A768C">
        <w:rPr>
          <w:rFonts w:ascii="Calibri" w:hAnsi="Calibri" w:cs="Calibri"/>
          <w:sz w:val="24"/>
          <w:szCs w:val="24"/>
        </w:rPr>
        <w:t xml:space="preserve">were inoculated into the breast at pad of nude mice and the mice were treated with CDK4/6i respectively (90 mg/kg, </w:t>
      </w:r>
      <w:proofErr w:type="spellStart"/>
      <w:r w:rsidRPr="003A768C">
        <w:rPr>
          <w:rFonts w:ascii="Calibri" w:hAnsi="Calibri" w:cs="Calibri"/>
          <w:sz w:val="24"/>
          <w:szCs w:val="24"/>
        </w:rPr>
        <w:t>p.o</w:t>
      </w:r>
      <w:proofErr w:type="spellEnd"/>
      <w:r w:rsidRPr="003A768C">
        <w:rPr>
          <w:rFonts w:ascii="Calibri" w:hAnsi="Calibri" w:cs="Calibri"/>
          <w:sz w:val="24"/>
          <w:szCs w:val="24"/>
        </w:rPr>
        <w:t>, one injection per day for 2 weeks). Then, tumors were extracted and weighed after mice were sacrificed.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</w:t>
      </w:r>
      <w:r w:rsidR="00653589" w:rsidRPr="00CD0033">
        <w:rPr>
          <w:rFonts w:ascii="Calibri" w:hAnsi="Calibri" w:cs="Calibri"/>
          <w:b/>
          <w:bCs/>
          <w:sz w:val="24"/>
          <w:szCs w:val="24"/>
        </w:rPr>
        <w:t>A</w:t>
      </w:r>
      <w:r w:rsidR="00855BD7">
        <w:rPr>
          <w:rFonts w:ascii="Calibri" w:hAnsi="Calibri" w:cs="Calibri"/>
          <w:b/>
          <w:bCs/>
          <w:sz w:val="24"/>
          <w:szCs w:val="24"/>
        </w:rPr>
        <w:t>)</w:t>
      </w:r>
      <w:r w:rsidR="00653589" w:rsidRPr="00CD0033">
        <w:rPr>
          <w:rFonts w:ascii="Calibri" w:hAnsi="Calibri" w:cs="Calibri"/>
          <w:sz w:val="24"/>
          <w:szCs w:val="24"/>
        </w:rPr>
        <w:t xml:space="preserve"> The size of the tumors was </w:t>
      </w:r>
      <w:r w:rsidR="00653589" w:rsidRPr="00CD0033">
        <w:rPr>
          <w:rFonts w:ascii="Calibri" w:hAnsi="Calibri" w:cs="Calibri"/>
          <w:sz w:val="24"/>
          <w:szCs w:val="24"/>
        </w:rPr>
        <w:lastRenderedPageBreak/>
        <w:t xml:space="preserve">measured at the indicated time points </w:t>
      </w:r>
      <w:r w:rsidR="00CD0033" w:rsidRPr="00CD0033">
        <w:rPr>
          <w:rFonts w:ascii="Calibri" w:hAnsi="Calibri" w:cs="Calibri"/>
          <w:sz w:val="24"/>
          <w:szCs w:val="24"/>
        </w:rPr>
        <w:t xml:space="preserve">in the T47D-Par </w:t>
      </w:r>
      <w:r w:rsidR="00CD0033" w:rsidRPr="00CD0033">
        <w:rPr>
          <w:rFonts w:ascii="Calibri" w:hAnsi="Calibri" w:cs="Calibri" w:hint="eastAsia"/>
          <w:sz w:val="24"/>
          <w:szCs w:val="24"/>
        </w:rPr>
        <w:t>cell</w:t>
      </w:r>
      <w:r w:rsidR="00CD0033" w:rsidRPr="00CD0033">
        <w:rPr>
          <w:rFonts w:ascii="Calibri" w:hAnsi="Calibri" w:cs="Calibri"/>
          <w:sz w:val="24"/>
          <w:szCs w:val="24"/>
        </w:rPr>
        <w:t xml:space="preserve"> grou</w:t>
      </w:r>
      <w:r w:rsidR="00CD0033" w:rsidRPr="00CD0033">
        <w:rPr>
          <w:rFonts w:ascii="Calibri" w:hAnsi="Calibri" w:cs="Calibri" w:hint="eastAsia"/>
          <w:sz w:val="24"/>
          <w:szCs w:val="24"/>
        </w:rPr>
        <w:t>p</w:t>
      </w:r>
      <w:r w:rsidR="00CD0033" w:rsidRPr="00CD0033">
        <w:rPr>
          <w:rFonts w:ascii="Calibri" w:hAnsi="Calibri" w:cs="Calibri"/>
          <w:sz w:val="24"/>
          <w:szCs w:val="24"/>
        </w:rPr>
        <w:t xml:space="preserve"> (NC) or T47D-Par cell with stable METTL14 overexpression grou</w:t>
      </w:r>
      <w:r w:rsidR="00CD0033" w:rsidRPr="00CD0033">
        <w:rPr>
          <w:rFonts w:ascii="Calibri" w:hAnsi="Calibri" w:cs="Calibri" w:hint="eastAsia"/>
          <w:sz w:val="24"/>
          <w:szCs w:val="24"/>
        </w:rPr>
        <w:t>p</w:t>
      </w:r>
      <w:r w:rsidR="00CD0033" w:rsidRPr="00CD0033">
        <w:rPr>
          <w:rFonts w:ascii="Calibri" w:hAnsi="Calibri" w:cs="Calibri"/>
          <w:sz w:val="24"/>
          <w:szCs w:val="24"/>
        </w:rPr>
        <w:t xml:space="preserve"> (METTL14)</w:t>
      </w:r>
      <w:r w:rsidRPr="00EF16CD"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 xml:space="preserve">. </w:t>
      </w:r>
      <w:r w:rsidR="00855BD7">
        <w:rPr>
          <w:rFonts w:ascii="Calibri" w:hAnsi="Calibri" w:cs="Calibri"/>
          <w:b/>
          <w:bCs/>
          <w:sz w:val="24"/>
          <w:szCs w:val="24"/>
        </w:rPr>
        <w:t>(</w:t>
      </w:r>
      <w:r w:rsidR="00653589" w:rsidRPr="00CD0033">
        <w:rPr>
          <w:rFonts w:ascii="Calibri" w:hAnsi="Calibri" w:cs="Calibri"/>
          <w:b/>
          <w:bCs/>
          <w:sz w:val="24"/>
          <w:szCs w:val="24"/>
        </w:rPr>
        <w:t>B</w:t>
      </w:r>
      <w:bookmarkStart w:id="4" w:name="_Hlk141369399"/>
      <w:r w:rsidR="00855BD7">
        <w:rPr>
          <w:rFonts w:ascii="Calibri" w:hAnsi="Calibri" w:cs="Calibri"/>
          <w:b/>
          <w:bCs/>
          <w:sz w:val="24"/>
          <w:szCs w:val="24"/>
        </w:rPr>
        <w:t>)</w:t>
      </w:r>
      <w:r w:rsidR="00653589" w:rsidRPr="00CD0033">
        <w:rPr>
          <w:rFonts w:ascii="Calibri" w:hAnsi="Calibri" w:cs="Calibri"/>
          <w:sz w:val="24"/>
          <w:szCs w:val="24"/>
        </w:rPr>
        <w:t xml:space="preserve"> </w:t>
      </w:r>
      <w:r w:rsidR="00005405" w:rsidRPr="00CD0033">
        <w:rPr>
          <w:rFonts w:ascii="Calibri" w:hAnsi="Calibri" w:cs="Calibri"/>
          <w:sz w:val="24"/>
          <w:szCs w:val="24"/>
        </w:rPr>
        <w:t xml:space="preserve">The weight of mice body </w:t>
      </w:r>
      <w:r w:rsidR="00653589" w:rsidRPr="00CD0033">
        <w:rPr>
          <w:rFonts w:ascii="Calibri" w:hAnsi="Calibri" w:cs="Calibri"/>
          <w:sz w:val="24"/>
          <w:szCs w:val="24"/>
        </w:rPr>
        <w:t xml:space="preserve">was measured at the indicated time points </w:t>
      </w:r>
      <w:r>
        <w:rPr>
          <w:rFonts w:ascii="Calibri" w:hAnsi="Calibri" w:cs="Calibri"/>
          <w:sz w:val="24"/>
          <w:szCs w:val="24"/>
        </w:rPr>
        <w:t>in the</w:t>
      </w:r>
      <w:r w:rsidR="00CD0033">
        <w:rPr>
          <w:rFonts w:ascii="Calibri" w:hAnsi="Calibri" w:cs="Calibri"/>
          <w:sz w:val="24"/>
          <w:szCs w:val="24"/>
        </w:rPr>
        <w:t xml:space="preserve"> indicated group</w:t>
      </w:r>
      <w:r w:rsidR="00855BD7">
        <w:rPr>
          <w:rFonts w:ascii="Calibri" w:hAnsi="Calibri" w:cs="Calibri" w:hint="eastAsia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bookmarkEnd w:id="4"/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(C)</w:t>
      </w:r>
      <w:r w:rsidR="00653589" w:rsidRPr="00CD0033">
        <w:rPr>
          <w:rFonts w:ascii="Calibri" w:hAnsi="Calibri" w:cs="Calibri"/>
          <w:sz w:val="24"/>
          <w:szCs w:val="24"/>
        </w:rPr>
        <w:t xml:space="preserve"> The appearance of the tumors of indicated groups </w:t>
      </w:r>
      <w:r>
        <w:rPr>
          <w:rFonts w:ascii="Calibri" w:hAnsi="Calibri" w:cs="Calibri"/>
          <w:sz w:val="24"/>
          <w:szCs w:val="24"/>
        </w:rPr>
        <w:t>in the indicated group</w:t>
      </w:r>
      <w:r w:rsidR="00855BD7">
        <w:rPr>
          <w:rFonts w:ascii="Calibri" w:hAnsi="Calibri" w:cs="Calibri"/>
          <w:sz w:val="24"/>
          <w:szCs w:val="24"/>
        </w:rPr>
        <w:t>s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(D)</w:t>
      </w:r>
      <w:r w:rsidR="00653589" w:rsidRPr="00CD0033">
        <w:rPr>
          <w:rFonts w:ascii="Calibri" w:hAnsi="Calibri" w:cs="Calibri"/>
          <w:sz w:val="24"/>
          <w:szCs w:val="24"/>
        </w:rPr>
        <w:t xml:space="preserve"> The weight of tumors of indicated groups</w:t>
      </w:r>
      <w:r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b/>
          <w:bCs/>
          <w:sz w:val="24"/>
          <w:szCs w:val="24"/>
        </w:rPr>
        <w:t>E</w:t>
      </w:r>
      <w:r w:rsidRPr="003A768C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b/>
          <w:bCs/>
          <w:sz w:val="24"/>
          <w:szCs w:val="24"/>
        </w:rPr>
        <w:t>H</w:t>
      </w:r>
      <w:r w:rsidRPr="003A768C">
        <w:rPr>
          <w:rFonts w:ascii="Calibri" w:hAnsi="Calibri" w:cs="Calibri"/>
          <w:sz w:val="24"/>
          <w:szCs w:val="24"/>
        </w:rPr>
        <w:t xml:space="preserve">) </w:t>
      </w:r>
      <w:bookmarkStart w:id="5" w:name="_Hlk148793132"/>
      <w:r w:rsidRPr="00F86132">
        <w:rPr>
          <w:rFonts w:ascii="Calibri" w:hAnsi="Calibri" w:cs="Calibri"/>
          <w:sz w:val="24"/>
          <w:szCs w:val="24"/>
        </w:rPr>
        <w:t>The T47D-Res cells, or T47D-Res cells with stable METTL14 knockdown</w:t>
      </w:r>
      <w:bookmarkEnd w:id="5"/>
      <w:r w:rsidRPr="00F86132">
        <w:rPr>
          <w:rFonts w:ascii="Calibri" w:hAnsi="Calibri" w:cs="Calibri"/>
          <w:sz w:val="24"/>
          <w:szCs w:val="24"/>
        </w:rPr>
        <w:t>, were introduced into the breast fat pad of nude mice, followed by treatment with CDK4/6i</w:t>
      </w:r>
      <w:r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 xml:space="preserve">(90 mg/kg, </w:t>
      </w:r>
      <w:proofErr w:type="spellStart"/>
      <w:r w:rsidRPr="003A768C">
        <w:rPr>
          <w:rFonts w:ascii="Calibri" w:hAnsi="Calibri" w:cs="Calibri"/>
          <w:sz w:val="24"/>
          <w:szCs w:val="24"/>
        </w:rPr>
        <w:t>p.o</w:t>
      </w:r>
      <w:proofErr w:type="spellEnd"/>
      <w:r w:rsidRPr="003A768C">
        <w:rPr>
          <w:rFonts w:ascii="Calibri" w:hAnsi="Calibri" w:cs="Calibri"/>
          <w:sz w:val="24"/>
          <w:szCs w:val="24"/>
        </w:rPr>
        <w:t>, one injection per day for 2 weeks)</w:t>
      </w:r>
      <w:r w:rsidRPr="00F86132">
        <w:rPr>
          <w:rFonts w:ascii="Calibri" w:hAnsi="Calibri" w:cs="Calibri"/>
          <w:sz w:val="24"/>
          <w:szCs w:val="24"/>
        </w:rPr>
        <w:t>. Subsequently, the mice were euthanized, and the tumors were excised and quantified by weight.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(E)</w:t>
      </w:r>
      <w:r w:rsidR="00653589" w:rsidRPr="00CD0033">
        <w:rPr>
          <w:rFonts w:ascii="Calibri" w:hAnsi="Calibri" w:cs="Calibri"/>
          <w:sz w:val="24"/>
          <w:szCs w:val="24"/>
        </w:rPr>
        <w:t xml:space="preserve"> The appearance of the tumors of</w:t>
      </w:r>
      <w:r>
        <w:rPr>
          <w:rFonts w:ascii="Calibri" w:hAnsi="Calibri" w:cs="Calibri"/>
          <w:sz w:val="24"/>
          <w:szCs w:val="24"/>
        </w:rPr>
        <w:t xml:space="preserve"> the </w:t>
      </w:r>
      <w:r w:rsidRPr="00F86132">
        <w:rPr>
          <w:rFonts w:ascii="Calibri" w:hAnsi="Calibri" w:cs="Calibri"/>
          <w:sz w:val="24"/>
          <w:szCs w:val="24"/>
        </w:rPr>
        <w:t>T47D-</w:t>
      </w:r>
      <w:proofErr w:type="gramStart"/>
      <w:r w:rsidRPr="00F86132">
        <w:rPr>
          <w:rFonts w:ascii="Calibri" w:hAnsi="Calibri" w:cs="Calibri"/>
          <w:sz w:val="24"/>
          <w:szCs w:val="24"/>
        </w:rPr>
        <w:t>Res</w:t>
      </w:r>
      <w:proofErr w:type="gramEnd"/>
      <w:r w:rsidRPr="00F86132">
        <w:rPr>
          <w:rFonts w:ascii="Calibri" w:hAnsi="Calibri" w:cs="Calibri"/>
          <w:sz w:val="24"/>
          <w:szCs w:val="24"/>
        </w:rPr>
        <w:t xml:space="preserve"> cell</w:t>
      </w:r>
      <w:r>
        <w:rPr>
          <w:rFonts w:ascii="Calibri" w:hAnsi="Calibri" w:cs="Calibri"/>
          <w:sz w:val="24"/>
          <w:szCs w:val="24"/>
        </w:rPr>
        <w:t xml:space="preserve"> group (</w:t>
      </w:r>
      <w:proofErr w:type="spellStart"/>
      <w:r>
        <w:rPr>
          <w:rFonts w:ascii="Calibri" w:hAnsi="Calibri" w:cs="Calibri"/>
          <w:sz w:val="24"/>
          <w:szCs w:val="24"/>
        </w:rPr>
        <w:t>sh</w:t>
      </w:r>
      <w:proofErr w:type="spellEnd"/>
      <w:r>
        <w:rPr>
          <w:rFonts w:ascii="Calibri" w:hAnsi="Calibri" w:cs="Calibri"/>
          <w:sz w:val="24"/>
          <w:szCs w:val="24"/>
        </w:rPr>
        <w:t>-NC)</w:t>
      </w:r>
      <w:r w:rsidRPr="00F86132">
        <w:rPr>
          <w:rFonts w:ascii="Calibri" w:hAnsi="Calibri" w:cs="Calibri"/>
          <w:sz w:val="24"/>
          <w:szCs w:val="24"/>
        </w:rPr>
        <w:t>, or T47D-Res cells with stable METTL14 knockdown</w:t>
      </w:r>
      <w:r>
        <w:rPr>
          <w:rFonts w:ascii="Calibri" w:hAnsi="Calibri" w:cs="Calibri"/>
          <w:sz w:val="24"/>
          <w:szCs w:val="24"/>
        </w:rPr>
        <w:t xml:space="preserve"> (sh-METTL14#1 and</w:t>
      </w:r>
      <w:r w:rsidRPr="00EF16C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sh-METTL14#2)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(F)</w:t>
      </w:r>
      <w:r w:rsidR="00653589" w:rsidRPr="00CD0033">
        <w:rPr>
          <w:rFonts w:ascii="Calibri" w:hAnsi="Calibri" w:cs="Calibri"/>
          <w:sz w:val="24"/>
          <w:szCs w:val="24"/>
        </w:rPr>
        <w:t>The weight of tumors of indicated groups</w:t>
      </w:r>
      <w:r w:rsidRPr="00EF16CD">
        <w:rPr>
          <w:rFonts w:ascii="Calibri" w:hAnsi="Calibri" w:cs="Calibri"/>
          <w:sz w:val="24"/>
          <w:szCs w:val="24"/>
        </w:rPr>
        <w:t xml:space="preserve"> </w:t>
      </w:r>
      <w:r w:rsidR="00855BD7" w:rsidRPr="003A768C">
        <w:rPr>
          <w:rFonts w:ascii="Calibri" w:hAnsi="Calibri" w:cs="Calibri"/>
          <w:sz w:val="24"/>
          <w:szCs w:val="24"/>
        </w:rPr>
        <w:t>in each group</w:t>
      </w:r>
      <w:r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(G)</w:t>
      </w:r>
      <w:r w:rsidR="00653589" w:rsidRPr="00CD0033">
        <w:rPr>
          <w:rFonts w:ascii="Calibri" w:hAnsi="Calibri" w:cs="Calibri"/>
          <w:sz w:val="24"/>
          <w:szCs w:val="24"/>
        </w:rPr>
        <w:t xml:space="preserve"> The size of the tumors was measured at the indicated time points </w:t>
      </w:r>
      <w:r w:rsidR="00855BD7">
        <w:rPr>
          <w:rFonts w:ascii="Calibri" w:hAnsi="Calibri" w:cs="Calibri"/>
          <w:sz w:val="24"/>
          <w:szCs w:val="24"/>
        </w:rPr>
        <w:t>in the indicated groups</w:t>
      </w:r>
      <w:r w:rsidR="00855BD7" w:rsidRPr="003A768C"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(H)</w:t>
      </w:r>
      <w:r w:rsidR="00653589" w:rsidRPr="00CD0033">
        <w:rPr>
          <w:rFonts w:ascii="Calibri" w:hAnsi="Calibri" w:cs="Calibri"/>
          <w:sz w:val="24"/>
          <w:szCs w:val="24"/>
        </w:rPr>
        <w:t xml:space="preserve"> </w:t>
      </w:r>
      <w:r w:rsidR="00005405" w:rsidRPr="00CD0033">
        <w:rPr>
          <w:rFonts w:ascii="Calibri" w:hAnsi="Calibri" w:cs="Calibri"/>
          <w:sz w:val="24"/>
          <w:szCs w:val="24"/>
        </w:rPr>
        <w:t xml:space="preserve">The weight of mice body </w:t>
      </w:r>
      <w:r w:rsidR="00653589" w:rsidRPr="00CD0033">
        <w:rPr>
          <w:rFonts w:ascii="Calibri" w:hAnsi="Calibri" w:cs="Calibri"/>
          <w:sz w:val="24"/>
          <w:szCs w:val="24"/>
        </w:rPr>
        <w:t xml:space="preserve">was measured at the indicated time </w:t>
      </w:r>
      <w:r w:rsidR="00855BD7">
        <w:rPr>
          <w:rFonts w:ascii="Calibri" w:hAnsi="Calibri" w:cs="Calibri"/>
          <w:sz w:val="24"/>
          <w:szCs w:val="24"/>
        </w:rPr>
        <w:t>in the indicated groups</w:t>
      </w:r>
      <w:r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>.</w:t>
      </w:r>
      <w:r w:rsidR="00855BD7">
        <w:rPr>
          <w:rFonts w:ascii="Calibri" w:hAnsi="Calibri" w:cs="Calibri"/>
          <w:sz w:val="24"/>
          <w:szCs w:val="24"/>
        </w:rPr>
        <w:t xml:space="preserve"> </w:t>
      </w:r>
      <w:r w:rsidR="00855BD7">
        <w:rPr>
          <w:rFonts w:ascii="Calibri" w:hAnsi="Calibri" w:cs="Calibri"/>
          <w:b/>
          <w:bCs/>
          <w:sz w:val="24"/>
          <w:szCs w:val="24"/>
        </w:rPr>
        <w:t>(I)</w:t>
      </w:r>
      <w:r w:rsidR="00653589" w:rsidRPr="00CD0033">
        <w:rPr>
          <w:rFonts w:ascii="Calibri" w:hAnsi="Calibri" w:cs="Calibri"/>
          <w:sz w:val="24"/>
          <w:szCs w:val="24"/>
        </w:rPr>
        <w:t xml:space="preserve"> The weight of mice body was measured at the indicated time points of MMTV-PyMT-METTL14</w:t>
      </w:r>
      <w:r w:rsidR="00653589" w:rsidRPr="00CD0033">
        <w:rPr>
          <w:rFonts w:ascii="Calibri" w:hAnsi="Calibri" w:cs="Calibri"/>
          <w:sz w:val="24"/>
          <w:szCs w:val="24"/>
          <w:vertAlign w:val="superscript"/>
        </w:rPr>
        <w:t>+/-</w:t>
      </w:r>
      <w:r w:rsidR="00653589" w:rsidRPr="00CD0033">
        <w:rPr>
          <w:rFonts w:ascii="Calibri" w:hAnsi="Calibri" w:cs="Calibri"/>
          <w:sz w:val="24"/>
          <w:szCs w:val="24"/>
        </w:rPr>
        <w:t xml:space="preserve"> and MMTV-PyMT-METTL14</w:t>
      </w:r>
      <w:r w:rsidR="00653589" w:rsidRPr="00CD0033">
        <w:rPr>
          <w:rFonts w:ascii="Calibri" w:hAnsi="Calibri" w:cs="Calibri"/>
          <w:sz w:val="24"/>
          <w:szCs w:val="24"/>
          <w:vertAlign w:val="superscript"/>
        </w:rPr>
        <w:t xml:space="preserve">+/+ </w:t>
      </w:r>
      <w:r w:rsidR="00653589" w:rsidRPr="00CD0033">
        <w:rPr>
          <w:rFonts w:ascii="Calibri" w:hAnsi="Calibri" w:cs="Calibri"/>
          <w:sz w:val="24"/>
          <w:szCs w:val="24"/>
        </w:rPr>
        <w:t>mice</w:t>
      </w:r>
      <w:r>
        <w:rPr>
          <w:rFonts w:ascii="Calibri" w:hAnsi="Calibri" w:cs="Calibri"/>
          <w:sz w:val="24"/>
          <w:szCs w:val="24"/>
        </w:rPr>
        <w:t xml:space="preserve"> </w:t>
      </w:r>
      <w:r w:rsidRPr="003A768C">
        <w:rPr>
          <w:rFonts w:ascii="Calibri" w:hAnsi="Calibri" w:cs="Calibri"/>
          <w:sz w:val="24"/>
          <w:szCs w:val="24"/>
        </w:rPr>
        <w:t>(</w:t>
      </w:r>
      <w:r w:rsidRPr="003A768C">
        <w:rPr>
          <w:rFonts w:ascii="Calibri" w:hAnsi="Calibri" w:cs="Calibri"/>
          <w:i/>
          <w:iCs/>
          <w:sz w:val="24"/>
          <w:szCs w:val="24"/>
        </w:rPr>
        <w:t>t</w:t>
      </w:r>
      <w:r w:rsidRPr="003A768C">
        <w:rPr>
          <w:rFonts w:ascii="Calibri" w:hAnsi="Calibri" w:cs="Calibri"/>
          <w:sz w:val="24"/>
          <w:szCs w:val="24"/>
        </w:rPr>
        <w:t xml:space="preserve"> test)</w:t>
      </w:r>
      <w:r w:rsidR="00653589" w:rsidRPr="00CD0033">
        <w:rPr>
          <w:rFonts w:ascii="Calibri" w:hAnsi="Calibri" w:cs="Calibri"/>
          <w:sz w:val="24"/>
          <w:szCs w:val="24"/>
        </w:rPr>
        <w:t>.</w:t>
      </w:r>
    </w:p>
    <w:p w14:paraId="43DF22E5" w14:textId="77777777" w:rsidR="00653589" w:rsidRPr="00CD0033" w:rsidRDefault="00653589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CF1FA4B" w14:textId="1BB0EBD4" w:rsidR="00855BD7" w:rsidRDefault="00855BD7">
      <w:pPr>
        <w:widowControl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D53E1E7" w14:textId="7700736E" w:rsidR="00653589" w:rsidRPr="00CD0033" w:rsidRDefault="00F330C6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19D8C7" wp14:editId="52DB5D91">
            <wp:extent cx="5274310" cy="4403725"/>
            <wp:effectExtent l="0" t="0" r="2540" b="0"/>
            <wp:docPr id="277321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D53A" w14:textId="71CFB65E" w:rsidR="00653589" w:rsidRPr="00855BD7" w:rsidRDefault="00653589" w:rsidP="00CD0033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CD0033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906941">
        <w:rPr>
          <w:rFonts w:ascii="Calibri" w:hAnsi="Calibri" w:cs="Calibri"/>
          <w:b/>
          <w:bCs/>
          <w:sz w:val="24"/>
          <w:szCs w:val="24"/>
        </w:rPr>
        <w:t>4</w:t>
      </w:r>
      <w:r w:rsidR="00CD0033" w:rsidRPr="00CD0033">
        <w:rPr>
          <w:rFonts w:ascii="Calibri" w:hAnsi="Calibri" w:cs="Calibri"/>
          <w:b/>
          <w:bCs/>
          <w:sz w:val="24"/>
          <w:szCs w:val="24"/>
        </w:rPr>
        <w:t xml:space="preserve"> METTL14-mediated m6A modification of E2F1 mRNA maintains its IGF2BP2-dependent stability. Related to figure 4.</w:t>
      </w:r>
    </w:p>
    <w:p w14:paraId="61DB9C46" w14:textId="0204B991" w:rsidR="00653589" w:rsidRPr="00CD0033" w:rsidRDefault="00855BD7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</w:t>
      </w:r>
      <w:r w:rsidR="00653589" w:rsidRPr="00CD0033">
        <w:rPr>
          <w:rFonts w:ascii="Calibri" w:hAnsi="Calibri" w:cs="Calibri"/>
          <w:b/>
          <w:bCs/>
          <w:sz w:val="24"/>
          <w:szCs w:val="24"/>
        </w:rPr>
        <w:t>A</w:t>
      </w:r>
      <w:r>
        <w:rPr>
          <w:rFonts w:ascii="Calibri" w:hAnsi="Calibri" w:cs="Calibri"/>
          <w:b/>
          <w:bCs/>
          <w:sz w:val="24"/>
          <w:szCs w:val="24"/>
        </w:rPr>
        <w:t>)</w:t>
      </w:r>
      <w:r w:rsidR="00653589" w:rsidRPr="00CD0033">
        <w:rPr>
          <w:rFonts w:ascii="Calibri" w:hAnsi="Calibri" w:cs="Calibri"/>
          <w:sz w:val="24"/>
          <w:szCs w:val="24"/>
        </w:rPr>
        <w:t xml:space="preserve"> Predominant consensus motif “RRACH” was detected in T47D cells with METTL14 overexpression in MeRIP-seq. </w:t>
      </w:r>
    </w:p>
    <w:p w14:paraId="41071F71" w14:textId="01FD8B93" w:rsidR="00653589" w:rsidRPr="00CD0033" w:rsidRDefault="00855BD7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(B)</w:t>
      </w:r>
      <w:r w:rsidR="00653589" w:rsidRPr="00CD0033">
        <w:rPr>
          <w:rFonts w:ascii="Calibri" w:hAnsi="Calibri" w:cs="Calibri"/>
          <w:sz w:val="24"/>
          <w:szCs w:val="24"/>
        </w:rPr>
        <w:t xml:space="preserve"> The changes of E2F1 mRNA expression in T47D cells with METTL14 overexpression were confirmed </w:t>
      </w:r>
      <w:r w:rsidR="00CD0033" w:rsidRPr="00CD0033">
        <w:rPr>
          <w:rFonts w:ascii="Calibri" w:hAnsi="Calibri" w:cs="Calibri"/>
          <w:sz w:val="24"/>
          <w:szCs w:val="24"/>
        </w:rPr>
        <w:t xml:space="preserve">by </w:t>
      </w:r>
      <w:r w:rsidR="00653589" w:rsidRPr="00CD0033">
        <w:rPr>
          <w:rFonts w:ascii="Calibri" w:hAnsi="Calibri" w:cs="Calibri"/>
          <w:sz w:val="24"/>
          <w:szCs w:val="24"/>
        </w:rPr>
        <w:t>qPCR.</w:t>
      </w:r>
    </w:p>
    <w:p w14:paraId="494E0F1D" w14:textId="36661EFE" w:rsidR="00653589" w:rsidRPr="00CD0033" w:rsidRDefault="00855BD7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(C)</w:t>
      </w:r>
      <w:r w:rsidR="00653589" w:rsidRPr="00CD00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53589" w:rsidRPr="00CD0033">
        <w:rPr>
          <w:rFonts w:ascii="Calibri" w:hAnsi="Calibri" w:cs="Calibri"/>
          <w:sz w:val="24"/>
          <w:szCs w:val="24"/>
        </w:rPr>
        <w:t>MeRIP-qPCR analysis of alterations in the m6A modifications of E2F1 genes in T47D cells with wild-type or mutant E2F1</w:t>
      </w:r>
      <w:r w:rsidR="00887CD7">
        <w:rPr>
          <w:rFonts w:ascii="Calibri" w:hAnsi="Calibri" w:cs="Calibri"/>
          <w:sz w:val="24"/>
          <w:szCs w:val="24"/>
        </w:rPr>
        <w:t xml:space="preserve"> </w:t>
      </w:r>
      <w:r w:rsidR="00887CD7">
        <w:rPr>
          <w:rFonts w:ascii="Calibri" w:hAnsi="Calibri" w:cs="Calibri" w:hint="eastAsia"/>
          <w:sz w:val="24"/>
          <w:szCs w:val="24"/>
        </w:rPr>
        <w:t>(</w:t>
      </w:r>
      <w:r w:rsidR="00887CD7" w:rsidRPr="003C0FF8">
        <w:rPr>
          <w:rFonts w:ascii="Calibri" w:hAnsi="Calibri" w:cs="Calibri"/>
          <w:sz w:val="24"/>
          <w:szCs w:val="24"/>
        </w:rPr>
        <w:t>IgG as a negative control</w:t>
      </w:r>
      <w:r w:rsidR="00887CD7">
        <w:rPr>
          <w:rFonts w:ascii="Calibri" w:hAnsi="Calibri" w:cs="Calibri"/>
          <w:sz w:val="24"/>
          <w:szCs w:val="24"/>
        </w:rPr>
        <w:t>)</w:t>
      </w:r>
      <w:r w:rsidR="00653589" w:rsidRPr="00CD0033">
        <w:rPr>
          <w:rFonts w:ascii="Calibri" w:hAnsi="Calibri" w:cs="Calibri"/>
          <w:sz w:val="24"/>
          <w:szCs w:val="24"/>
        </w:rPr>
        <w:t>.</w:t>
      </w:r>
    </w:p>
    <w:p w14:paraId="52A695F0" w14:textId="20121FF7" w:rsidR="00653589" w:rsidRPr="00CD0033" w:rsidRDefault="00855BD7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(D)</w:t>
      </w:r>
      <w:r w:rsidR="00653589" w:rsidRPr="00CD0033">
        <w:rPr>
          <w:rFonts w:ascii="Calibri" w:hAnsi="Calibri" w:cs="Calibri"/>
          <w:sz w:val="24"/>
          <w:szCs w:val="24"/>
        </w:rPr>
        <w:t xml:space="preserve"> Decay rate of E2F1 mRNA after administration of actinomycin D (5g/ml) in T47D cells after knocking down IGF2BP2.</w:t>
      </w:r>
    </w:p>
    <w:p w14:paraId="40BE5BFC" w14:textId="77777777" w:rsidR="00653589" w:rsidRPr="00CD0033" w:rsidRDefault="00653589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D7DA410" w14:textId="7D16DC1D" w:rsidR="00653589" w:rsidRPr="00CD0033" w:rsidRDefault="00CD0033" w:rsidP="00CD0033">
      <w:pPr>
        <w:spacing w:line="276" w:lineRule="auto"/>
        <w:rPr>
          <w:rFonts w:ascii="Calibri" w:hAnsi="Calibri" w:cs="Calibri"/>
          <w:sz w:val="24"/>
          <w:szCs w:val="24"/>
        </w:rPr>
      </w:pPr>
      <w:r w:rsidRPr="00CD0033"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 wp14:anchorId="71072E55" wp14:editId="32765690">
            <wp:extent cx="5274310" cy="4316730"/>
            <wp:effectExtent l="0" t="0" r="2540" b="7620"/>
            <wp:docPr id="732555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7E06" w14:textId="7573176D" w:rsidR="00653589" w:rsidRPr="00CD0033" w:rsidRDefault="00653589" w:rsidP="00CD0033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CD0033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906941">
        <w:rPr>
          <w:rFonts w:ascii="Calibri" w:hAnsi="Calibri" w:cs="Calibri"/>
          <w:b/>
          <w:bCs/>
          <w:sz w:val="24"/>
          <w:szCs w:val="24"/>
        </w:rPr>
        <w:t>5</w:t>
      </w:r>
      <w:r w:rsidR="00CD0033" w:rsidRPr="00CD0033">
        <w:rPr>
          <w:rFonts w:ascii="Calibri" w:hAnsi="Calibri" w:cs="Calibri"/>
          <w:b/>
          <w:bCs/>
          <w:sz w:val="24"/>
          <w:szCs w:val="24"/>
        </w:rPr>
        <w:t xml:space="preserve"> Screening of METTL14 inhibitors. Related to figure 6.</w:t>
      </w:r>
    </w:p>
    <w:p w14:paraId="7256B05F" w14:textId="665E4D93" w:rsidR="00653589" w:rsidRDefault="00855BD7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</w:t>
      </w:r>
      <w:r w:rsidRPr="00CD0033">
        <w:rPr>
          <w:rFonts w:ascii="Calibri" w:hAnsi="Calibri" w:cs="Calibri"/>
          <w:b/>
          <w:bCs/>
          <w:sz w:val="24"/>
          <w:szCs w:val="24"/>
        </w:rPr>
        <w:t>A</w:t>
      </w:r>
      <w:r>
        <w:rPr>
          <w:rFonts w:ascii="Calibri" w:hAnsi="Calibri" w:cs="Calibri"/>
          <w:b/>
          <w:bCs/>
          <w:sz w:val="24"/>
          <w:szCs w:val="24"/>
        </w:rPr>
        <w:t>)</w:t>
      </w:r>
      <w:r w:rsidR="00653589" w:rsidRPr="00CD00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D6D38" w:rsidRPr="006D6D38">
        <w:rPr>
          <w:rFonts w:ascii="Calibri" w:hAnsi="Calibri" w:cs="Calibri"/>
          <w:sz w:val="24"/>
          <w:szCs w:val="24"/>
        </w:rPr>
        <w:t xml:space="preserve">The impact of 20 candidate compounds from Figure 6B on breast cancer cells was assessed using CCK-8. </w:t>
      </w:r>
      <w:r w:rsidR="0038451D" w:rsidRPr="0038451D">
        <w:rPr>
          <w:rFonts w:ascii="Calibri" w:hAnsi="Calibri" w:cs="Calibri"/>
          <w:sz w:val="24"/>
          <w:szCs w:val="24"/>
        </w:rPr>
        <w:t>The breast cancer cells were treated individually with the 20 candidate compounds from Figure 6B.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(B)</w:t>
      </w:r>
      <w:r w:rsidR="00653589" w:rsidRPr="00CD0033">
        <w:rPr>
          <w:rFonts w:ascii="Calibri" w:hAnsi="Calibri" w:cs="Calibri"/>
          <w:sz w:val="24"/>
          <w:szCs w:val="24"/>
        </w:rPr>
        <w:t xml:space="preserve"> Methylene blue staining of extracted </w:t>
      </w:r>
      <w:r w:rsidR="00E15D23">
        <w:rPr>
          <w:rFonts w:ascii="Calibri" w:hAnsi="Calibri" w:cs="Calibri"/>
          <w:sz w:val="24"/>
          <w:szCs w:val="24"/>
        </w:rPr>
        <w:t>m</w:t>
      </w:r>
      <w:r w:rsidR="00653589" w:rsidRPr="00CD0033">
        <w:rPr>
          <w:rFonts w:ascii="Calibri" w:hAnsi="Calibri" w:cs="Calibri"/>
          <w:sz w:val="24"/>
          <w:szCs w:val="24"/>
        </w:rPr>
        <w:t>RNA from T47D-Res cells after treatment of these 20 candidate compounds.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(C)</w:t>
      </w:r>
      <w:r w:rsidR="009C7A5F" w:rsidRPr="00CD0033">
        <w:rPr>
          <w:rFonts w:ascii="Calibri" w:hAnsi="Calibri" w:cs="Calibri"/>
          <w:sz w:val="24"/>
          <w:szCs w:val="24"/>
        </w:rPr>
        <w:t xml:space="preserve"> </w:t>
      </w:r>
      <w:r w:rsidR="00D76FE5" w:rsidRPr="00D76FE5">
        <w:rPr>
          <w:rFonts w:ascii="Calibri" w:hAnsi="Calibri" w:cs="Calibri"/>
          <w:sz w:val="24"/>
          <w:szCs w:val="24"/>
        </w:rPr>
        <w:t xml:space="preserve">The </w:t>
      </w:r>
      <w:r w:rsidR="00D76FE5">
        <w:rPr>
          <w:rFonts w:ascii="Calibri" w:hAnsi="Calibri" w:cs="Calibri"/>
          <w:sz w:val="24"/>
          <w:szCs w:val="24"/>
        </w:rPr>
        <w:t xml:space="preserve">SPR </w:t>
      </w:r>
      <w:r w:rsidR="00D76FE5" w:rsidRPr="00D76FE5">
        <w:rPr>
          <w:rFonts w:ascii="Calibri" w:hAnsi="Calibri" w:cs="Calibri"/>
          <w:sz w:val="24"/>
          <w:szCs w:val="24"/>
        </w:rPr>
        <w:t>detects th</w:t>
      </w:r>
      <w:r w:rsidR="00D76FE5">
        <w:rPr>
          <w:rFonts w:ascii="Calibri" w:hAnsi="Calibri" w:cs="Calibri"/>
          <w:sz w:val="24"/>
          <w:szCs w:val="24"/>
        </w:rPr>
        <w:t>e</w:t>
      </w:r>
      <w:r w:rsidR="00D76FE5" w:rsidRPr="00D76FE5">
        <w:rPr>
          <w:rFonts w:ascii="Calibri" w:hAnsi="Calibri" w:cs="Calibri"/>
          <w:sz w:val="24"/>
          <w:szCs w:val="24"/>
        </w:rPr>
        <w:t xml:space="preserve"> res</w:t>
      </w:r>
      <w:r w:rsidR="00D76FE5">
        <w:rPr>
          <w:rFonts w:ascii="Calibri" w:hAnsi="Calibri" w:cs="Calibri"/>
          <w:sz w:val="24"/>
          <w:szCs w:val="24"/>
        </w:rPr>
        <w:t>ponse</w:t>
      </w:r>
      <w:r w:rsidR="00D76FE5" w:rsidRPr="00D76FE5">
        <w:rPr>
          <w:rFonts w:ascii="Calibri" w:hAnsi="Calibri" w:cs="Calibri"/>
          <w:sz w:val="24"/>
          <w:szCs w:val="24"/>
        </w:rPr>
        <w:t xml:space="preserve"> </w:t>
      </w:r>
      <w:r w:rsidR="00D76FE5">
        <w:rPr>
          <w:rFonts w:ascii="Calibri" w:hAnsi="Calibri" w:cs="Calibri"/>
          <w:sz w:val="24"/>
          <w:szCs w:val="24"/>
        </w:rPr>
        <w:t xml:space="preserve">that </w:t>
      </w:r>
      <w:r w:rsidR="00D76FE5" w:rsidRPr="00D76FE5">
        <w:rPr>
          <w:rFonts w:ascii="Calibri" w:hAnsi="Calibri" w:cs="Calibri"/>
          <w:sz w:val="24"/>
          <w:szCs w:val="24"/>
        </w:rPr>
        <w:t>change</w:t>
      </w:r>
      <w:r w:rsidR="00C629E4">
        <w:rPr>
          <w:rFonts w:ascii="Calibri" w:hAnsi="Calibri" w:cs="Calibri"/>
          <w:sz w:val="24"/>
          <w:szCs w:val="24"/>
        </w:rPr>
        <w:t>d</w:t>
      </w:r>
      <w:r w:rsidR="00D76FE5" w:rsidRPr="00D76FE5">
        <w:rPr>
          <w:rFonts w:ascii="Calibri" w:hAnsi="Calibri" w:cs="Calibri"/>
          <w:sz w:val="24"/>
          <w:szCs w:val="24"/>
        </w:rPr>
        <w:t xml:space="preserve"> accordingly </w:t>
      </w:r>
      <w:r w:rsidR="00D76FE5">
        <w:rPr>
          <w:rFonts w:ascii="Calibri" w:hAnsi="Calibri" w:cs="Calibri"/>
          <w:sz w:val="24"/>
          <w:szCs w:val="24"/>
        </w:rPr>
        <w:t>i</w:t>
      </w:r>
      <w:r w:rsidR="00D76FE5" w:rsidRPr="00D76FE5">
        <w:rPr>
          <w:rFonts w:ascii="Calibri" w:hAnsi="Calibri" w:cs="Calibri"/>
          <w:sz w:val="24"/>
          <w:szCs w:val="24"/>
        </w:rPr>
        <w:t>n the process of</w:t>
      </w:r>
      <w:r w:rsidR="00D76FE5">
        <w:rPr>
          <w:rFonts w:ascii="Calibri" w:hAnsi="Calibri" w:cs="Calibri"/>
          <w:sz w:val="24"/>
          <w:szCs w:val="24"/>
        </w:rPr>
        <w:t xml:space="preserve"> </w:t>
      </w:r>
      <w:r w:rsidR="00D76FE5" w:rsidRPr="00D76FE5">
        <w:rPr>
          <w:rFonts w:ascii="Calibri" w:hAnsi="Calibri" w:cs="Calibri"/>
          <w:sz w:val="24"/>
          <w:szCs w:val="24"/>
        </w:rPr>
        <w:t xml:space="preserve">binding and dissociation of the </w:t>
      </w:r>
      <w:r w:rsidR="00D76FE5" w:rsidRPr="008C73D0">
        <w:rPr>
          <w:rFonts w:ascii="Calibri" w:hAnsi="Calibri" w:cs="Calibri"/>
          <w:sz w:val="24"/>
          <w:szCs w:val="24"/>
        </w:rPr>
        <w:t>METTL14 captured on COOH chip</w:t>
      </w:r>
      <w:r w:rsidR="00D76FE5" w:rsidRPr="00D76FE5">
        <w:rPr>
          <w:rFonts w:ascii="Calibri" w:hAnsi="Calibri" w:cs="Calibri"/>
          <w:sz w:val="24"/>
          <w:szCs w:val="24"/>
        </w:rPr>
        <w:t xml:space="preserve"> and the </w:t>
      </w:r>
      <w:r w:rsidR="00D76FE5" w:rsidRPr="00CD0033">
        <w:rPr>
          <w:rFonts w:ascii="Calibri" w:hAnsi="Calibri" w:cs="Calibri"/>
          <w:sz w:val="24"/>
          <w:szCs w:val="24"/>
        </w:rPr>
        <w:t>WKYMVM</w:t>
      </w:r>
      <w:r w:rsidR="00D76FE5" w:rsidRPr="00D76FE5">
        <w:rPr>
          <w:rFonts w:ascii="Calibri" w:hAnsi="Calibri" w:cs="Calibri"/>
          <w:sz w:val="24"/>
          <w:szCs w:val="24"/>
        </w:rPr>
        <w:t xml:space="preserve"> in the flow path. </w:t>
      </w:r>
    </w:p>
    <w:p w14:paraId="181CC6AD" w14:textId="77777777" w:rsidR="00D76FE5" w:rsidRPr="00C629E4" w:rsidRDefault="00D76FE5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E418E50" w14:textId="298518F5" w:rsidR="008C2C6A" w:rsidRDefault="008C2C6A" w:rsidP="00CD003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21B25D9" w14:textId="77777777" w:rsidR="008C2C6A" w:rsidRDefault="008C2C6A">
      <w:pPr>
        <w:widowControl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E485F84" w14:textId="5741F1BA" w:rsidR="00D76FE5" w:rsidRDefault="008C2C6A" w:rsidP="00CD0033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72F900" wp14:editId="123A3CC3">
            <wp:extent cx="2660015" cy="2772410"/>
            <wp:effectExtent l="0" t="0" r="6985" b="8890"/>
            <wp:docPr id="20613538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5DCCC" w14:textId="5487F823" w:rsidR="008C2C6A" w:rsidRPr="00CD0033" w:rsidRDefault="008C2C6A" w:rsidP="008C2C6A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CD0033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>
        <w:rPr>
          <w:rFonts w:ascii="Calibri" w:hAnsi="Calibri" w:cs="Calibri"/>
          <w:b/>
          <w:bCs/>
          <w:sz w:val="24"/>
          <w:szCs w:val="24"/>
        </w:rPr>
        <w:t>6</w:t>
      </w:r>
      <w:r w:rsidRPr="00CD00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F1ABA">
        <w:rPr>
          <w:rFonts w:ascii="Calibri" w:hAnsi="Calibri" w:cs="Calibri"/>
          <w:b/>
          <w:bCs/>
          <w:sz w:val="24"/>
          <w:szCs w:val="24"/>
        </w:rPr>
        <w:t xml:space="preserve">The effectiveness of CDK4/6i treatment was augmented by the METTL14 inhibitor WKYMVM </w:t>
      </w:r>
      <w:r w:rsidRPr="009F1ABA">
        <w:rPr>
          <w:rFonts w:ascii="Calibri" w:hAnsi="Calibri" w:cs="Calibri"/>
          <w:b/>
          <w:bCs/>
          <w:i/>
          <w:iCs/>
          <w:sz w:val="24"/>
          <w:szCs w:val="24"/>
        </w:rPr>
        <w:t>in vitro</w:t>
      </w:r>
      <w:r w:rsidRPr="009F1ABA">
        <w:rPr>
          <w:rFonts w:ascii="Calibri" w:hAnsi="Calibri" w:cs="Calibri"/>
          <w:b/>
          <w:bCs/>
          <w:sz w:val="24"/>
          <w:szCs w:val="24"/>
        </w:rPr>
        <w:t xml:space="preserve"> and </w:t>
      </w:r>
      <w:r w:rsidRPr="009F1ABA">
        <w:rPr>
          <w:rFonts w:ascii="Calibri" w:hAnsi="Calibri" w:cs="Calibri"/>
          <w:b/>
          <w:bCs/>
          <w:i/>
          <w:iCs/>
          <w:sz w:val="24"/>
          <w:szCs w:val="24"/>
        </w:rPr>
        <w:t>in vivo</w:t>
      </w:r>
      <w:r w:rsidRPr="00CD0033">
        <w:rPr>
          <w:rFonts w:ascii="Calibri" w:hAnsi="Calibri" w:cs="Calibri"/>
          <w:b/>
          <w:bCs/>
          <w:sz w:val="24"/>
          <w:szCs w:val="24"/>
        </w:rPr>
        <w:t xml:space="preserve">. Related to figure </w:t>
      </w:r>
      <w:r>
        <w:rPr>
          <w:rFonts w:ascii="Calibri" w:hAnsi="Calibri" w:cs="Calibri"/>
          <w:b/>
          <w:bCs/>
          <w:sz w:val="24"/>
          <w:szCs w:val="24"/>
        </w:rPr>
        <w:t>7</w:t>
      </w:r>
      <w:r w:rsidRPr="00CD0033">
        <w:rPr>
          <w:rFonts w:ascii="Calibri" w:hAnsi="Calibri" w:cs="Calibri"/>
          <w:b/>
          <w:bCs/>
          <w:sz w:val="24"/>
          <w:szCs w:val="24"/>
        </w:rPr>
        <w:t>.</w:t>
      </w:r>
    </w:p>
    <w:p w14:paraId="1320E7B6" w14:textId="3EF69BCC" w:rsidR="008C2C6A" w:rsidRPr="008C2C6A" w:rsidRDefault="008C2C6A" w:rsidP="008C2C6A">
      <w:pPr>
        <w:spacing w:line="276" w:lineRule="auto"/>
        <w:rPr>
          <w:rFonts w:ascii="Calibri" w:hAnsi="Calibri" w:cs="Calibri"/>
          <w:sz w:val="24"/>
          <w:szCs w:val="24"/>
        </w:rPr>
      </w:pPr>
      <w:r w:rsidRPr="008C2C6A">
        <w:rPr>
          <w:rFonts w:ascii="Calibri" w:hAnsi="Calibri" w:cs="Calibri"/>
          <w:sz w:val="24"/>
          <w:szCs w:val="24"/>
        </w:rPr>
        <w:t>(</w:t>
      </w:r>
      <w:r w:rsidRPr="008C2C6A">
        <w:rPr>
          <w:rFonts w:ascii="Calibri" w:hAnsi="Calibri" w:cs="Calibri"/>
          <w:b/>
          <w:bCs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) </w:t>
      </w:r>
      <w:r w:rsidRPr="008C2C6A">
        <w:rPr>
          <w:rFonts w:ascii="Calibri" w:hAnsi="Calibri" w:cs="Calibri"/>
          <w:sz w:val="24"/>
          <w:szCs w:val="24"/>
        </w:rPr>
        <w:t xml:space="preserve">The proliferation of T47D-Res cells treated with WKYMVM </w:t>
      </w:r>
      <w:r w:rsidRPr="008C2C6A">
        <w:rPr>
          <w:rFonts w:ascii="Calibri" w:hAnsi="Calibri" w:cs="Calibri" w:hint="eastAsia"/>
          <w:sz w:val="24"/>
          <w:szCs w:val="24"/>
        </w:rPr>
        <w:t>(</w:t>
      </w:r>
      <w:r w:rsidRPr="008C2C6A">
        <w:rPr>
          <w:rFonts w:ascii="Calibri" w:hAnsi="Calibri" w:cs="Calibri"/>
          <w:sz w:val="24"/>
          <w:szCs w:val="24"/>
        </w:rPr>
        <w:t xml:space="preserve">1 </w:t>
      </w:r>
      <w:proofErr w:type="spellStart"/>
      <w:r w:rsidRPr="008C2C6A">
        <w:rPr>
          <w:rFonts w:ascii="Calibri" w:hAnsi="Calibri" w:cs="Calibri"/>
          <w:sz w:val="24"/>
          <w:szCs w:val="24"/>
        </w:rPr>
        <w:t>μM</w:t>
      </w:r>
      <w:proofErr w:type="spellEnd"/>
      <w:r w:rsidRPr="008C2C6A">
        <w:rPr>
          <w:rFonts w:ascii="Calibri" w:hAnsi="Calibri" w:cs="Calibri"/>
          <w:sz w:val="24"/>
          <w:szCs w:val="24"/>
        </w:rPr>
        <w:t xml:space="preserve">, 48 h) alone, a CDK4/6i </w:t>
      </w:r>
      <w:r w:rsidRPr="008C2C6A">
        <w:rPr>
          <w:rFonts w:ascii="Calibri" w:hAnsi="Calibri" w:cs="Calibri" w:hint="eastAsia"/>
          <w:sz w:val="24"/>
          <w:szCs w:val="24"/>
        </w:rPr>
        <w:t>(</w:t>
      </w:r>
      <w:r w:rsidRPr="008C2C6A">
        <w:rPr>
          <w:rFonts w:ascii="Calibri" w:hAnsi="Calibri" w:cs="Calibri"/>
          <w:sz w:val="24"/>
          <w:szCs w:val="24"/>
        </w:rPr>
        <w:t xml:space="preserve">1 </w:t>
      </w:r>
      <w:proofErr w:type="spellStart"/>
      <w:r w:rsidRPr="008C2C6A">
        <w:rPr>
          <w:rFonts w:ascii="Calibri" w:hAnsi="Calibri" w:cs="Calibri"/>
          <w:sz w:val="24"/>
          <w:szCs w:val="24"/>
        </w:rPr>
        <w:t>μM</w:t>
      </w:r>
      <w:proofErr w:type="spellEnd"/>
      <w:r w:rsidRPr="008C2C6A">
        <w:rPr>
          <w:rFonts w:ascii="Calibri" w:hAnsi="Calibri" w:cs="Calibri"/>
          <w:sz w:val="24"/>
          <w:szCs w:val="24"/>
        </w:rPr>
        <w:t xml:space="preserve">, 48 h) alone, or the combination of WKYMVM and the CDK4/6i was assessed using an </w:t>
      </w:r>
      <w:proofErr w:type="spellStart"/>
      <w:r w:rsidRPr="008C2C6A">
        <w:rPr>
          <w:rFonts w:ascii="Calibri" w:hAnsi="Calibri" w:cs="Calibri"/>
          <w:sz w:val="24"/>
          <w:szCs w:val="24"/>
        </w:rPr>
        <w:t>EdU</w:t>
      </w:r>
      <w:proofErr w:type="spellEnd"/>
      <w:r w:rsidRPr="008C2C6A">
        <w:rPr>
          <w:rFonts w:ascii="Calibri" w:hAnsi="Calibri" w:cs="Calibri"/>
          <w:sz w:val="24"/>
          <w:szCs w:val="24"/>
        </w:rPr>
        <w:t xml:space="preserve"> incorporation assay and the positive rate was determined (one-way ANOVA test).</w:t>
      </w:r>
    </w:p>
    <w:sectPr w:rsidR="008C2C6A" w:rsidRPr="008C2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FF47D" w14:textId="77777777" w:rsidR="00092368" w:rsidRDefault="00092368" w:rsidP="00B3046A">
      <w:r>
        <w:separator/>
      </w:r>
    </w:p>
  </w:endnote>
  <w:endnote w:type="continuationSeparator" w:id="0">
    <w:p w14:paraId="5941F25B" w14:textId="77777777" w:rsidR="00092368" w:rsidRDefault="00092368" w:rsidP="00B3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3E31D" w14:textId="77777777" w:rsidR="00092368" w:rsidRDefault="00092368" w:rsidP="00B3046A">
      <w:r>
        <w:separator/>
      </w:r>
    </w:p>
  </w:footnote>
  <w:footnote w:type="continuationSeparator" w:id="0">
    <w:p w14:paraId="18100CD3" w14:textId="77777777" w:rsidR="00092368" w:rsidRDefault="00092368" w:rsidP="00B30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042E7B"/>
    <w:multiLevelType w:val="hybridMultilevel"/>
    <w:tmpl w:val="AB1AB102"/>
    <w:lvl w:ilvl="0" w:tplc="5A5283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675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6E"/>
    <w:rsid w:val="00005405"/>
    <w:rsid w:val="000279E7"/>
    <w:rsid w:val="00040F09"/>
    <w:rsid w:val="000430C7"/>
    <w:rsid w:val="00092368"/>
    <w:rsid w:val="000B00B3"/>
    <w:rsid w:val="0016198B"/>
    <w:rsid w:val="00184E27"/>
    <w:rsid w:val="001D359A"/>
    <w:rsid w:val="002070B9"/>
    <w:rsid w:val="00225828"/>
    <w:rsid w:val="00246C6E"/>
    <w:rsid w:val="00261E75"/>
    <w:rsid w:val="0035152E"/>
    <w:rsid w:val="0038451D"/>
    <w:rsid w:val="004014D3"/>
    <w:rsid w:val="0042793E"/>
    <w:rsid w:val="00461089"/>
    <w:rsid w:val="004C6176"/>
    <w:rsid w:val="004D48C0"/>
    <w:rsid w:val="005B16B1"/>
    <w:rsid w:val="005C6065"/>
    <w:rsid w:val="005D6529"/>
    <w:rsid w:val="006266AF"/>
    <w:rsid w:val="00653589"/>
    <w:rsid w:val="00691282"/>
    <w:rsid w:val="006D19F4"/>
    <w:rsid w:val="006D6365"/>
    <w:rsid w:val="006D6D38"/>
    <w:rsid w:val="00713588"/>
    <w:rsid w:val="00784888"/>
    <w:rsid w:val="007A2363"/>
    <w:rsid w:val="007B70D4"/>
    <w:rsid w:val="007C22C3"/>
    <w:rsid w:val="007C24D3"/>
    <w:rsid w:val="007D1376"/>
    <w:rsid w:val="008078BB"/>
    <w:rsid w:val="00816089"/>
    <w:rsid w:val="00827B58"/>
    <w:rsid w:val="00855BD7"/>
    <w:rsid w:val="00874065"/>
    <w:rsid w:val="00887CD7"/>
    <w:rsid w:val="0089464D"/>
    <w:rsid w:val="008C2C6A"/>
    <w:rsid w:val="008C73D0"/>
    <w:rsid w:val="008D748C"/>
    <w:rsid w:val="00902C1D"/>
    <w:rsid w:val="00906941"/>
    <w:rsid w:val="009755AC"/>
    <w:rsid w:val="0099436A"/>
    <w:rsid w:val="009C246E"/>
    <w:rsid w:val="009C2F86"/>
    <w:rsid w:val="009C7A5F"/>
    <w:rsid w:val="009D1408"/>
    <w:rsid w:val="00A849F9"/>
    <w:rsid w:val="00AA0D0C"/>
    <w:rsid w:val="00AD4412"/>
    <w:rsid w:val="00B3046A"/>
    <w:rsid w:val="00BB5E5B"/>
    <w:rsid w:val="00C14AD5"/>
    <w:rsid w:val="00C629E4"/>
    <w:rsid w:val="00CA345F"/>
    <w:rsid w:val="00CD0033"/>
    <w:rsid w:val="00D650DE"/>
    <w:rsid w:val="00D76FE5"/>
    <w:rsid w:val="00D80B98"/>
    <w:rsid w:val="00D87A82"/>
    <w:rsid w:val="00DC2D13"/>
    <w:rsid w:val="00E13AD5"/>
    <w:rsid w:val="00E1591D"/>
    <w:rsid w:val="00E15D23"/>
    <w:rsid w:val="00E55E98"/>
    <w:rsid w:val="00E73C1B"/>
    <w:rsid w:val="00E96461"/>
    <w:rsid w:val="00EB0091"/>
    <w:rsid w:val="00EB6FF2"/>
    <w:rsid w:val="00ED20D5"/>
    <w:rsid w:val="00EF16CD"/>
    <w:rsid w:val="00F07DFC"/>
    <w:rsid w:val="00F3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3C2BD"/>
  <w15:chartTrackingRefBased/>
  <w15:docId w15:val="{39B5BC74-E6B7-4B7B-BD29-9849B069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6A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E1591D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1591D"/>
    <w:pPr>
      <w:keepNext/>
      <w:keepLines/>
      <w:spacing w:before="260" w:after="260" w:line="416" w:lineRule="auto"/>
      <w:outlineLvl w:val="1"/>
    </w:pPr>
    <w:rPr>
      <w:rFonts w:cs="Times New Roman"/>
      <w:b/>
      <w:bCs/>
      <w:color w:val="C00000"/>
      <w:sz w:val="28"/>
      <w:szCs w:val="24"/>
      <w:shd w:val="clear" w:color="auto" w:fill="FFFFFF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7C22C3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7C22C3"/>
    <w:rPr>
      <w:rFonts w:ascii="Times New Roman" w:eastAsia="宋体" w:hAnsi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E1591D"/>
    <w:rPr>
      <w:rFonts w:ascii="Times New Roman" w:eastAsia="宋体" w:hAnsi="Times New Roman" w:cs="Times New Roman"/>
      <w:b/>
      <w:bCs/>
      <w:color w:val="C00000"/>
      <w:sz w:val="28"/>
      <w:szCs w:val="24"/>
    </w:rPr>
  </w:style>
  <w:style w:type="character" w:customStyle="1" w:styleId="10">
    <w:name w:val="标题 1 字符"/>
    <w:basedOn w:val="a0"/>
    <w:link w:val="1"/>
    <w:uiPriority w:val="9"/>
    <w:rsid w:val="00E1591D"/>
    <w:rPr>
      <w:rFonts w:ascii="Times New Roman" w:eastAsia="宋体" w:hAnsi="Times New Roman"/>
      <w:b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B304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046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0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46A"/>
    <w:rPr>
      <w:rFonts w:ascii="Times New Roman" w:eastAsia="宋体" w:hAnsi="Times New Roman"/>
      <w:sz w:val="18"/>
      <w:szCs w:val="18"/>
    </w:rPr>
  </w:style>
  <w:style w:type="character" w:styleId="a7">
    <w:name w:val="annotation reference"/>
    <w:basedOn w:val="a0"/>
    <w:uiPriority w:val="99"/>
    <w:unhideWhenUsed/>
    <w:rsid w:val="0042793E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42793E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42793E"/>
    <w:rPr>
      <w:rFonts w:ascii="Times New Roman" w:eastAsia="宋体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793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2793E"/>
    <w:rPr>
      <w:rFonts w:ascii="Times New Roman" w:eastAsia="宋体" w:hAnsi="Times New Roman"/>
      <w:b/>
      <w:bCs/>
    </w:rPr>
  </w:style>
  <w:style w:type="paragraph" w:styleId="ac">
    <w:name w:val="List Paragraph"/>
    <w:basedOn w:val="a"/>
    <w:uiPriority w:val="34"/>
    <w:qFormat/>
    <w:rsid w:val="008C2C6A"/>
    <w:pPr>
      <w:ind w:firstLineChars="200" w:firstLine="420"/>
    </w:pPr>
  </w:style>
  <w:style w:type="paragraph" w:styleId="ad">
    <w:name w:val="Revision"/>
    <w:hidden/>
    <w:uiPriority w:val="99"/>
    <w:semiHidden/>
    <w:rsid w:val="001D359A"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4294964524</TotalTime>
  <Pages>7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chenlin</dc:creator>
  <cp:keywords/>
  <dc:description/>
  <cp:lastModifiedBy>chenlin liu</cp:lastModifiedBy>
  <cp:revision>30</cp:revision>
  <dcterms:created xsi:type="dcterms:W3CDTF">2023-07-27T08:27:00Z</dcterms:created>
  <dcterms:modified xsi:type="dcterms:W3CDTF">2024-10-30T09:37:00Z</dcterms:modified>
</cp:coreProperties>
</file>