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B9CA0" w14:textId="77777777" w:rsidR="00DA1688" w:rsidRDefault="00DA1688" w:rsidP="00DA1688">
      <w:pPr>
        <w:spacing w:line="360" w:lineRule="auto"/>
        <w:rPr>
          <w:rFonts w:ascii="Times New Roman" w:hAnsi="Times New Roman" w:cs="Times New Roman"/>
          <w:b/>
          <w:szCs w:val="21"/>
        </w:rPr>
      </w:pPr>
      <w:r w:rsidRPr="00F546A2">
        <w:rPr>
          <w:rFonts w:ascii="Times New Roman" w:hAnsi="Times New Roman" w:cs="Times New Roman"/>
          <w:b/>
          <w:szCs w:val="21"/>
        </w:rPr>
        <w:t>Supplementary materials</w:t>
      </w:r>
    </w:p>
    <w:p w14:paraId="1774952C" w14:textId="77777777" w:rsidR="00DA1688" w:rsidRDefault="00DA1688" w:rsidP="00DA1688">
      <w:pPr>
        <w:spacing w:line="360" w:lineRule="auto"/>
        <w:rPr>
          <w:rFonts w:ascii="Times New Roman" w:hAnsi="Times New Roman" w:cs="Times New Roman"/>
          <w:szCs w:val="21"/>
          <w:highlight w:val="yellow"/>
        </w:rPr>
      </w:pPr>
      <w:r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34864F2B" wp14:editId="1F98031C">
            <wp:extent cx="5274310" cy="2012315"/>
            <wp:effectExtent l="0" t="0" r="2540" b="698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Fig. S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1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B73F3" w14:textId="77777777" w:rsidR="00DA1688" w:rsidRDefault="00DA1688" w:rsidP="00DA1688">
      <w:pPr>
        <w:spacing w:line="360" w:lineRule="auto"/>
        <w:rPr>
          <w:rFonts w:ascii="Times New Roman" w:hAnsi="Times New Roman" w:cs="Times New Roman"/>
          <w:szCs w:val="21"/>
        </w:rPr>
      </w:pPr>
      <w:r w:rsidRPr="00902DBF">
        <w:rPr>
          <w:rFonts w:ascii="Times New Roman" w:hAnsi="Times New Roman" w:cs="Times New Roman"/>
          <w:szCs w:val="21"/>
        </w:rPr>
        <w:t>Figure S1:</w:t>
      </w:r>
      <w:r w:rsidRPr="000A1C50">
        <w:t xml:space="preserve"> </w:t>
      </w:r>
      <w:r w:rsidRPr="000A1C50">
        <w:rPr>
          <w:rFonts w:ascii="Times New Roman" w:hAnsi="Times New Roman" w:cs="Times New Roman"/>
          <w:szCs w:val="21"/>
        </w:rPr>
        <w:t>The</w:t>
      </w:r>
      <w:r w:rsidRPr="000A1C50">
        <w:t xml:space="preserve"> </w:t>
      </w:r>
      <w:r w:rsidRPr="00126FB8">
        <w:rPr>
          <w:rFonts w:ascii="Times New Roman" w:hAnsi="Times New Roman" w:cs="Times New Roman"/>
          <w:szCs w:val="21"/>
        </w:rPr>
        <w:t>mass spectrometry</w:t>
      </w:r>
      <w:r w:rsidRPr="000A1C50">
        <w:rPr>
          <w:rFonts w:ascii="Times New Roman" w:hAnsi="Times New Roman" w:cs="Times New Roman"/>
          <w:szCs w:val="21"/>
        </w:rPr>
        <w:t xml:space="preserve"> of </w:t>
      </w:r>
      <w:bookmarkStart w:id="0" w:name="OLE_LINK9"/>
      <w:bookmarkStart w:id="1" w:name="OLE_LINK10"/>
      <w:r>
        <w:rPr>
          <w:rFonts w:ascii="Times New Roman" w:hAnsi="Times New Roman" w:cs="Times New Roman"/>
          <w:szCs w:val="21"/>
        </w:rPr>
        <w:t>CpG-</w:t>
      </w:r>
      <w:bookmarkEnd w:id="0"/>
      <w:bookmarkEnd w:id="1"/>
      <w:r>
        <w:rPr>
          <w:rFonts w:ascii="Times New Roman" w:hAnsi="Times New Roman" w:cs="Times New Roman"/>
          <w:szCs w:val="21"/>
        </w:rPr>
        <w:t>SH and</w:t>
      </w:r>
      <w:r w:rsidRPr="000A1C50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CpG-DTDP</w:t>
      </w:r>
      <w:r w:rsidRPr="000A1C50">
        <w:rPr>
          <w:rFonts w:ascii="Times New Roman" w:hAnsi="Times New Roman" w:cs="Times New Roman"/>
          <w:szCs w:val="21"/>
        </w:rPr>
        <w:t>.</w:t>
      </w:r>
    </w:p>
    <w:p w14:paraId="76EC2F9A" w14:textId="77777777" w:rsidR="00DA1688" w:rsidRPr="00F546A2" w:rsidRDefault="00DA1688" w:rsidP="00DA1688">
      <w:pPr>
        <w:spacing w:line="360" w:lineRule="auto"/>
        <w:rPr>
          <w:rFonts w:ascii="Times New Roman" w:hAnsi="Times New Roman" w:cs="Times New Roman"/>
          <w:b/>
          <w:szCs w:val="21"/>
        </w:rPr>
      </w:pPr>
    </w:p>
    <w:p w14:paraId="5DEB30BD" w14:textId="77777777" w:rsidR="00DA1688" w:rsidRPr="00F546A2" w:rsidRDefault="00DA1688" w:rsidP="00DA1688">
      <w:pPr>
        <w:suppressLineNumbers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5BBFE86" wp14:editId="38201ABF">
            <wp:extent cx="5274310" cy="2074545"/>
            <wp:effectExtent l="0" t="0" r="2540" b="190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Fig. S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7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99E00" w14:textId="77777777" w:rsidR="00DA1688" w:rsidRDefault="00DA1688" w:rsidP="00DA1688">
      <w:pPr>
        <w:spacing w:line="360" w:lineRule="auto"/>
        <w:rPr>
          <w:rFonts w:ascii="Times New Roman" w:hAnsi="Times New Roman" w:cs="Times New Roman"/>
          <w:szCs w:val="21"/>
        </w:rPr>
      </w:pPr>
      <w:r w:rsidRPr="00F546A2">
        <w:rPr>
          <w:rFonts w:ascii="Times New Roman" w:hAnsi="Times New Roman" w:cs="Times New Roman"/>
          <w:szCs w:val="21"/>
        </w:rPr>
        <w:t>Figure S</w:t>
      </w:r>
      <w:r>
        <w:rPr>
          <w:rFonts w:ascii="Times New Roman" w:hAnsi="Times New Roman" w:cs="Times New Roman"/>
          <w:szCs w:val="21"/>
        </w:rPr>
        <w:t>2</w:t>
      </w:r>
      <w:r w:rsidRPr="00F546A2">
        <w:rPr>
          <w:rFonts w:ascii="Times New Roman" w:hAnsi="Times New Roman" w:cs="Times New Roman"/>
          <w:szCs w:val="21"/>
        </w:rPr>
        <w:t xml:space="preserve">: Fluorescence microscopy was used to assess the uptake capacity of DC2.4 cells for the peptide TBT. TBT was labeled with 5TAMRA, and 200 </w:t>
      </w:r>
      <w:proofErr w:type="spellStart"/>
      <w:r w:rsidRPr="00F546A2">
        <w:rPr>
          <w:rFonts w:ascii="Times New Roman" w:hAnsi="Times New Roman" w:cs="Times New Roman"/>
          <w:szCs w:val="21"/>
        </w:rPr>
        <w:t>nM</w:t>
      </w:r>
      <w:proofErr w:type="spellEnd"/>
      <w:r w:rsidRPr="00F546A2">
        <w:rPr>
          <w:rFonts w:ascii="Times New Roman" w:hAnsi="Times New Roman" w:cs="Times New Roman"/>
          <w:szCs w:val="21"/>
        </w:rPr>
        <w:t xml:space="preserve"> TBT-5TAMRA was combined with CpG ODN at varying molar ratios before being applied to DC2.4 cells for 2 h.</w:t>
      </w:r>
      <w:r w:rsidRPr="00526F40">
        <w:rPr>
          <w:rFonts w:ascii="Times New Roman" w:hAnsi="Times New Roman" w:cs="Times New Roman"/>
          <w:szCs w:val="21"/>
        </w:rPr>
        <w:t xml:space="preserve"> </w:t>
      </w:r>
      <w:r w:rsidRPr="00F546A2">
        <w:rPr>
          <w:rFonts w:ascii="Times New Roman" w:hAnsi="Times New Roman" w:cs="Times New Roman"/>
          <w:szCs w:val="21"/>
        </w:rPr>
        <w:t xml:space="preserve">Scale bars represent </w:t>
      </w:r>
      <w:r w:rsidRPr="00834C5A">
        <w:rPr>
          <w:rFonts w:ascii="Times New Roman" w:hAnsi="Times New Roman" w:cs="Times New Roman"/>
          <w:szCs w:val="21"/>
        </w:rPr>
        <w:t>5</w:t>
      </w:r>
      <w:r w:rsidRPr="0095521D">
        <w:rPr>
          <w:rFonts w:ascii="Times New Roman" w:hAnsi="Times New Roman" w:cs="Times New Roman"/>
          <w:szCs w:val="21"/>
        </w:rPr>
        <w:t>0μm.</w:t>
      </w:r>
      <w:r w:rsidRPr="00F546A2">
        <w:rPr>
          <w:rFonts w:ascii="Times New Roman" w:hAnsi="Times New Roman" w:cs="Times New Roman"/>
          <w:szCs w:val="21"/>
        </w:rPr>
        <w:t xml:space="preserve"> </w:t>
      </w:r>
    </w:p>
    <w:p w14:paraId="45EF2996" w14:textId="77777777" w:rsidR="00DA1688" w:rsidRDefault="00DA1688" w:rsidP="00DA1688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42AED07A" wp14:editId="4780AFE9">
            <wp:extent cx="5274310" cy="1495425"/>
            <wp:effectExtent l="0" t="0" r="2540" b="952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Fig. S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B3331" w14:textId="77777777" w:rsidR="00DA1688" w:rsidRDefault="00DA1688" w:rsidP="00DA1688">
      <w:pPr>
        <w:spacing w:line="360" w:lineRule="auto"/>
        <w:rPr>
          <w:rFonts w:ascii="Times New Roman" w:hAnsi="Times New Roman" w:cs="Times New Roman"/>
          <w:szCs w:val="21"/>
        </w:rPr>
      </w:pPr>
      <w:r w:rsidRPr="00902DBF">
        <w:rPr>
          <w:rFonts w:ascii="Times New Roman" w:hAnsi="Times New Roman" w:cs="Times New Roman"/>
          <w:szCs w:val="21"/>
        </w:rPr>
        <w:t>Figure S3:</w:t>
      </w:r>
      <w:r w:rsidRPr="003912E7">
        <w:rPr>
          <w:rFonts w:ascii="Times New Roman" w:hAnsi="Times New Roman" w:cs="Times New Roman"/>
          <w:b/>
          <w:szCs w:val="21"/>
        </w:rPr>
        <w:t xml:space="preserve"> </w:t>
      </w:r>
      <w:r w:rsidRPr="0015463A">
        <w:rPr>
          <w:rFonts w:ascii="Times New Roman" w:hAnsi="Times New Roman" w:cs="Times New Roman"/>
          <w:szCs w:val="21"/>
        </w:rPr>
        <w:t>P</w:t>
      </w:r>
      <w:r>
        <w:rPr>
          <w:rFonts w:ascii="Times New Roman" w:hAnsi="Times New Roman" w:cs="Times New Roman"/>
          <w:szCs w:val="21"/>
        </w:rPr>
        <w:t xml:space="preserve">article size and PDI of </w:t>
      </w:r>
      <w:r w:rsidRPr="00782641">
        <w:rPr>
          <w:rFonts w:ascii="Times New Roman" w:hAnsi="Times New Roman" w:cs="Times New Roman"/>
          <w:szCs w:val="21"/>
        </w:rPr>
        <w:t>different molar ratio</w:t>
      </w:r>
      <w:r>
        <w:rPr>
          <w:rFonts w:ascii="Times New Roman" w:hAnsi="Times New Roman" w:cs="Times New Roman"/>
          <w:szCs w:val="21"/>
        </w:rPr>
        <w:t>s of TBT-</w:t>
      </w:r>
      <w:r w:rsidRPr="00782641">
        <w:rPr>
          <w:rFonts w:ascii="Times New Roman" w:hAnsi="Times New Roman" w:cs="Times New Roman"/>
          <w:szCs w:val="21"/>
        </w:rPr>
        <w:t>CpG</w:t>
      </w:r>
      <w:r>
        <w:rPr>
          <w:rFonts w:ascii="Times New Roman" w:hAnsi="Times New Roman" w:cs="Times New Roman"/>
          <w:szCs w:val="21"/>
        </w:rPr>
        <w:t>.</w:t>
      </w:r>
    </w:p>
    <w:p w14:paraId="45878E28" w14:textId="77777777" w:rsidR="00DA1688" w:rsidRDefault="00DA1688" w:rsidP="00DA1688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EE96473" wp14:editId="4ABF4B58">
            <wp:extent cx="5274310" cy="1595120"/>
            <wp:effectExtent l="0" t="0" r="2540" b="508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Fig. S4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9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56694" w14:textId="77777777" w:rsidR="00DA1688" w:rsidRDefault="00DA1688" w:rsidP="00DA1688">
      <w:pPr>
        <w:spacing w:line="360" w:lineRule="auto"/>
        <w:rPr>
          <w:rFonts w:ascii="Times New Roman" w:hAnsi="Times New Roman" w:cs="Times New Roman"/>
          <w:szCs w:val="21"/>
        </w:rPr>
      </w:pPr>
      <w:r w:rsidRPr="0015463A">
        <w:rPr>
          <w:rFonts w:ascii="Times New Roman" w:hAnsi="Times New Roman" w:cs="Times New Roman"/>
          <w:szCs w:val="21"/>
        </w:rPr>
        <w:t>Figu</w:t>
      </w:r>
      <w:r w:rsidRPr="00902DBF">
        <w:rPr>
          <w:rFonts w:ascii="Times New Roman" w:hAnsi="Times New Roman" w:cs="Times New Roman"/>
          <w:szCs w:val="21"/>
        </w:rPr>
        <w:t>re S</w:t>
      </w:r>
      <w:r w:rsidRPr="003912E7">
        <w:rPr>
          <w:rFonts w:ascii="Times New Roman" w:hAnsi="Times New Roman" w:cs="Times New Roman"/>
          <w:szCs w:val="21"/>
        </w:rPr>
        <w:t xml:space="preserve">4: </w:t>
      </w:r>
      <w:r w:rsidRPr="00852A56">
        <w:rPr>
          <w:rFonts w:ascii="Times New Roman" w:hAnsi="Times New Roman" w:cs="Times New Roman"/>
          <w:b/>
          <w:szCs w:val="21"/>
        </w:rPr>
        <w:t>A</w:t>
      </w:r>
      <w:r w:rsidRPr="00902DBF">
        <w:rPr>
          <w:rFonts w:ascii="Times New Roman" w:hAnsi="Times New Roman" w:cs="Times New Roman"/>
          <w:szCs w:val="21"/>
        </w:rPr>
        <w:t xml:space="preserve"> </w:t>
      </w:r>
      <w:r w:rsidRPr="003912E7">
        <w:rPr>
          <w:rFonts w:ascii="Times New Roman" w:hAnsi="Times New Roman" w:cs="Times New Roman"/>
          <w:szCs w:val="21"/>
        </w:rPr>
        <w:t xml:space="preserve">The </w:t>
      </w:r>
      <w:r w:rsidRPr="00852A56">
        <w:rPr>
          <w:rFonts w:ascii="Times New Roman" w:hAnsi="Times New Roman" w:cs="Times New Roman"/>
          <w:szCs w:val="21"/>
        </w:rPr>
        <w:t xml:space="preserve">pan-epitope peptide TBT released from TBT-CpG </w:t>
      </w:r>
      <w:proofErr w:type="spellStart"/>
      <w:r w:rsidRPr="00852A56">
        <w:rPr>
          <w:rFonts w:ascii="Times New Roman" w:hAnsi="Times New Roman" w:cs="Times New Roman"/>
          <w:szCs w:val="21"/>
        </w:rPr>
        <w:t>NaVs</w:t>
      </w:r>
      <w:proofErr w:type="spellEnd"/>
      <w:r w:rsidRPr="00852A56">
        <w:rPr>
          <w:rFonts w:ascii="Times New Roman" w:hAnsi="Times New Roman" w:cs="Times New Roman"/>
          <w:szCs w:val="21"/>
        </w:rPr>
        <w:t xml:space="preserve"> in PBS containing 1mM GSH at 37</w:t>
      </w:r>
      <w:r w:rsidRPr="00852A56">
        <w:rPr>
          <w:rFonts w:ascii="Times New Roman" w:hAnsi="Times New Roman" w:cs="Times New Roman" w:hint="eastAsia"/>
          <w:szCs w:val="21"/>
        </w:rPr>
        <w:t>℃</w:t>
      </w:r>
      <w:r w:rsidRPr="00852A56"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</w:t>
      </w:r>
      <w:r w:rsidRPr="00852A56">
        <w:rPr>
          <w:rFonts w:ascii="Times New Roman" w:hAnsi="Times New Roman" w:cs="Times New Roman"/>
          <w:b/>
          <w:szCs w:val="21"/>
        </w:rPr>
        <w:t xml:space="preserve">B </w:t>
      </w:r>
      <w:r w:rsidRPr="00902DBF">
        <w:rPr>
          <w:rFonts w:ascii="Times New Roman" w:hAnsi="Times New Roman" w:cs="Times New Roman"/>
          <w:szCs w:val="21"/>
        </w:rPr>
        <w:t xml:space="preserve">Agarose gel electrophoresis to test the serum stability of TBT-CpG </w:t>
      </w:r>
      <w:proofErr w:type="spellStart"/>
      <w:r w:rsidRPr="00902DBF">
        <w:rPr>
          <w:rFonts w:ascii="Times New Roman" w:hAnsi="Times New Roman" w:cs="Times New Roman"/>
          <w:szCs w:val="21"/>
        </w:rPr>
        <w:t>NaVs</w:t>
      </w:r>
      <w:proofErr w:type="spellEnd"/>
      <w:r w:rsidRPr="00902DBF">
        <w:rPr>
          <w:rFonts w:ascii="Times New Roman" w:hAnsi="Times New Roman" w:cs="Times New Roman"/>
          <w:szCs w:val="21"/>
        </w:rPr>
        <w:t xml:space="preserve"> and the physically mixed </w:t>
      </w:r>
      <w:proofErr w:type="spellStart"/>
      <w:r w:rsidRPr="00902DBF">
        <w:rPr>
          <w:rFonts w:ascii="Times New Roman" w:hAnsi="Times New Roman" w:cs="Times New Roman"/>
          <w:szCs w:val="21"/>
        </w:rPr>
        <w:t>TBT+CpG</w:t>
      </w:r>
      <w:proofErr w:type="spellEnd"/>
      <w:r w:rsidRPr="00902DBF">
        <w:rPr>
          <w:rFonts w:ascii="Times New Roman" w:hAnsi="Times New Roman" w:cs="Times New Roman"/>
          <w:szCs w:val="21"/>
        </w:rPr>
        <w:t xml:space="preserve"> at 24h, 48h, and 72h in DMEM medium with 30% and 50% FBS.</w:t>
      </w:r>
    </w:p>
    <w:p w14:paraId="591D28A3" w14:textId="77777777" w:rsidR="00DA1688" w:rsidRDefault="00DA1688" w:rsidP="00DA1688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noProof/>
          <w:szCs w:val="21"/>
        </w:rPr>
        <w:drawing>
          <wp:inline distT="0" distB="0" distL="0" distR="0" wp14:anchorId="27BA5852" wp14:editId="32DB041A">
            <wp:extent cx="5274310" cy="368554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补充图5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CCC35" w14:textId="77777777" w:rsidR="00DA1688" w:rsidRPr="00FD35FB" w:rsidRDefault="00DA1688" w:rsidP="00DA1688">
      <w:pPr>
        <w:spacing w:line="360" w:lineRule="auto"/>
        <w:rPr>
          <w:rFonts w:ascii="Times New Roman" w:hAnsi="Times New Roman" w:cs="Times New Roman"/>
          <w:szCs w:val="21"/>
        </w:rPr>
      </w:pPr>
      <w:r w:rsidRPr="00F546A2">
        <w:rPr>
          <w:rFonts w:ascii="Times New Roman" w:hAnsi="Times New Roman" w:cs="Times New Roman"/>
          <w:szCs w:val="21"/>
        </w:rPr>
        <w:t>Figure S</w:t>
      </w:r>
      <w:r>
        <w:rPr>
          <w:rFonts w:ascii="Times New Roman" w:hAnsi="Times New Roman" w:cs="Times New Roman"/>
          <w:szCs w:val="21"/>
        </w:rPr>
        <w:t>5</w:t>
      </w:r>
      <w:r w:rsidRPr="00F546A2">
        <w:rPr>
          <w:rFonts w:ascii="Times New Roman" w:hAnsi="Times New Roman" w:cs="Times New Roman"/>
          <w:szCs w:val="21"/>
        </w:rPr>
        <w:t xml:space="preserve">: Flow cytometry was utilized to evaluate </w:t>
      </w:r>
      <w:r>
        <w:rPr>
          <w:rFonts w:ascii="Times New Roman" w:hAnsi="Times New Roman" w:cs="Times New Roman"/>
          <w:szCs w:val="21"/>
        </w:rPr>
        <w:t>the maturation</w:t>
      </w:r>
      <w:r w:rsidRPr="00F546A2">
        <w:rPr>
          <w:rFonts w:ascii="Times New Roman" w:hAnsi="Times New Roman" w:cs="Times New Roman"/>
          <w:szCs w:val="21"/>
        </w:rPr>
        <w:t xml:space="preserve"> of</w:t>
      </w:r>
      <w:r>
        <w:rPr>
          <w:rFonts w:ascii="Times New Roman" w:hAnsi="Times New Roman" w:cs="Times New Roman"/>
          <w:szCs w:val="21"/>
        </w:rPr>
        <w:t xml:space="preserve"> BMDCs </w:t>
      </w:r>
      <w:r w:rsidRPr="00F546A2">
        <w:rPr>
          <w:rFonts w:ascii="Times New Roman" w:hAnsi="Times New Roman" w:cs="Times New Roman"/>
          <w:szCs w:val="21"/>
        </w:rPr>
        <w:t>after co-culturing with different stimuli for 24 h.</w:t>
      </w:r>
      <w:r w:rsidRPr="00782641">
        <w:t xml:space="preserve"> </w:t>
      </w:r>
      <w:r w:rsidRPr="00852A56">
        <w:rPr>
          <w:rFonts w:ascii="Times New Roman" w:hAnsi="Times New Roman" w:cs="Times New Roman"/>
          <w:b/>
        </w:rPr>
        <w:t xml:space="preserve">A </w:t>
      </w:r>
      <w:r w:rsidRPr="00852A56">
        <w:rPr>
          <w:rFonts w:ascii="Times New Roman" w:hAnsi="Times New Roman" w:cs="Times New Roman"/>
        </w:rPr>
        <w:t>T</w:t>
      </w:r>
      <w:r w:rsidRPr="00852A56">
        <w:rPr>
          <w:rFonts w:ascii="Times New Roman" w:hAnsi="Times New Roman" w:cs="Times New Roman"/>
          <w:szCs w:val="21"/>
        </w:rPr>
        <w:t xml:space="preserve">he expression </w:t>
      </w:r>
      <w:r>
        <w:rPr>
          <w:rFonts w:ascii="Times New Roman" w:hAnsi="Times New Roman" w:cs="Times New Roman"/>
          <w:szCs w:val="21"/>
        </w:rPr>
        <w:t>and f</w:t>
      </w:r>
      <w:r w:rsidRPr="00782641">
        <w:rPr>
          <w:rFonts w:ascii="Times New Roman" w:hAnsi="Times New Roman" w:cs="Times New Roman"/>
          <w:szCs w:val="21"/>
        </w:rPr>
        <w:t>low cytometry gating strategy</w:t>
      </w:r>
      <w:r w:rsidRPr="00FD35FB">
        <w:rPr>
          <w:rFonts w:ascii="Times New Roman" w:hAnsi="Times New Roman" w:cs="Times New Roman"/>
          <w:szCs w:val="21"/>
        </w:rPr>
        <w:t xml:space="preserve"> </w:t>
      </w:r>
      <w:r w:rsidRPr="00852A56">
        <w:rPr>
          <w:rFonts w:ascii="Times New Roman" w:hAnsi="Times New Roman" w:cs="Times New Roman"/>
          <w:szCs w:val="21"/>
        </w:rPr>
        <w:t xml:space="preserve">of </w:t>
      </w:r>
      <w:r>
        <w:rPr>
          <w:rFonts w:ascii="Times New Roman" w:hAnsi="Times New Roman" w:cs="Times New Roman"/>
          <w:szCs w:val="21"/>
        </w:rPr>
        <w:t xml:space="preserve">CD11C in BMDCs. </w:t>
      </w:r>
      <w:r w:rsidRPr="00852A56">
        <w:rPr>
          <w:rFonts w:ascii="Times New Roman" w:hAnsi="Times New Roman" w:cs="Times New Roman"/>
          <w:b/>
          <w:szCs w:val="21"/>
        </w:rPr>
        <w:t>B</w:t>
      </w:r>
      <w:r>
        <w:rPr>
          <w:rFonts w:ascii="Times New Roman" w:hAnsi="Times New Roman" w:cs="Times New Roman"/>
          <w:szCs w:val="21"/>
        </w:rPr>
        <w:t xml:space="preserve"> </w:t>
      </w:r>
      <w:r w:rsidRPr="00782641">
        <w:rPr>
          <w:rFonts w:ascii="Times New Roman" w:hAnsi="Times New Roman" w:cs="Times New Roman"/>
          <w:szCs w:val="21"/>
        </w:rPr>
        <w:t xml:space="preserve">Flow cytometry gating strategy for Figure </w:t>
      </w:r>
      <w:r>
        <w:rPr>
          <w:rFonts w:ascii="Times New Roman" w:hAnsi="Times New Roman" w:cs="Times New Roman"/>
          <w:szCs w:val="21"/>
        </w:rPr>
        <w:t>3A</w:t>
      </w:r>
      <w:r w:rsidRPr="00782641"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</w:t>
      </w:r>
      <w:r w:rsidRPr="00852A56">
        <w:rPr>
          <w:rFonts w:ascii="Times New Roman" w:hAnsi="Times New Roman" w:cs="Times New Roman"/>
          <w:b/>
          <w:szCs w:val="21"/>
        </w:rPr>
        <w:t>C</w:t>
      </w:r>
      <w:r w:rsidRPr="00782641">
        <w:rPr>
          <w:rFonts w:ascii="Times New Roman" w:hAnsi="Times New Roman" w:cs="Times New Roman"/>
          <w:szCs w:val="21"/>
        </w:rPr>
        <w:t xml:space="preserve"> Flow cytometry gating strategy for Figure </w:t>
      </w:r>
      <w:r>
        <w:rPr>
          <w:rFonts w:ascii="Times New Roman" w:hAnsi="Times New Roman" w:cs="Times New Roman"/>
          <w:szCs w:val="21"/>
        </w:rPr>
        <w:t>3B</w:t>
      </w:r>
      <w:r w:rsidRPr="00782641">
        <w:rPr>
          <w:rFonts w:ascii="Times New Roman" w:hAnsi="Times New Roman" w:cs="Times New Roman"/>
          <w:szCs w:val="21"/>
        </w:rPr>
        <w:t>.</w:t>
      </w:r>
    </w:p>
    <w:p w14:paraId="5622E2AC" w14:textId="77777777" w:rsidR="00DA1688" w:rsidRPr="00F546A2" w:rsidRDefault="00DA1688" w:rsidP="00DA1688">
      <w:pPr>
        <w:suppressLineNumbers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73929C5" wp14:editId="0704399F">
            <wp:extent cx="1863686" cy="1348929"/>
            <wp:effectExtent l="0" t="0" r="3810" b="381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Fig. S5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3766" cy="1363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EBD06" w14:textId="77777777" w:rsidR="00DA1688" w:rsidRPr="00F546A2" w:rsidRDefault="00DA1688" w:rsidP="00DA1688">
      <w:pPr>
        <w:spacing w:line="360" w:lineRule="auto"/>
        <w:rPr>
          <w:rFonts w:ascii="Times New Roman" w:hAnsi="Times New Roman" w:cs="Times New Roman"/>
          <w:szCs w:val="21"/>
        </w:rPr>
      </w:pPr>
      <w:r w:rsidRPr="00F546A2">
        <w:rPr>
          <w:rFonts w:ascii="Times New Roman" w:hAnsi="Times New Roman" w:cs="Times New Roman"/>
          <w:szCs w:val="21"/>
        </w:rPr>
        <w:t>Figure S</w:t>
      </w:r>
      <w:r>
        <w:rPr>
          <w:rFonts w:ascii="Times New Roman" w:hAnsi="Times New Roman" w:cs="Times New Roman"/>
          <w:szCs w:val="21"/>
        </w:rPr>
        <w:t>6</w:t>
      </w:r>
      <w:r w:rsidRPr="00F546A2">
        <w:rPr>
          <w:rFonts w:ascii="Times New Roman" w:hAnsi="Times New Roman" w:cs="Times New Roman"/>
          <w:szCs w:val="21"/>
        </w:rPr>
        <w:t>: The serial dilution method was employed to measure the serum-specific IgG antibody titer in mice on day 56 after first immunization.</w:t>
      </w:r>
    </w:p>
    <w:p w14:paraId="0D5D5210" w14:textId="77777777" w:rsidR="008E1600" w:rsidRDefault="008E1600"/>
    <w:sectPr w:rsidR="008E16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688"/>
    <w:rsid w:val="008E1600"/>
    <w:rsid w:val="00DA1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0CA58"/>
  <w15:chartTrackingRefBased/>
  <w15:docId w15:val="{C93BCDE1-4684-4F31-B37C-E441E5FD7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1688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Ramya Johnpeter (Integra)</dc:creator>
  <cp:keywords/>
  <dc:description/>
  <cp:lastModifiedBy>Ramya Johnpeter (Integra)</cp:lastModifiedBy>
  <cp:revision>1</cp:revision>
  <dcterms:created xsi:type="dcterms:W3CDTF">2024-11-24T07:46:00Z</dcterms:created>
  <dcterms:modified xsi:type="dcterms:W3CDTF">2024-11-24T07:46:00Z</dcterms:modified>
</cp:coreProperties>
</file>