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AB0" w:rsidRPr="00BD5562" w:rsidRDefault="00472AB0" w:rsidP="00472AB0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BD5562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Synergic Effects of Core-Shell Nanospheres and Magnetic Field for Sciatic Nerve Regeneration in Decellularized Artery Conduits with Schwann Cells</w:t>
      </w:r>
    </w:p>
    <w:p w:rsidR="00472AB0" w:rsidRPr="00BD5562" w:rsidRDefault="00472AB0" w:rsidP="00472AB0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472AB0" w:rsidRPr="00BD5562" w:rsidRDefault="00472AB0" w:rsidP="00472AB0">
      <w:pPr>
        <w:spacing w:after="0" w:line="480" w:lineRule="auto"/>
        <w:contextualSpacing/>
        <w:jc w:val="both"/>
        <w:rPr>
          <w:rFonts w:asciiTheme="majorBidi" w:hAnsiTheme="majorBidi" w:cstheme="majorBidi"/>
          <w:color w:val="000000" w:themeColor="text1"/>
          <w:sz w:val="24"/>
          <w:szCs w:val="24"/>
          <w:rtl/>
          <w:lang w:bidi="fa-IR"/>
        </w:rPr>
      </w:pPr>
      <w:r w:rsidRPr="00BD556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Majid Sharifi, Majid </w:t>
      </w:r>
      <w:proofErr w:type="spellStart"/>
      <w:r w:rsidRPr="00BD5562">
        <w:rPr>
          <w:rFonts w:asciiTheme="majorBidi" w:hAnsiTheme="majorBidi" w:cstheme="majorBidi"/>
          <w:color w:val="000000" w:themeColor="text1"/>
          <w:sz w:val="24"/>
          <w:szCs w:val="24"/>
        </w:rPr>
        <w:t>Salehi</w:t>
      </w:r>
      <w:proofErr w:type="spellEnd"/>
      <w:r w:rsidRPr="00BD556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Somayeh Ebrahimi-Barough, </w:t>
      </w:r>
      <w:proofErr w:type="spellStart"/>
      <w:r w:rsidRPr="00BD5562">
        <w:rPr>
          <w:rFonts w:asciiTheme="majorBidi" w:hAnsiTheme="majorBidi" w:cstheme="majorBidi"/>
          <w:color w:val="000000" w:themeColor="text1"/>
          <w:sz w:val="24"/>
          <w:szCs w:val="24"/>
        </w:rPr>
        <w:t>Morteza</w:t>
      </w:r>
      <w:proofErr w:type="spellEnd"/>
      <w:r w:rsidRPr="00BD556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Pr="00BD5562">
        <w:rPr>
          <w:rFonts w:asciiTheme="majorBidi" w:hAnsiTheme="majorBidi" w:cstheme="majorBidi"/>
          <w:color w:val="000000" w:themeColor="text1"/>
          <w:sz w:val="24"/>
          <w:szCs w:val="24"/>
        </w:rPr>
        <w:t>Alizadeh</w:t>
      </w:r>
      <w:proofErr w:type="spellEnd"/>
      <w:r w:rsidRPr="00BD556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Hossein </w:t>
      </w:r>
      <w:proofErr w:type="spellStart"/>
      <w:r w:rsidRPr="00BD5562">
        <w:rPr>
          <w:rFonts w:asciiTheme="majorBidi" w:hAnsiTheme="majorBidi" w:cstheme="majorBidi"/>
          <w:color w:val="000000" w:themeColor="text1"/>
          <w:sz w:val="24"/>
          <w:szCs w:val="24"/>
        </w:rPr>
        <w:t>Kargar</w:t>
      </w:r>
      <w:proofErr w:type="spellEnd"/>
      <w:r w:rsidRPr="00BD556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Pr="00BD5562">
        <w:rPr>
          <w:rFonts w:asciiTheme="majorBidi" w:hAnsiTheme="majorBidi" w:cstheme="majorBidi"/>
          <w:color w:val="000000" w:themeColor="text1"/>
          <w:sz w:val="24"/>
          <w:szCs w:val="24"/>
        </w:rPr>
        <w:t>Jahromi</w:t>
      </w:r>
      <w:proofErr w:type="spellEnd"/>
      <w:r w:rsidRPr="00BD5562">
        <w:rPr>
          <w:rFonts w:asciiTheme="majorBidi" w:hAnsiTheme="majorBidi" w:cstheme="majorBidi"/>
          <w:color w:val="000000" w:themeColor="text1"/>
          <w:sz w:val="24"/>
          <w:szCs w:val="24"/>
        </w:rPr>
        <w:t>, Mohammad Kamalabadi-Farahani</w:t>
      </w:r>
    </w:p>
    <w:p w:rsidR="00661F9D" w:rsidRDefault="00661F9D" w:rsidP="00472AB0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  <w:bookmarkStart w:id="0" w:name="_GoBack"/>
      <w:bookmarkEnd w:id="0"/>
    </w:p>
    <w:p w:rsidR="00FD7A99" w:rsidRPr="00F23E63" w:rsidRDefault="00661F9D" w:rsidP="00472AB0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S1</w:t>
      </w:r>
      <w:r w:rsidR="008E049B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. </w:t>
      </w:r>
      <w:r w:rsidR="00F23E63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Indirect </w:t>
      </w:r>
      <w:r w:rsidR="00384402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cytotoxicity analysis</w:t>
      </w:r>
    </w:p>
    <w:p w:rsidR="00835497" w:rsidRPr="00427DB6" w:rsidRDefault="00427DB6" w:rsidP="00472AB0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427DB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In order to determine the CMC hydrogel cytotoxicity, the indirect MTT assay for NIH 3T3 cell viability was used. Briefly, </w:t>
      </w:r>
      <w:r w:rsidR="00F23E63">
        <w:rPr>
          <w:rFonts w:asciiTheme="majorBidi" w:hAnsiTheme="majorBidi" w:cstheme="majorBidi"/>
          <w:sz w:val="24"/>
          <w:szCs w:val="24"/>
          <w:shd w:val="clear" w:color="auto" w:fill="FFFFFF"/>
        </w:rPr>
        <w:t>0.5</w:t>
      </w:r>
      <w:r w:rsidRPr="00427DB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g CMC hydrogel with concentrations of 0.5, 1.0, 1.5 and 2.0% (w/v) was immersed in </w:t>
      </w:r>
      <w:r w:rsidR="00F23E63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500 </w:t>
      </w:r>
      <w:proofErr w:type="spellStart"/>
      <w:r w:rsidR="00F23E63">
        <w:rPr>
          <w:rFonts w:asciiTheme="majorBidi" w:hAnsiTheme="majorBidi" w:cstheme="majorBidi"/>
          <w:sz w:val="24"/>
          <w:szCs w:val="24"/>
          <w:shd w:val="clear" w:color="auto" w:fill="FFFFFF"/>
        </w:rPr>
        <w:t>μ</w:t>
      </w:r>
      <w:r w:rsidRPr="00427DB6">
        <w:rPr>
          <w:rFonts w:asciiTheme="majorBidi" w:hAnsiTheme="majorBidi" w:cstheme="majorBidi"/>
          <w:sz w:val="24"/>
          <w:szCs w:val="24"/>
          <w:shd w:val="clear" w:color="auto" w:fill="FFFFFF"/>
        </w:rPr>
        <w:t>L</w:t>
      </w:r>
      <w:proofErr w:type="spellEnd"/>
      <w:r w:rsidRPr="00427DB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of DMEM medium with 10% FBS, 1% penicillin–streptomycin at 37 °C for </w:t>
      </w:r>
      <w:r w:rsidR="008F6098">
        <w:rPr>
          <w:rFonts w:asciiTheme="majorBidi" w:hAnsiTheme="majorBidi" w:cstheme="majorBidi" w:hint="cs"/>
          <w:sz w:val="24"/>
          <w:szCs w:val="24"/>
          <w:shd w:val="clear" w:color="auto" w:fill="FFFFFF"/>
          <w:rtl/>
        </w:rPr>
        <w:t>48</w:t>
      </w:r>
      <w:r w:rsidRPr="00427DB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h. </w:t>
      </w:r>
      <w:r w:rsidR="006D41A6" w:rsidRPr="00427DB6">
        <w:rPr>
          <w:rFonts w:asciiTheme="majorBidi" w:hAnsiTheme="majorBidi" w:cstheme="majorBidi"/>
          <w:sz w:val="24"/>
          <w:szCs w:val="24"/>
          <w:shd w:val="clear" w:color="auto" w:fill="FFFFFF"/>
        </w:rPr>
        <w:t>The extract was then added to each well</w:t>
      </w:r>
      <w:r w:rsidR="00F23E63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of a 96-well plate containing </w:t>
      </w:r>
      <w:r w:rsidR="006D41A6" w:rsidRPr="00427DB6">
        <w:rPr>
          <w:rFonts w:asciiTheme="majorBidi" w:hAnsiTheme="majorBidi" w:cstheme="majorBidi"/>
          <w:sz w:val="24"/>
          <w:szCs w:val="24"/>
          <w:shd w:val="clear" w:color="auto" w:fill="FFFFFF"/>
        </w:rPr>
        <w:t>NIH 3T3 cells (4×10</w:t>
      </w:r>
      <w:r w:rsidR="006D41A6" w:rsidRPr="00427DB6">
        <w:rPr>
          <w:rFonts w:asciiTheme="majorBidi" w:hAnsiTheme="majorBidi" w:cstheme="majorBidi"/>
          <w:sz w:val="24"/>
          <w:szCs w:val="24"/>
          <w:shd w:val="clear" w:color="auto" w:fill="FFFFFF"/>
          <w:vertAlign w:val="superscript"/>
        </w:rPr>
        <w:t>3</w:t>
      </w:r>
      <w:r>
        <w:rPr>
          <w:rFonts w:asciiTheme="majorBidi" w:hAnsiTheme="majorBidi" w:cstheme="majorBidi"/>
          <w:sz w:val="24"/>
          <w:szCs w:val="24"/>
          <w:shd w:val="clear" w:color="auto" w:fill="FFFFFF"/>
        </w:rPr>
        <w:t>/well) and incubated at 37</w:t>
      </w:r>
      <w:r w:rsidR="006D41A6" w:rsidRPr="00427DB6">
        <w:rPr>
          <w:rFonts w:asciiTheme="majorBidi" w:hAnsiTheme="majorBidi" w:cstheme="majorBidi"/>
          <w:sz w:val="24"/>
          <w:szCs w:val="24"/>
          <w:shd w:val="clear" w:color="auto" w:fill="FFFFFF"/>
        </w:rPr>
        <w:t>°C with 5% CO</w:t>
      </w:r>
      <w:r w:rsidR="006D41A6" w:rsidRPr="00427DB6">
        <w:rPr>
          <w:rFonts w:asciiTheme="majorBidi" w:hAnsiTheme="majorBidi" w:cstheme="majorBidi"/>
          <w:sz w:val="24"/>
          <w:szCs w:val="24"/>
          <w:shd w:val="clear" w:color="auto" w:fill="FFFFFF"/>
          <w:vertAlign w:val="subscript"/>
        </w:rPr>
        <w:t>2</w:t>
      </w:r>
      <w:r w:rsidR="006D41A6" w:rsidRPr="00427DB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for 24 and 48 hours. At the designated times, the culture medium was removed, and 100 </w:t>
      </w:r>
      <w:proofErr w:type="spellStart"/>
      <w:r w:rsidR="006D41A6" w:rsidRPr="00427DB6">
        <w:rPr>
          <w:rFonts w:asciiTheme="majorBidi" w:hAnsiTheme="majorBidi" w:cstheme="majorBidi"/>
          <w:sz w:val="24"/>
          <w:szCs w:val="24"/>
          <w:shd w:val="clear" w:color="auto" w:fill="FFFFFF"/>
        </w:rPr>
        <w:t>μL</w:t>
      </w:r>
      <w:proofErr w:type="spellEnd"/>
      <w:r w:rsidR="006D41A6" w:rsidRPr="00427DB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of MTT solution (1 mg/mL in PBS) was added to each well, followed by a 4-hour incubation. After replacing the medium with 100 </w:t>
      </w:r>
      <w:proofErr w:type="spellStart"/>
      <w:r w:rsidR="006D41A6" w:rsidRPr="00427DB6">
        <w:rPr>
          <w:rFonts w:asciiTheme="majorBidi" w:hAnsiTheme="majorBidi" w:cstheme="majorBidi"/>
          <w:sz w:val="24"/>
          <w:szCs w:val="24"/>
          <w:shd w:val="clear" w:color="auto" w:fill="FFFFFF"/>
        </w:rPr>
        <w:t>μL</w:t>
      </w:r>
      <w:proofErr w:type="spellEnd"/>
      <w:r w:rsidR="006D41A6" w:rsidRPr="00427DB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of DMSO, absorbance was measured at 570 nm using an ELISA reader (Expert 96, </w:t>
      </w:r>
      <w:proofErr w:type="spellStart"/>
      <w:r w:rsidR="006D41A6" w:rsidRPr="00427DB6">
        <w:rPr>
          <w:rFonts w:asciiTheme="majorBidi" w:hAnsiTheme="majorBidi" w:cstheme="majorBidi"/>
          <w:sz w:val="24"/>
          <w:szCs w:val="24"/>
          <w:shd w:val="clear" w:color="auto" w:fill="FFFFFF"/>
        </w:rPr>
        <w:t>Asys</w:t>
      </w:r>
      <w:proofErr w:type="spellEnd"/>
      <w:r w:rsidR="006D41A6" w:rsidRPr="00427DB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Hitch, </w:t>
      </w:r>
      <w:proofErr w:type="spellStart"/>
      <w:r w:rsidR="006D41A6" w:rsidRPr="00427DB6">
        <w:rPr>
          <w:rFonts w:asciiTheme="majorBidi" w:hAnsiTheme="majorBidi" w:cstheme="majorBidi"/>
          <w:sz w:val="24"/>
          <w:szCs w:val="24"/>
          <w:shd w:val="clear" w:color="auto" w:fill="FFFFFF"/>
        </w:rPr>
        <w:t>Ec</w:t>
      </w:r>
      <w:proofErr w:type="spellEnd"/>
      <w:r w:rsidR="006D41A6" w:rsidRPr="00427DB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Austria). Relative cell viability (%) was calculated using Equation (3):</w:t>
      </w:r>
    </w:p>
    <w:p w:rsidR="00427DB6" w:rsidRDefault="00FD7A99" w:rsidP="00472AB0">
      <w:pPr>
        <w:spacing w:after="0" w:line="480" w:lineRule="auto"/>
        <w:jc w:val="both"/>
        <w:rPr>
          <w:rFonts w:asciiTheme="majorBidi" w:hAnsiTheme="majorBidi" w:cs="Times New Roman"/>
          <w:sz w:val="24"/>
          <w:szCs w:val="24"/>
          <w:lang w:bidi="fa-IR"/>
        </w:rPr>
      </w:pPr>
      <w:r>
        <w:rPr>
          <w:rFonts w:asciiTheme="majorBidi" w:hAnsiTheme="majorBidi" w:cs="Times New Roman"/>
          <w:sz w:val="24"/>
          <w:szCs w:val="24"/>
          <w:lang w:bidi="fa-IR"/>
        </w:rPr>
        <w:t>C</w:t>
      </w:r>
      <w:r w:rsidR="00427DB6">
        <w:rPr>
          <w:rFonts w:asciiTheme="majorBidi" w:hAnsiTheme="majorBidi" w:cs="Times New Roman"/>
          <w:sz w:val="24"/>
          <w:szCs w:val="24"/>
          <w:lang w:bidi="fa-IR"/>
        </w:rPr>
        <w:t>ell viability (%)</w:t>
      </w:r>
      <w:proofErr w:type="gramStart"/>
      <w:r w:rsidR="00427DB6">
        <w:rPr>
          <w:rFonts w:asciiTheme="majorBidi" w:hAnsiTheme="majorBidi" w:cs="Times New Roman"/>
          <w:sz w:val="24"/>
          <w:szCs w:val="24"/>
          <w:lang w:bidi="fa-IR"/>
        </w:rPr>
        <w:t>=[</w:t>
      </w:r>
      <w:proofErr w:type="gramEnd"/>
      <w:r w:rsidR="00427DB6">
        <w:rPr>
          <w:rFonts w:asciiTheme="majorBidi" w:hAnsiTheme="majorBidi" w:cs="Times New Roman"/>
          <w:sz w:val="24"/>
          <w:szCs w:val="24"/>
          <w:lang w:bidi="fa-IR"/>
        </w:rPr>
        <w:t>[Optical density of treated SCs-Optical density of blank]÷[ Optical density of control-Optical density of blank]]×100</w:t>
      </w:r>
    </w:p>
    <w:p w:rsidR="00401288" w:rsidRDefault="00FC6482" w:rsidP="00472AB0">
      <w:pPr>
        <w:spacing w:after="0" w:line="480" w:lineRule="auto"/>
        <w:jc w:val="center"/>
        <w:rPr>
          <w:rFonts w:asciiTheme="majorBidi" w:hAnsiTheme="majorBidi" w:cs="Times New Roman"/>
          <w:sz w:val="24"/>
          <w:szCs w:val="24"/>
          <w:lang w:bidi="fa-IR"/>
        </w:rPr>
      </w:pPr>
      <w:r>
        <w:rPr>
          <w:rFonts w:asciiTheme="majorBidi" w:hAnsiTheme="majorBidi" w:cs="Times New Roman"/>
          <w:noProof/>
          <w:sz w:val="24"/>
          <w:szCs w:val="24"/>
        </w:rPr>
        <w:drawing>
          <wp:inline distT="0" distB="0" distL="0" distR="0">
            <wp:extent cx="3827431" cy="269240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e3O4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1" t="2036" r="2171" b="2129"/>
                    <a:stretch/>
                  </pic:blipFill>
                  <pic:spPr bwMode="auto">
                    <a:xfrm>
                      <a:off x="0" y="0"/>
                      <a:ext cx="3843761" cy="2703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7DB6" w:rsidRPr="00270BE5" w:rsidRDefault="00401288" w:rsidP="00472AB0">
      <w:pPr>
        <w:spacing w:after="0" w:line="360" w:lineRule="auto"/>
        <w:jc w:val="both"/>
        <w:rPr>
          <w:rFonts w:asciiTheme="majorBidi" w:hAnsiTheme="majorBidi" w:cs="Times New Roman"/>
          <w:sz w:val="24"/>
          <w:szCs w:val="24"/>
          <w:lang w:bidi="fa-IR"/>
        </w:rPr>
      </w:pPr>
      <w:r w:rsidRPr="00270BE5">
        <w:rPr>
          <w:rFonts w:asciiTheme="majorBidi" w:hAnsiTheme="majorBidi" w:cs="Times New Roman"/>
          <w:b/>
          <w:bCs/>
          <w:sz w:val="24"/>
          <w:szCs w:val="24"/>
          <w:lang w:bidi="fa-IR"/>
        </w:rPr>
        <w:t>Figure S1:</w:t>
      </w:r>
      <w:r w:rsidRPr="00270BE5">
        <w:rPr>
          <w:rFonts w:asciiTheme="majorBidi" w:hAnsiTheme="majorBidi" w:cs="Times New Roman"/>
          <w:sz w:val="24"/>
          <w:szCs w:val="24"/>
          <w:lang w:bidi="fa-IR"/>
        </w:rPr>
        <w:t xml:space="preserve"> </w:t>
      </w:r>
      <w:r w:rsidR="00270BE5" w:rsidRPr="00270BE5">
        <w:rPr>
          <w:rFonts w:asciiTheme="majorBidi" w:hAnsiTheme="majorBidi" w:cs="Times New Roman"/>
          <w:sz w:val="24"/>
          <w:szCs w:val="24"/>
          <w:lang w:bidi="fa-IR"/>
        </w:rPr>
        <w:t>Indirect cytotoxicity test.</w:t>
      </w:r>
      <w:r w:rsidR="00270BE5" w:rsidRPr="00270BE5">
        <w:rPr>
          <w:rFonts w:asciiTheme="majorBidi" w:hAnsiTheme="majorBidi" w:cs="Times New Roman"/>
          <w:sz w:val="24"/>
          <w:szCs w:val="24"/>
          <w:lang w:bidi="fa-IR"/>
        </w:rPr>
        <w:t xml:space="preserve"> Viability of </w:t>
      </w:r>
      <w:r w:rsidR="00270BE5" w:rsidRPr="00270BE5">
        <w:rPr>
          <w:rFonts w:asciiTheme="majorBidi" w:hAnsiTheme="majorBidi" w:cs="Times New Roman"/>
          <w:sz w:val="24"/>
          <w:szCs w:val="24"/>
          <w:lang w:bidi="fa-IR"/>
        </w:rPr>
        <w:t>NIH 3T3</w:t>
      </w:r>
      <w:r w:rsidR="00270BE5" w:rsidRPr="00270BE5">
        <w:rPr>
          <w:rFonts w:asciiTheme="majorBidi" w:hAnsiTheme="majorBidi" w:cs="Times New Roman"/>
          <w:sz w:val="24"/>
          <w:szCs w:val="24"/>
          <w:lang w:bidi="fa-IR"/>
        </w:rPr>
        <w:t xml:space="preserve"> cells with different concentrations of </w:t>
      </w:r>
      <w:r w:rsidR="00270BE5" w:rsidRPr="00270BE5">
        <w:rPr>
          <w:rFonts w:asciiTheme="majorBidi" w:hAnsiTheme="majorBidi" w:cs="Times New Roman"/>
          <w:sz w:val="24"/>
          <w:szCs w:val="24"/>
          <w:lang w:bidi="fa-IR"/>
        </w:rPr>
        <w:t>CMC hydrogel extracts.</w:t>
      </w:r>
    </w:p>
    <w:p w:rsidR="00FD7A99" w:rsidRDefault="00FD7A99" w:rsidP="00472AB0">
      <w:pPr>
        <w:spacing w:after="0" w:line="480" w:lineRule="auto"/>
        <w:jc w:val="both"/>
        <w:rPr>
          <w:rFonts w:asciiTheme="majorBidi" w:hAnsiTheme="majorBidi" w:cstheme="majorBidi"/>
        </w:rPr>
      </w:pPr>
    </w:p>
    <w:p w:rsidR="00FD7A99" w:rsidRPr="00F23E63" w:rsidRDefault="008E049B" w:rsidP="00472AB0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S2.</w:t>
      </w:r>
      <w:r w:rsidR="00444477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</w:t>
      </w:r>
      <w:r w:rsidR="008F40FB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D</w:t>
      </w:r>
      <w:r w:rsidR="00FD7A99" w:rsidRPr="00F23E63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egradation </w:t>
      </w:r>
      <w:r w:rsidR="008F40FB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rate </w:t>
      </w:r>
      <w:r w:rsidR="00F23E63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study</w:t>
      </w:r>
    </w:p>
    <w:p w:rsidR="00FD7A99" w:rsidRDefault="00FD7A99" w:rsidP="00472AB0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FD7A99">
        <w:rPr>
          <w:rFonts w:asciiTheme="majorBidi" w:hAnsiTheme="majorBidi" w:cstheme="majorBidi"/>
          <w:sz w:val="24"/>
          <w:szCs w:val="24"/>
          <w:shd w:val="clear" w:color="auto" w:fill="FFFFFF"/>
        </w:rPr>
        <w:t>Freeze-dried samples from each group, measuring 1 cm in diameter and 0.02 cm in height, were weighed with an accuracy of 0.0001 g. They were then immersed in 10 ml of PBS solution at 37°C for 12, 24, 48, and 72 hours. After each time period, the samples were dried at 50°C, and their weight was measured again. The remaining weight was calculated using the formula where W</w:t>
      </w:r>
      <w:r w:rsidRPr="00FD7A99">
        <w:rPr>
          <w:rFonts w:asciiTheme="majorBidi" w:hAnsiTheme="majorBidi" w:cstheme="majorBidi"/>
          <w:sz w:val="24"/>
          <w:szCs w:val="24"/>
          <w:shd w:val="clear" w:color="auto" w:fill="FFFFFF"/>
          <w:vertAlign w:val="subscript"/>
        </w:rPr>
        <w:t>1</w:t>
      </w:r>
      <w:r w:rsidRPr="00FD7A9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is the initial weight and W</w:t>
      </w:r>
      <w:r w:rsidRPr="00FD7A99">
        <w:rPr>
          <w:rFonts w:asciiTheme="majorBidi" w:hAnsiTheme="majorBidi" w:cstheme="majorBidi"/>
          <w:sz w:val="24"/>
          <w:szCs w:val="24"/>
          <w:shd w:val="clear" w:color="auto" w:fill="FFFFFF"/>
          <w:vertAlign w:val="subscript"/>
        </w:rPr>
        <w:t>2</w:t>
      </w:r>
      <w:r w:rsidRPr="00FD7A9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is the final weight. This experiment was repeated three times.</w:t>
      </w:r>
    </w:p>
    <w:p w:rsidR="00FD7A99" w:rsidRPr="000E79B5" w:rsidRDefault="00FD7A99" w:rsidP="00472AB0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Weight loss %</w:t>
      </w:r>
      <w:r>
        <w:rPr>
          <w:rFonts w:asciiTheme="majorBidi" w:hAnsiTheme="majorBidi" w:cstheme="majorBidi"/>
          <w:sz w:val="24"/>
          <w:szCs w:val="24"/>
        </w:rPr>
        <w:t xml:space="preserve"> = </w:t>
      </w:r>
      <w:r w:rsidR="00F23E63">
        <w:rPr>
          <w:rFonts w:asciiTheme="majorBidi" w:hAnsiTheme="majorBidi" w:cstheme="majorBidi"/>
          <w:sz w:val="24"/>
          <w:szCs w:val="24"/>
        </w:rPr>
        <w:t>[</w:t>
      </w:r>
      <w:r>
        <w:rPr>
          <w:rFonts w:asciiTheme="majorBidi" w:hAnsiTheme="majorBidi" w:cstheme="majorBidi"/>
          <w:sz w:val="24"/>
          <w:szCs w:val="24"/>
        </w:rPr>
        <w:t>[W</w:t>
      </w:r>
      <w:r w:rsidRPr="00F23E63">
        <w:rPr>
          <w:rFonts w:asciiTheme="majorBidi" w:hAnsiTheme="majorBidi" w:cstheme="majorBidi"/>
          <w:sz w:val="24"/>
          <w:szCs w:val="24"/>
          <w:vertAlign w:val="subscript"/>
        </w:rPr>
        <w:t>1</w:t>
      </w:r>
      <w:r>
        <w:rPr>
          <w:rFonts w:asciiTheme="majorBidi" w:hAnsiTheme="majorBidi" w:cstheme="majorBidi"/>
          <w:sz w:val="24"/>
          <w:szCs w:val="24"/>
        </w:rPr>
        <w:t>-W</w:t>
      </w:r>
      <w:r w:rsidRPr="00F23E63">
        <w:rPr>
          <w:rFonts w:asciiTheme="majorBidi" w:hAnsiTheme="majorBidi" w:cstheme="majorBidi"/>
          <w:sz w:val="24"/>
          <w:szCs w:val="24"/>
          <w:vertAlign w:val="subscript"/>
        </w:rPr>
        <w:t>2</w:t>
      </w:r>
      <w:r>
        <w:rPr>
          <w:rFonts w:asciiTheme="majorBidi" w:hAnsiTheme="majorBidi" w:cstheme="majorBidi"/>
          <w:sz w:val="24"/>
          <w:szCs w:val="24"/>
        </w:rPr>
        <w:t>]</w:t>
      </w:r>
      <w:r w:rsidR="00F23E63" w:rsidRPr="00F23E63">
        <w:rPr>
          <w:rFonts w:asciiTheme="majorBidi" w:hAnsiTheme="majorBidi" w:cs="Times New Roman"/>
          <w:sz w:val="24"/>
          <w:szCs w:val="24"/>
          <w:lang w:bidi="fa-IR"/>
        </w:rPr>
        <w:t xml:space="preserve"> </w:t>
      </w:r>
      <w:r w:rsidR="00F23E63">
        <w:rPr>
          <w:rFonts w:asciiTheme="majorBidi" w:hAnsiTheme="majorBidi" w:cs="Times New Roman"/>
          <w:sz w:val="24"/>
          <w:szCs w:val="24"/>
          <w:lang w:bidi="fa-IR"/>
        </w:rPr>
        <w:t>÷</w:t>
      </w:r>
      <w:r w:rsidR="00F23E6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[W</w:t>
      </w:r>
      <w:r w:rsidRPr="00F23E63">
        <w:rPr>
          <w:rFonts w:asciiTheme="majorBidi" w:hAnsiTheme="majorBidi" w:cstheme="majorBidi"/>
          <w:sz w:val="24"/>
          <w:szCs w:val="24"/>
          <w:vertAlign w:val="subscript"/>
        </w:rPr>
        <w:t>1</w:t>
      </w:r>
      <w:proofErr w:type="gramStart"/>
      <w:r w:rsidR="00F23E63">
        <w:rPr>
          <w:rFonts w:asciiTheme="majorBidi" w:hAnsiTheme="majorBidi" w:cstheme="majorBidi"/>
          <w:sz w:val="24"/>
          <w:szCs w:val="24"/>
        </w:rPr>
        <w:t>]]×</w:t>
      </w:r>
      <w:proofErr w:type="gramEnd"/>
      <w:r w:rsidR="00F23E63">
        <w:rPr>
          <w:rFonts w:asciiTheme="majorBidi" w:hAnsiTheme="majorBidi" w:cstheme="majorBidi"/>
          <w:sz w:val="24"/>
          <w:szCs w:val="24"/>
        </w:rPr>
        <w:t>100</w:t>
      </w:r>
    </w:p>
    <w:p w:rsidR="00FD7A99" w:rsidRDefault="00FC6482" w:rsidP="00472AB0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noProof/>
          <w:sz w:val="24"/>
          <w:szCs w:val="24"/>
          <w:shd w:val="clear" w:color="auto" w:fill="FFFFFF"/>
        </w:rPr>
        <w:drawing>
          <wp:inline distT="0" distB="0" distL="0" distR="0">
            <wp:extent cx="3805555" cy="2552407"/>
            <wp:effectExtent l="0" t="0" r="444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e3O4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5" t="1522" r="1396" b="3972"/>
                    <a:stretch/>
                  </pic:blipFill>
                  <pic:spPr bwMode="auto">
                    <a:xfrm>
                      <a:off x="0" y="0"/>
                      <a:ext cx="3826572" cy="2566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7A99" w:rsidRPr="004D25DF" w:rsidRDefault="00270BE5" w:rsidP="00472AB0">
      <w:pPr>
        <w:spacing w:after="0" w:line="480" w:lineRule="auto"/>
        <w:jc w:val="both"/>
        <w:rPr>
          <w:rFonts w:asciiTheme="majorBidi" w:hAnsiTheme="majorBidi" w:cs="Times New Roman"/>
          <w:sz w:val="24"/>
          <w:szCs w:val="24"/>
          <w:lang w:bidi="fa-IR"/>
        </w:rPr>
      </w:pPr>
      <w:r w:rsidRPr="004D25DF">
        <w:rPr>
          <w:rFonts w:asciiTheme="majorBidi" w:hAnsiTheme="majorBidi" w:cs="Times New Roman"/>
          <w:b/>
          <w:bCs/>
          <w:sz w:val="24"/>
          <w:szCs w:val="24"/>
          <w:lang w:bidi="fa-IR"/>
        </w:rPr>
        <w:t>Figure S2:</w:t>
      </w:r>
      <w:r w:rsidRPr="004D25DF">
        <w:rPr>
          <w:rFonts w:asciiTheme="majorBidi" w:hAnsiTheme="majorBidi" w:cs="Times New Roman"/>
          <w:sz w:val="24"/>
          <w:szCs w:val="24"/>
          <w:lang w:bidi="fa-IR"/>
        </w:rPr>
        <w:t xml:space="preserve"> </w:t>
      </w:r>
      <w:hyperlink r:id="rId6" w:tooltip="Learn more about Degradation rate from ScienceDirect's AI-generated Topic Pages" w:history="1">
        <w:r w:rsidR="004D25DF" w:rsidRPr="004D25DF">
          <w:rPr>
            <w:rFonts w:asciiTheme="majorBidi" w:hAnsiTheme="majorBidi" w:cs="Times New Roman"/>
            <w:sz w:val="24"/>
            <w:szCs w:val="24"/>
            <w:lang w:bidi="fa-IR"/>
          </w:rPr>
          <w:t>Degradation rate</w:t>
        </w:r>
      </w:hyperlink>
      <w:r w:rsidR="004D25DF" w:rsidRPr="004D25DF">
        <w:rPr>
          <w:rFonts w:asciiTheme="majorBidi" w:hAnsiTheme="majorBidi" w:cs="Times New Roman"/>
          <w:sz w:val="24"/>
          <w:szCs w:val="24"/>
          <w:lang w:bidi="fa-IR"/>
        </w:rPr>
        <w:t xml:space="preserve"> of </w:t>
      </w:r>
      <w:r w:rsidR="004D25DF" w:rsidRPr="004D25DF">
        <w:rPr>
          <w:rFonts w:asciiTheme="majorBidi" w:hAnsiTheme="majorBidi" w:cs="Times New Roman"/>
          <w:sz w:val="24"/>
          <w:szCs w:val="24"/>
          <w:lang w:bidi="fa-IR"/>
        </w:rPr>
        <w:t>1.0% CMC</w:t>
      </w:r>
      <w:r w:rsidR="004D25DF" w:rsidRPr="004D25DF">
        <w:rPr>
          <w:rFonts w:asciiTheme="majorBidi" w:hAnsiTheme="majorBidi" w:cs="Times New Roman"/>
          <w:sz w:val="24"/>
          <w:szCs w:val="24"/>
          <w:lang w:bidi="fa-IR"/>
        </w:rPr>
        <w:t xml:space="preserve"> hydrogel. </w:t>
      </w:r>
    </w:p>
    <w:sectPr w:rsidR="00FD7A99" w:rsidRPr="004D25DF" w:rsidSect="00F23E63">
      <w:pgSz w:w="11906" w:h="16838"/>
      <w:pgMar w:top="720" w:right="1440" w:bottom="720" w:left="1440" w:header="706" w:footer="706" w:gutter="0"/>
      <w:lnNumType w:countBy="1" w:restart="continuous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1A6"/>
    <w:rsid w:val="0002711C"/>
    <w:rsid w:val="00270BE5"/>
    <w:rsid w:val="00342DA5"/>
    <w:rsid w:val="00384402"/>
    <w:rsid w:val="00401288"/>
    <w:rsid w:val="00421BD0"/>
    <w:rsid w:val="00427DB6"/>
    <w:rsid w:val="00444477"/>
    <w:rsid w:val="00472AB0"/>
    <w:rsid w:val="004D25DF"/>
    <w:rsid w:val="00661F9D"/>
    <w:rsid w:val="00672C77"/>
    <w:rsid w:val="006D41A6"/>
    <w:rsid w:val="00835497"/>
    <w:rsid w:val="008E049B"/>
    <w:rsid w:val="008F40FB"/>
    <w:rsid w:val="008F6098"/>
    <w:rsid w:val="00AB11E4"/>
    <w:rsid w:val="00BD6F0B"/>
    <w:rsid w:val="00DF165B"/>
    <w:rsid w:val="00F23E63"/>
    <w:rsid w:val="00FC6482"/>
    <w:rsid w:val="00FD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CF32A"/>
  <w15:chartTrackingRefBased/>
  <w15:docId w15:val="{58721A75-2788-46CC-A526-3AE27DDA0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F23E63"/>
  </w:style>
  <w:style w:type="character" w:styleId="Hyperlink">
    <w:name w:val="Hyperlink"/>
    <w:basedOn w:val="DefaultParagraphFont"/>
    <w:uiPriority w:val="99"/>
    <w:semiHidden/>
    <w:unhideWhenUsed/>
    <w:rsid w:val="004D25D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D25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engineering/degradation-rate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2024-11-17T10:59:00Z</dcterms:created>
  <dcterms:modified xsi:type="dcterms:W3CDTF">2024-11-17T11:22:00Z</dcterms:modified>
</cp:coreProperties>
</file>